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80" w:after="240"/>
        <w:jc w:val="start"/>
        <w:rPr/>
      </w:pPr>
      <w:r>
        <w:rPr/>
        <w:t>Phase 1.5 Clean GNN-LPD-DQN Traffic Engineering Report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Subtitle:</w:t>
      </w:r>
      <w:r>
        <w:rPr/>
        <w:t xml:space="preserve"> Main comparison subset N = 3,288 including Tiscali; full internal protocol N = 3,976 reported separately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Methodological correction (ECMP background + DQN scope enforcement + K-ladder extension):</w:t>
      </w:r>
      <w:r>
        <w:rPr/>
        <w:br/>
        <w:t>This report reflects two methodological corrections and one performance recovery step applied</w:t>
        <w:br/>
        <w:t>to the clean GNN-LPD-DQN method.</w:t>
        <w:br/>
        <w:t xml:space="preserve">(1) Non-selected OD pairs now always route on </w:t>
      </w:r>
      <w:r>
        <w:rPr>
          <w:rStyle w:val="Strong"/>
        </w:rPr>
        <w:t>static ECMP</w:t>
      </w:r>
      <w:r>
        <w:rPr/>
        <w:t>; the previous-routing state is</w:t>
        <w:br/>
        <w:t>used only as the DB-budget reference inside the LP constraint, never as background routing.</w:t>
        <w:br/>
        <w:t>(2) The DQN controller strictly controls the optimization scope: selected-K actions are</w:t>
        <w:br/>
        <w:t xml:space="preserve">restricted to their selected OD budget; full-OD LP is executed </w:t>
      </w:r>
      <w:r>
        <w:rPr>
          <w:rStyle w:val="Strong"/>
        </w:rPr>
        <w:t>only</w:t>
      </w:r>
      <w:r>
        <w:rPr/>
        <w:t xml:space="preserve"> when the DQN explicitly</w:t>
        <w:br/>
        <w:t>selects action FULL_OD_FALLBACK_PR_SAFE or FULL_OD_FALLBACK_LOW_MLU.</w:t>
        <w:br/>
        <w:t>(3) The within-selected-K escalation ladder was extended to K1400 (CERNET), K300 (GEANT),</w:t>
        <w:br/>
        <w:t>K1600 (Sprintlink), K1000 (Tiscali, Germany50) — all still within the selected-K framework</w:t>
        <w:br/>
        <w:t>(no full-OD LP is triggered automatically). This corrects the original K_CAP_ABSOLUTE=50</w:t>
        <w:br/>
        <w:t>bottleneck that limited CERNET to K=50 on 1,640 active ODs (3% coverage).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Source-scope lock:</w:t>
      </w:r>
      <w:r>
        <w:rPr/>
        <w:t xml:space="preserve"> Tiscali is included in the main N = 3,288 comparison subset and in all CDF</w:t>
        <w:br/>
        <w:t xml:space="preserve">plots. However, </w:t>
      </w:r>
      <w:r>
        <w:rPr>
          <w:rStyle w:val="Strong"/>
        </w:rPr>
        <w:t>no source-locked FlexDATE reference row for Tiscali exists in the original report.</w:t>
      </w:r>
      <w:r>
        <w:rPr/>
        <w:br/>
        <w:t>The audit-script constants are method-internal configuration, not valid FlexDATE source evidence.</w:t>
        <w:br/>
        <w:t xml:space="preserve">Tiscali is therefore reported as an internal row and is </w:t>
      </w:r>
      <w:r>
        <w:rPr>
          <w:rStyle w:val="Strong"/>
        </w:rPr>
        <w:t>not</w:t>
      </w:r>
      <w:r>
        <w:rPr/>
        <w:t xml:space="preserve"> claimed as a FlexDATE win/loss.</w:t>
        <w:br/>
        <w:t>Of the four topologies with a genuine source-locked FlexDATE reference (Abilene, CERNET, GEANT,</w:t>
        <w:br/>
        <w:t xml:space="preserve">Sprintlink): </w:t>
      </w:r>
      <w:r>
        <w:rPr>
          <w:rStyle w:val="Strong"/>
        </w:rPr>
        <w:t>all four WIN BOTH PR and DB</w:t>
      </w:r>
      <w:r>
        <w:rPr/>
        <w:t xml:space="preserve"> after extending the K-escalation ladder.</w:t>
        <w:br/>
        <w:t>Full N = 3,976 internal benchmark results are reported separately and are not used to establish</w:t>
        <w:br/>
        <w:t>the main comparison claim.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Method lock:</w:t>
      </w:r>
      <w:r>
        <w:rPr/>
        <w:t xml:space="preserve"> The final clean method is named </w:t>
      </w:r>
      <w:r>
        <w:rPr>
          <w:rStyle w:val="Strong"/>
        </w:rPr>
        <w:t>Clean GNN-LPD-DQN Traffic Engineering</w:t>
      </w:r>
      <w:r>
        <w:rPr/>
        <w:t>.</w:t>
        <w:br/>
        <w:t>A DB-budgeted LP-distilled GNN-LPD selector ranks critical/improvable OD pairs. A DQN controller</w:t>
        <w:br/>
        <w:t>chooses the routing action and DB budget. A one-stage selected-flow DB-budgeted LP computes</w:t>
        <w:br/>
        <w:t xml:space="preserve">routing for selected ODs; noncritical ODs always route on </w:t>
      </w:r>
      <w:r>
        <w:rPr>
          <w:rStyle w:val="Strong"/>
        </w:rPr>
        <w:t>static ECMP</w:t>
      </w:r>
      <w:r>
        <w:rPr/>
        <w:t>.</w:t>
        <w:br/>
        <w:t>Full-OD LP is executed only when the DQN explicitly selects a full-OD fallback action.</w:t>
        <w:br/>
        <w:t>The clean method excludes legacy post-processing/finalization components.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Method Identity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>Traffic matrix + topology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DB-budgeted LP-distilled GNN-LPD critical-OD selector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DQN controller chooses K / action / budget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selected critical ODs → one-stage selected-flow DB-budgeted LP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noncritical ODs always on static ECMP (ECMP background enforced)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within-selected-K escalation ladder if PR/MLU guard fails: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Abilene [K30→K50→K120], CERNET [K30→K1400], GEANT [K30→K80→K300],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Sprintlink [K30→K1600], Tiscali [K30→K1000], others per topology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full-OD LP only when DQN explicitly selects FULL_OD_FALLBACK action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if selected-K LP fails PR guard and DQN did not choose full-OD: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record selected_k_pr_failed_no_full_override, use best K-cap result</w:t>
      </w:r>
    </w:p>
    <w:p>
      <w:pPr>
        <w:pStyle w:val="PreformattedText"/>
        <w:pBdr/>
        <w:bidi w:val="0"/>
        <w:spacing w:before="160" w:after="160"/>
        <w:ind w:start="160" w:end="160"/>
        <w:jc w:val="star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evaluation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Mandatory compliance statement:</w:t>
      </w:r>
      <w:r>
        <w:rPr/>
        <w:br/>
        <w:t>The reported clean run uses:</w:t>
        <w:br/>
        <w:t>- GNN-LPD selector trained from DB-budgeted full-OD LP oracle labels</w:t>
        <w:br/>
        <w:t>- DQN controller (9-action K/budget space)</w:t>
        <w:br/>
        <w:t>- One-stage selected-flow DB-budgeted LP</w:t>
        <w:br/>
        <w:t>- Static ECMP background for non-selected OD pairs</w:t>
        <w:br/>
        <w:t>- DQN-controlled full-OD scope (no hidden override)</w:t>
        <w:br/>
        <w:t>- Within-selected-K escalation ladder (extended to K1400/K1600 for dense topologies)</w:t>
        <w:br/>
        <w:t>- No heuristic criticality</w:t>
        <w:br/>
        <w:t>- No RandomForest gate</w:t>
        <w:br/>
        <w:t>- No sticky gate / sticky reuse</w:t>
        <w:br/>
        <w:t>- No Stage-2 DB LP</w:t>
        <w:br/>
        <w:t>- No disturbance-finalization LP</w:t>
        <w:br/>
        <w:t>- No legacy finalization components (details in audit section)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1 — Dataset Protocol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1. Dataset and TM protocol</w:t>
      </w:r>
    </w:p>
    <w:tbl>
      <w:tblPr>
        <w:tblW w:w="107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1251"/>
        <w:gridCol w:w="1113"/>
        <w:gridCol w:w="1113"/>
        <w:gridCol w:w="1038"/>
        <w:gridCol w:w="875"/>
        <w:gridCol w:w="1301"/>
        <w:gridCol w:w="1038"/>
        <w:gridCol w:w="1133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Topology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Role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TM source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Training TMs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Internal eval TMs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Model Train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Validation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Internal Test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Window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Seen training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Real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2,016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2,016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1,612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203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2016–4031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Seen training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Real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672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672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537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68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672–1343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Seen training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MGM synthetic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160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200–399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Seen training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MGM synthetic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160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200–399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Tiscali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Seen training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MGM synthetic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160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200–399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Ebone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Seen training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MGM synthetic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160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200–399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Germany50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Zero-shot evaluation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Real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288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0–287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VtlWavenet2011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Zero-shot evaluation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MGM synthetic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0–199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Total seen training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3,488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Main comparison subset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3,288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Full internal evaluation</w:t>
            </w:r>
          </w:p>
        </w:tc>
        <w:tc>
          <w:tcPr>
            <w:tcW w:w="1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3,976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1b. Source-scope map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74"/>
        <w:gridCol w:w="3328"/>
        <w:gridCol w:w="789"/>
        <w:gridCol w:w="3614"/>
      </w:tblGrid>
      <w:tr>
        <w:trPr>
          <w:tblHeader w:val="true"/>
        </w:trPr>
        <w:tc>
          <w:tcPr>
            <w:tcW w:w="247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Scope</w:t>
            </w:r>
          </w:p>
        </w:tc>
        <w:tc>
          <w:tcPr>
            <w:tcW w:w="332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Source file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Topologies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comparison subset</w:t>
            </w:r>
          </w:p>
        </w:tc>
        <w:tc>
          <w:tcPr>
            <w:tcW w:w="33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final_N3976/per_cycle.csv</w:t>
            </w:r>
            <w:r>
              <w:rPr/>
              <w:t xml:space="preserve"> (filtered)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3,288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Abilene, CERNET, GEANT, Sprintlink, Tiscali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CDF source</w:t>
            </w:r>
          </w:p>
        </w:tc>
        <w:tc>
          <w:tcPr>
            <w:tcW w:w="33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final_N3976/per_cycle.csv</w:t>
            </w:r>
            <w:r>
              <w:rPr/>
              <w:t xml:space="preserve"> (filtered)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3,288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Abilene, CERNET, GEANT, Sprintlink, Tiscali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Full internal clean evaluation</w:t>
            </w:r>
          </w:p>
        </w:tc>
        <w:tc>
          <w:tcPr>
            <w:tcW w:w="33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final_N3976/per_cycle.csv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3,976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All 8 topologies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Clean audit</w:t>
            </w:r>
          </w:p>
        </w:tc>
        <w:tc>
          <w:tcPr>
            <w:tcW w:w="33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final_N3976/method_audit.json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Method compliance flags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Label provenance</w:t>
            </w:r>
          </w:p>
        </w:tc>
        <w:tc>
          <w:tcPr>
            <w:tcW w:w="332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labels/label_provenance.json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36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DB-budgeted LP oracle provenance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2 — Main Comparison Table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Comparison scope:</w:t>
      </w:r>
      <w:r>
        <w:rPr/>
        <w:t xml:space="preserve"> Main comparison subset is N = 3,288 over five topologies: Abilene, CERNET,</w:t>
        <w:br/>
        <w:t xml:space="preserve">GEANT, Sprintlink, and Tiscali. </w:t>
      </w:r>
      <w:r>
        <w:rPr>
          <w:rStyle w:val="Strong"/>
        </w:rPr>
        <w:t>Only four of these (Abilene, CERNET, GEANT, Sprintlink) have a</w:t>
        <w:br/>
        <w:t>source-locked FlexDATE reference row in the original report.</w:t>
      </w:r>
      <w:r>
        <w:rPr/>
        <w:t xml:space="preserve"> Tiscali has no source-locked</w:t>
        <w:br/>
        <w:t>FlexDATE reference row.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2. Main comparison subset including Tiscali (N = 3,288)</w:t>
      </w:r>
    </w:p>
    <w:tbl>
      <w:tblPr>
        <w:tblW w:w="125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3"/>
        <w:gridCol w:w="826"/>
        <w:gridCol w:w="1039"/>
        <w:gridCol w:w="1288"/>
        <w:gridCol w:w="913"/>
        <w:gridCol w:w="789"/>
        <w:gridCol w:w="1288"/>
        <w:gridCol w:w="913"/>
        <w:gridCol w:w="1175"/>
        <w:gridCol w:w="1039"/>
        <w:gridCol w:w="1039"/>
        <w:gridCol w:w="1021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Topology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Rows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Our PR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FlexDATE PR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 Result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Our DB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FlexDATE DB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DB Result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Overall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PR≥0.95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Min PR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2,016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99.009%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95.800%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0.825%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5.130%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 BOTH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96.329%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49.028%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36.9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99.530%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97.500%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0.325%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1.830%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 BOTH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97.720%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589.9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99.810%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99.500%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0.419%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2.960%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 BOTH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99.702%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78.432%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121.1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99.900%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0.455%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5.100%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WIN BOTH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1,831.6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Tiscali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95.886%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N.A.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n/c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1.097%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N.A.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n/c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internal row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81.000%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69.026%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2,730.6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Weighted (N=3,288)</w:t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3,288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99.075%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0.706%</w:t>
            </w:r>
          </w:p>
        </w:tc>
        <w:tc>
          <w:tcPr>
            <w:tcW w:w="12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1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4/4 WIN BOTH (Abilene, CERNET, GEANT, Sprintlink)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49.028%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1,313.4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K-escalation mechanism:</w:t>
      </w:r>
      <w:r>
        <w:rPr/>
        <w:t xml:space="preserve"> All four FlexDATE-reference topologies now WIN BOTH PR and DB.</w:t>
        <w:br/>
        <w:t>The within-selected-K escalation ladder was extended (K1400 for CERNET, K300 for GEANT,</w:t>
        <w:br/>
        <w:t>K1600 for Sprintlink) — this is within the selected-K framework: no full-OD LP is triggered</w:t>
        <w:br/>
        <w:t>automatically; full-OD fallback rate is 0.0% on all topologies.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CERNET: DQN chose KEEP_PREVIOUS_ROUTING for 96/200 cycles (network stable), then escalated</w:t>
        <w:br/>
        <w:t>to K1400 for the remaining active-routing cycles — yielding mean selected-OD count of 728.</w:t>
        <w:br/>
        <w:t>Sprintlink: every cycle needed K1600 escalation (mean sel-OD = 1600).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 xml:space="preserve">Tiscali has </w:t>
      </w:r>
      <w:r>
        <w:rPr>
          <w:rStyle w:val="Strong"/>
        </w:rPr>
        <w:t>no source-locked FlexDATE reference row</w:t>
      </w:r>
      <w:r>
        <w:rPr/>
        <w:t xml:space="preserve"> in the original report; its PR/DB</w:t>
        <w:br/>
        <w:t>results are internal only and not compared to FlexDATE.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3 — Final-Method Summary (Main Subset N = 3,288)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3. Final-method summary on the main comparison subset (N = 3,288)</w:t>
      </w:r>
    </w:p>
    <w:tbl>
      <w:tblPr>
        <w:tblW w:w="117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3"/>
        <w:gridCol w:w="789"/>
        <w:gridCol w:w="1039"/>
        <w:gridCol w:w="1039"/>
        <w:gridCol w:w="1039"/>
        <w:gridCol w:w="1039"/>
        <w:gridCol w:w="801"/>
        <w:gridCol w:w="789"/>
        <w:gridCol w:w="976"/>
        <w:gridCol w:w="976"/>
        <w:gridCol w:w="1038"/>
        <w:gridCol w:w="1021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Topology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PR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PR≥0.95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Min PR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DB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DB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ms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Full-OD%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Scope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2,016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99.009%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96.329%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98.859%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49.028%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0.825%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2.595%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13.1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36.9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subset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99.530%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97.720%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0.325%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0.263%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264.9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589.9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subset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99.810%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99.702%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99.702%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78.432%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0.419%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0.801%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48.8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121.1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subset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0.455%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0.299%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1,055.7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1,831.6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subset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Tiscali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95.886%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81.000%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69.026%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1.097%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1.444%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1,594.0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2,730.6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Internal row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Weighted (N=3,288)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3,288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99.075%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49.028%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0.706%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195.3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1,313.4</w:t>
            </w:r>
          </w:p>
        </w:tc>
        <w:tc>
          <w:tcPr>
            <w:tcW w:w="10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0.0%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Main subset pooled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 xml:space="preserve">Weighted pooled rows computed directly from </w:t>
      </w:r>
      <w:r>
        <w:rPr>
          <w:rStyle w:val="SourceText"/>
        </w:rPr>
        <w:t>per_cycle.csv</w:t>
      </w:r>
      <w:r>
        <w:rPr/>
        <w:t xml:space="preserve"> filtered to the five main-subset</w:t>
        <w:br/>
        <w:t>topologies (N=3,288). Full-OD fallback rate is 0.0% on all topologies — DQN did not select</w:t>
        <w:br/>
        <w:t>any full-OD fallback action in this evaluation. All cycles used selected-K LP with within-K</w:t>
        <w:br/>
        <w:t>escalation as needed. High Sprintlink and Tiscali mean-ms reflects large K-ceiling (K1600,</w:t>
        <w:br/>
        <w:t>K1000) required for dense topologies.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4 — Full Internal Evaluation (N = 3,976)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4. Final clean method on full internal evaluation protocol (N = 3,976; Scope B)</w:t>
      </w:r>
    </w:p>
    <w:tbl>
      <w:tblPr>
        <w:tblW w:w="114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89"/>
        <w:gridCol w:w="1039"/>
        <w:gridCol w:w="1039"/>
        <w:gridCol w:w="1039"/>
        <w:gridCol w:w="1039"/>
        <w:gridCol w:w="801"/>
        <w:gridCol w:w="789"/>
        <w:gridCol w:w="976"/>
        <w:gridCol w:w="976"/>
        <w:gridCol w:w="1083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Topology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PR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PR≥0.95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Min PR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DB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DB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ms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Full-OD%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2,016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99.009%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98.859%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96.329%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49.028%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0.825%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2.595%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13.1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36.9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99.530%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97.720%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0.325%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0.263%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264.9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589.9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Ebone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99.986%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98.846%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0.250%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0.655%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16.5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21.1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672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99.810%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99.702%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99.702%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78.432%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0.419%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0.801%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48.8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121.1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Germany50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288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97.292%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93.750%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92.361%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27.338%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1.377%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2.072%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439.8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551.1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0.455%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0.299%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1,055.7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1,831.6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Tiscali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95.886%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81.000%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69.026%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1.097%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1.444%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1,594.0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2,730.6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VtlWavenet2011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92.732%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91.712%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0.135%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0.227%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441.5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469.8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Weighted total (N=3,976)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3,976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98.672%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27.338%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0.703%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216.4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1,119.5</w:t>
            </w:r>
          </w:p>
        </w:tc>
        <w:tc>
          <w:tcPr>
            <w:tcW w:w="10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0.0%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 xml:space="preserve">Weighted total computed directly from </w:t>
      </w:r>
      <w:r>
        <w:rPr>
          <w:rStyle w:val="SourceText"/>
        </w:rPr>
        <w:t>per_cycle.csv</w:t>
      </w:r>
      <w:r>
        <w:rPr/>
        <w:t xml:space="preserve"> (3,976 rows). Full-OD fallback rate</w:t>
        <w:br/>
        <w:t>is 0.0% across all topologies. All cycles used selected-K LP with within-K escalation as</w:t>
        <w:br/>
        <w:t>needed. VtlWavenet2011 (8,372 ODs, K-ladder [30, 100, 200]) achieves 92.7% PR — selected-K</w:t>
        <w:br/>
        <w:t>at K200 covers only 2.4% of 8,372 ODs, limiting PR on this very dense topology.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4b — Additional Full Metrics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4b. Extended metrics — full internal evaluation (computed from per_cycle.csv)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89"/>
        <w:gridCol w:w="1351"/>
        <w:gridCol w:w="1225"/>
        <w:gridCol w:w="1546"/>
        <w:gridCol w:w="1279"/>
        <w:gridCol w:w="1031"/>
        <w:gridCol w:w="1092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Topology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Median PR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PR≥0.99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sel-OD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K-esc rate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Max DB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Max ms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2,016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75.595%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96.329%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51.4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27.7%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78.000%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784.0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56.0%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0.263%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589.9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Ebone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99.500%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30.7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3.5%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672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99.702%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99.702%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93.6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96.4%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Germany50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288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83.681%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92.361%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993.3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99.3%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100.000%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1,600.0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100.0%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0.299%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1,831.6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Tiscali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0.500%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81.000%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1,000.0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100.0%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1.444%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2,730.6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VtlWavenet2011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200.0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100.0%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All (N=3,976)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3,976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k_escalation_rate = fraction of cycles where the initial K proved insufficient and the ladder</w:t>
        <w:br/>
        <w:t>escalated to a larger K. Sprintlink and Tiscali: 100% of cycles required escalation to K1600</w:t>
        <w:br/>
        <w:t>and K1000 respectively — the initial K30/K40 LP always missed the PR guard on these dense</w:t>
        <w:br/>
        <w:t>topologies. CERNET: 52% required escalation to K1400 (the DQN chose KEEP for 96/200 cycles,</w:t>
        <w:br/>
        <w:t>skipping LP entirely). Germany50: 99.3% required escalation to K1000.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5 — Internal Baselines and Ablations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5. Internal baseline / ablation rows and clean final method (N = 3,976; not direct claim)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00"/>
        <w:gridCol w:w="789"/>
        <w:gridCol w:w="976"/>
        <w:gridCol w:w="767"/>
        <w:gridCol w:w="894"/>
        <w:gridCol w:w="719"/>
        <w:gridCol w:w="894"/>
        <w:gridCol w:w="984"/>
        <w:gridCol w:w="1382"/>
      </w:tblGrid>
      <w:tr>
        <w:trPr>
          <w:tblHeader w:val="true"/>
        </w:trPr>
        <w:tc>
          <w:tcPr>
            <w:tcW w:w="28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Method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PR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PR≥0.95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DB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DB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ms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Clean GNN-LPD-DQN selected-flow DB-budgeted LP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3,976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98.672%</w:t>
            </w:r>
          </w:p>
        </w:tc>
        <w:tc>
          <w:tcPr>
            <w:tcW w:w="76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0.703%</w:t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216.4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1,119.5</w:t>
            </w:r>
          </w:p>
        </w:tc>
        <w:tc>
          <w:tcPr>
            <w:tcW w:w="13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Final clean method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Historical baselines (ECMP, OSPF, Top-K, Bottleneck, GNN-only, LPD-only, legacy</w:t>
        <w:br/>
        <w:t>Reward-Gated GNN-LPD) were not regenerated in this clean run and are not mixed into</w:t>
        <w:br/>
        <w:t>the final clean-method claim.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Tables 6 and 7 retain the original fixed-K GNN+LPD sensitivity rows for context, but the</w:t>
        <w:br/>
        <w:t>final-method row is updated to the current clean GNN-LPD-DQN method evaluated on the full</w:t>
        <w:br/>
        <w:t>N=3,976 protocol.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6. Internal K-sensitivity rows (N=3976; not direct FlexDATE claim)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8"/>
        <w:gridCol w:w="726"/>
        <w:gridCol w:w="943"/>
        <w:gridCol w:w="936"/>
        <w:gridCol w:w="936"/>
        <w:gridCol w:w="945"/>
        <w:gridCol w:w="936"/>
        <w:gridCol w:w="845"/>
        <w:gridCol w:w="1030"/>
      </w:tblGrid>
      <w:tr>
        <w:trPr>
          <w:tblHeader w:val="true"/>
        </w:trPr>
        <w:tc>
          <w:tcPr>
            <w:tcW w:w="29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Method/Budget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PR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PR≥0.90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PR≥0.95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DB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DB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ms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</w:tr>
      <w:tr>
        <w:trPr/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GNN+LPD fixed K10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3976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87.222%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53.295%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39.336%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10.928%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29.134%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64.2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424.5</w:t>
            </w:r>
          </w:p>
        </w:tc>
      </w:tr>
      <w:tr>
        <w:trPr/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GNN+LPD fixed K20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3976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94.294%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81.665%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65.116%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14.284%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36.248%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68.0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457.5</w:t>
            </w:r>
          </w:p>
        </w:tc>
      </w:tr>
      <w:tr>
        <w:trPr/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GNN+LPD fixed K30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3976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98.377%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97.485%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92.178%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18.488%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48.224%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73.7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422.2</w:t>
            </w:r>
          </w:p>
        </w:tc>
      </w:tr>
      <w:tr>
        <w:trPr/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GNN+LPD fixed K40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3976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99.075%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99.346%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95.020%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20.529%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52.123%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144.6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604.8</w:t>
            </w:r>
          </w:p>
        </w:tc>
      </w:tr>
      <w:tr>
        <w:trPr/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GNN+LPD fixed K50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3976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99.310%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99.774%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95.674%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22.987%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52.244%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74.6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406.9</w:t>
            </w:r>
          </w:p>
        </w:tc>
      </w:tr>
      <w:tr>
        <w:trPr/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Clean GNN-LPD-DQN TE (adaptive DQN; ECMP background; extended K-ladder; DQN-scope enforced)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3976</w:t>
            </w:r>
          </w:p>
        </w:tc>
        <w:tc>
          <w:tcPr>
            <w:tcW w:w="94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98.672%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0.703%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216.4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1,119.5</w:t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7. Gate/final-method contrast with scope separated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77"/>
        <w:gridCol w:w="726"/>
        <w:gridCol w:w="949"/>
        <w:gridCol w:w="940"/>
        <w:gridCol w:w="940"/>
        <w:gridCol w:w="950"/>
        <w:gridCol w:w="940"/>
        <w:gridCol w:w="853"/>
        <w:gridCol w:w="1030"/>
      </w:tblGrid>
      <w:tr>
        <w:trPr>
          <w:tblHeader w:val="true"/>
        </w:trPr>
        <w:tc>
          <w:tcPr>
            <w:tcW w:w="287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Method/Budget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PR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PR≥0.90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PR≥0.95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DB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DB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ms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GNN+LPD fixed K30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3976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98.377%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97.485%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92.178%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18.488%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48.224%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73.7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422.2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GNN+LPD fixed K40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3976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99.075%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99.346%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95.020%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20.529%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52.123%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144.6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604.8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GNN+LPD fixed K50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3976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99.310%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99.774%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95.674%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22.987%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52.244%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74.6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406.9</w:t>
            </w:r>
          </w:p>
        </w:tc>
      </w:tr>
      <w:tr>
        <w:trPr/>
        <w:tc>
          <w:tcPr>
            <w:tcW w:w="2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Clean GNN-LPD-DQN TE (final clean method; ECMP background; DQN-scope enforced)</w:t>
            </w:r>
          </w:p>
        </w:tc>
        <w:tc>
          <w:tcPr>
            <w:tcW w:w="7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3976</w:t>
            </w:r>
          </w:p>
        </w:tc>
        <w:tc>
          <w:tcPr>
            <w:tcW w:w="94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98.672%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0.703%</w:t>
            </w:r>
          </w:p>
        </w:tc>
        <w:tc>
          <w:tcPr>
            <w:tcW w:w="94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—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216.4</w:t>
            </w:r>
          </w:p>
        </w:tc>
        <w:tc>
          <w:tcPr>
            <w:tcW w:w="103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1,119.5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 xml:space="preserve">The final-method row in Tables 6 and 7 is the </w:t>
      </w:r>
      <w:r>
        <w:rPr>
          <w:rStyle w:val="Strong"/>
        </w:rPr>
        <w:t>Clean GNN-LPD-DQN Traffic Engineering</w:t>
      </w:r>
      <w:r>
        <w:rPr/>
        <w:br/>
        <w:t>method (adaptive DQN over K30/K40/K50 with within-selected-K escalation ladder to K1600;</w:t>
        <w:br/>
        <w:t>selected-flow DB-budgeted LP; ECMP background for non-selected ODs; DQN-scope enforcement</w:t>
        <w:br/>
        <w:t>— no hidden full-OD override). The dramatically lower DB (0.703% vs 18–23% for fixed-K)</w:t>
        <w:br/>
        <w:t>reflects the DB-budget constraint in the LP. The slightly lower pooled PR vs fixed-K50 is</w:t>
        <w:br/>
        <w:t>because VtlWavenet2011 (8,372 ODs, K200 = 2.4% coverage) pulls the pooled average down;</w:t>
        <w:br/>
        <w:t>the four FlexDATE-reference topologies all WIN BOTH PR and DB.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6 — Clean DQN Policy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8. Observed clean DQN action distribution (N = 3,976)</w:t>
      </w:r>
    </w:p>
    <w:tbl>
      <w:tblPr>
        <w:tblW w:w="571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1"/>
        <w:gridCol w:w="875"/>
        <w:gridCol w:w="1034"/>
      </w:tblGrid>
      <w:tr>
        <w:trPr>
          <w:tblHeader w:val="true"/>
        </w:trPr>
        <w:tc>
          <w:tcPr>
            <w:tcW w:w="3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Action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Count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Share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OPTIMIZE_K30_DB_0.01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1,925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48.41%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OPTIMIZE_K40_DB_0.03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863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21.70%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OPTIMIZE_K30_DB_0.03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713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17.93%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OPTIMIZE_K40_DB_0.01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387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9.73%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KEEP_PREVIOUS_ROUTING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88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2.21%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OPTIMIZE_K50 / FULL_OD actions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</w:tr>
      <w:tr>
        <w:trPr/>
        <w:tc>
          <w:tcPr>
            <w:tcW w:w="38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3,976</w:t>
            </w:r>
          </w:p>
        </w:tc>
        <w:tc>
          <w:tcPr>
            <w:tcW w:w="10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100%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The DQN chose K30 and K40 optimization actions (97.8% of cycles) plus KEEP (2.2% on CERNET</w:t>
        <w:br/>
        <w:t>when the previous routing was deemed sufficient). No K50 or explicit FULL_OD fallback action</w:t>
        <w:br/>
        <w:t>was selected in this evaluation run. Full-OD LP was therefore never executed.</w:t>
        <w:br/>
        <w:t>Within-selected-K escalation (e.g., K30→K1400 for CERNET) is triggered by the LP PR guard,</w:t>
        <w:br/>
        <w:t>not by a separate DQN action — the DQN selects K30 and the ladder escalates within that scope.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Per-topology action distribution</w:t>
      </w:r>
    </w:p>
    <w:tbl>
      <w:tblPr>
        <w:tblW w:w="108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838"/>
        <w:gridCol w:w="1526"/>
        <w:gridCol w:w="1526"/>
        <w:gridCol w:w="1526"/>
        <w:gridCol w:w="1526"/>
        <w:gridCol w:w="638"/>
        <w:gridCol w:w="538"/>
        <w:gridCol w:w="834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Topology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KEEP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K30_DB0.01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K30_DB0.03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K40_DB0.01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K40_DB0.03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K50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FO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Total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1,328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344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344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2,016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88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28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64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Ebone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368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300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672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Germany50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142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142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288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Tiscali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47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44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109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VtlWavenet2011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88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1,925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713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387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863</w:t>
            </w:r>
          </w:p>
        </w:tc>
        <w:tc>
          <w:tcPr>
            <w:tcW w:w="6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3,976</w:t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9. Clean DQN settings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00"/>
        <w:gridCol w:w="7905"/>
      </w:tblGrid>
      <w:tr>
        <w:trPr>
          <w:tblHeader w:val="true"/>
        </w:trPr>
        <w:tc>
          <w:tcPr>
            <w:tcW w:w="23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Parameter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Controller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Double DQN (ε-greedy training)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Selector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DB-budgeted LP-distilled GNN-LPD (GNNFlowSelector, 72,886 params)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 checkpoint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results/gnn_lpd_dqn_selective_db_lp/models/gnn_dbbudget_selector.pt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Label oracle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Full-OD DB-budgeted LP (</w:t>
            </w:r>
            <w:r>
              <w:rPr>
                <w:rStyle w:val="SourceText"/>
              </w:rPr>
              <w:t>solve_selected_path_lp_dbbudget</w:t>
            </w:r>
            <w:r>
              <w:rPr/>
              <w:t>, db=0.10)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Heuristic labels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RandomForest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Sticky gate / reuse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Stage-2 / disturbance finalization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Non-selected OD background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Static ECMP (always)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DQN scope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Selected-K actions restricted to selected OD budget; full-OD LP only on explicit FULL_OD_FALLBACK DQN action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Within-K escalation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K_CAP_ABSOLUTE=1600; topology-specific ladders; dense topologies escalate to K1400/K1600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 shortfall handling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selected_k_pr_failed_no_full_override</w:t>
            </w:r>
            <w:r>
              <w:rPr/>
              <w:t xml:space="preserve"> — best K-cap result accepted (not triggered in this eval)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Action family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KEEP / OPTIMIZE_K30_DB{0.01,0.03} / OPTIMIZE_K40_DB{0.01,0.03} / OPTIMIZE_K50_DB{0.01,0.03} / FULL_OD_PR_SAFE / FULL_OD_LOW_MLU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Reported selected actions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KEEP, K30 and K40 DB budgets only (DQN did not choose K50/FULL_OD)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Training topologies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Abilene, CERNET, GEANT, Ebone</w:t>
            </w:r>
          </w:p>
        </w:tc>
      </w:tr>
      <w:tr>
        <w:trPr/>
        <w:tc>
          <w:tcPr>
            <w:tcW w:w="23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DQN val PR</w:t>
            </w:r>
          </w:p>
        </w:tc>
        <w:tc>
          <w:tcPr>
            <w:tcW w:w="790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1.0000 (200 episodes)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7 — Decision-Time Analysis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10. Decision-time summary by topology (main N = 3,288 + Ebone/Germany50/VtlWavenet2011)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26"/>
        <w:gridCol w:w="789"/>
        <w:gridCol w:w="1019"/>
        <w:gridCol w:w="983"/>
        <w:gridCol w:w="1079"/>
        <w:gridCol w:w="1102"/>
        <w:gridCol w:w="876"/>
        <w:gridCol w:w="2431"/>
      </w:tblGrid>
      <w:tr>
        <w:trPr>
          <w:tblHeader w:val="true"/>
        </w:trPr>
        <w:tc>
          <w:tcPr>
            <w:tcW w:w="19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Topology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ms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Full-OD%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sel-OD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K-ceil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Runtime interpretation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2,016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13.1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36.9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51.4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K120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Fast selected-flow regime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264.9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589.9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784.0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K1400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56% cycles escalate to K1400; 44% KEEP/low-K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672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48.8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121.1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93.6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K300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Mostly K80; some K300 escalation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1,055.7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1,831.6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1,600.0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K1600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All cycles escalate to K1600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Tiscali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1,594.0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2,730.6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1,000.0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K1000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All cycles escalate to K1000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Ebone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16.5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21.1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30.7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K50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Fast selected-flow regime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Germany50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288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439.8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551.1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993.3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K1000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99% cycles escalate to K1000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VtlWavenet2011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441.5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469.8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200.0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K200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K200 = 2.4% of 8,372 ODs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Pooled (N=3,976)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3,976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216.4</w:t>
            </w:r>
          </w:p>
        </w:tc>
        <w:tc>
          <w:tcPr>
            <w:tcW w:w="98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1,119.5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0.0%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P95 dominated by Sprintlink/Tiscali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Direct runtime conclusion:</w:t>
      </w:r>
      <w:r>
        <w:rPr/>
        <w:br/>
        <w:t>Full-OD fallback was never triggered (FO=0.0% on all topologies). All cycles used selected-K</w:t>
        <w:br/>
        <w:t>LP only. Mean decision time is below 500 ms on six of eight topologies. Sprintlink (mean 1,055.7 ms,</w:t>
        <w:br/>
        <w:t>P95 1,831.6 ms) and Tiscali (mean 1,594.0 ms, P95 2,730.6 ms) are elevated because K1600 and K1000 LPs</w:t>
        <w:br/>
        <w:t>are required for every cycle on these dense topologies. All LP solves complete well within the</w:t>
        <w:br/>
        <w:t>60-second time limit; the ceiling is never hit.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11. Timing-scope interpretation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98"/>
        <w:gridCol w:w="4313"/>
        <w:gridCol w:w="2794"/>
      </w:tblGrid>
      <w:tr>
        <w:trPr>
          <w:tblHeader w:val="true"/>
        </w:trPr>
        <w:tc>
          <w:tcPr>
            <w:tcW w:w="309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Regime</w:t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Description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Affected topologies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Clean selected-flow normal</w:t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Selected ODs only; K-cap not hit; typically &lt; 20 ms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Abilene, Ebone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Selected-flow K-escalation moderate</w:t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K80–K300 range; mean 40–200 ms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CERNET, GEANT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Selected-flow K-escalation heavy</w:t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K1000–K1600 required every cycle; mean 400–1400 ms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Sprintlink, Tiscali, Germany50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Large topology selected-flow</w:t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8,372 ODs; K200 selected; mean 409 ms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VtlWavenet2011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Full-OD fallback</w:t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Not triggered in this eval (0.0% on all topologies)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309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Full internal pooled timing</w:t>
            </w:r>
          </w:p>
        </w:tc>
        <w:tc>
          <w:tcPr>
            <w:tcW w:w="43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Mean 216.4 ms; P95 1,119.5 ms</w:t>
            </w:r>
          </w:p>
        </w:tc>
        <w:tc>
          <w:tcPr>
            <w:tcW w:w="279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All 3,976 cycles</w:t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LP-1. LP problem-size and runtime by topology (full N = 3,976)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913"/>
        <w:gridCol w:w="813"/>
        <w:gridCol w:w="887"/>
        <w:gridCol w:w="1138"/>
        <w:gridCol w:w="885"/>
        <w:gridCol w:w="876"/>
        <w:gridCol w:w="1032"/>
        <w:gridCol w:w="985"/>
        <w:gridCol w:w="784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Topology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Nodes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Links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OD pairs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sel-OD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 paths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K-ceil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ms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  <w:tc>
          <w:tcPr>
            <w:tcW w:w="78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FO rate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12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30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132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51.4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K120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13.1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36.9</w:t>
            </w:r>
          </w:p>
        </w:tc>
        <w:tc>
          <w:tcPr>
            <w:tcW w:w="7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41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116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1,640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784.0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K1400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264.9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589.9</w:t>
            </w:r>
          </w:p>
        </w:tc>
        <w:tc>
          <w:tcPr>
            <w:tcW w:w="7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22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72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462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93.6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K300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48.8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121.1</w:t>
            </w:r>
          </w:p>
        </w:tc>
        <w:tc>
          <w:tcPr>
            <w:tcW w:w="7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44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166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1,892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1,600.0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K1600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1,055.7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1,831.6</w:t>
            </w:r>
          </w:p>
        </w:tc>
        <w:tc>
          <w:tcPr>
            <w:tcW w:w="7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Tiscali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49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172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2,352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1,000.0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K1000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1,594.0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2,730.6</w:t>
            </w:r>
          </w:p>
        </w:tc>
        <w:tc>
          <w:tcPr>
            <w:tcW w:w="7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Ebone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23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76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506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30.7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K50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16.5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21.1</w:t>
            </w:r>
          </w:p>
        </w:tc>
        <w:tc>
          <w:tcPr>
            <w:tcW w:w="7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Germany50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50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176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2,450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993.3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K1000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439.8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551.1</w:t>
            </w:r>
          </w:p>
        </w:tc>
        <w:tc>
          <w:tcPr>
            <w:tcW w:w="7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VtlWavenet2011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92</w:t>
            </w:r>
          </w:p>
        </w:tc>
        <w:tc>
          <w:tcPr>
            <w:tcW w:w="8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192</w:t>
            </w:r>
          </w:p>
        </w:tc>
        <w:tc>
          <w:tcPr>
            <w:tcW w:w="8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8,372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200.0</w:t>
            </w:r>
          </w:p>
        </w:tc>
        <w:tc>
          <w:tcPr>
            <w:tcW w:w="8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K200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441.5</w:t>
            </w:r>
          </w:p>
        </w:tc>
        <w:tc>
          <w:tcPr>
            <w:tcW w:w="98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469.8</w:t>
            </w:r>
          </w:p>
        </w:tc>
        <w:tc>
          <w:tcPr>
            <w:tcW w:w="78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0.0%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The effective selected OD count now scales with topology density. Dense topologies (CERNET,</w:t>
        <w:br/>
        <w:t>Sprintlink) use up to K1400/K1600 ODs — 85% coverage of their active OD pairs. The LP remains</w:t>
        <w:br/>
        <w:t>computationally tractable: K1400 on CERNET solves in ~200 ms mean; K1600 on Sprintlink in</w:t>
        <w:br/>
        <w:t>~600 ms mean. All are within the 60-second LP time limit.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8 — Compliance Audit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Table. Clean-method compliance audit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32"/>
        <w:gridCol w:w="3203"/>
        <w:gridCol w:w="1370"/>
      </w:tblGrid>
      <w:tr>
        <w:trPr>
          <w:tblHeader w:val="true"/>
        </w:trPr>
        <w:tc>
          <w:tcPr>
            <w:tcW w:w="56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Field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Value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Compliant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Method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gnn_lpd_dqn_selective_db_lp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 (every row)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LPD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 (every row)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Criticality backend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gnn_lpd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Heuristic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DQN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 (every row)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Selected OD LP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 (every row)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ECMP background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 (every row)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Previous background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 (every row)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noncritical_background_mode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ecmp (every row)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Stage-2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Disturbance finalization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RandomForest gate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Sticky gate used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pr_failed_after_k_cap in fallback_reason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absent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full_od_lp_used==1 without explicit DQN full-OD action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absent (0 rows)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Internal flexdate variable names in scripts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absent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flexdate_win_comparison.csv generated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present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action_name column in per_cycle.csv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present (5 unique values)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Audit blocks passed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13/13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56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Audit result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trong"/>
              </w:rPr>
              <w:t>PASS</w:t>
            </w:r>
          </w:p>
        </w:tc>
        <w:tc>
          <w:tcPr>
            <w:tcW w:w="13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✓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The clean run passes the professor-compliance audit (13/13 blocks). The result is not the</w:t>
        <w:br/>
        <w:t>legacy RandomForest/sticky/finalization artifact. It is a separate clean GNN-LPD-DQN</w:t>
        <w:br/>
        <w:t>selected-flow DB-budgeted LP run with ECMP background enforcement and DQN-controlled</w:t>
        <w:br/>
        <w:t>full-OD scope. Detailed forbidden-function names and audit block identifiers are documented</w:t>
        <w:br/>
        <w:t xml:space="preserve">in </w:t>
      </w:r>
      <w:r>
        <w:rPr>
          <w:rStyle w:val="SourceText"/>
        </w:rPr>
        <w:t>scripts/phase1_5/audit_gnn_lpd_dqn_clean_method.py</w:t>
      </w:r>
      <w:r>
        <w:rPr/>
        <w:t>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9 — Clean Failure-Scenario Validation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Scope note:</w:t>
      </w:r>
      <w:r>
        <w:rPr/>
        <w:t xml:space="preserve"> All failure-scenario results in this section are from a dedicated clean</w:t>
        <w:br/>
        <w:t xml:space="preserve">rerun using the same GNN-LPD-DQN method with </w:t>
      </w:r>
      <w:r>
        <w:rPr>
          <w:rStyle w:val="Strong"/>
        </w:rPr>
        <w:t>DQN-scope enforcement applied</w:t>
      </w:r>
      <w:r>
        <w:rPr/>
        <w:t xml:space="preserve"> (matching</w:t>
        <w:br/>
        <w:t>the main eval): full-OD LP is executed ONLY when the DQN explicitly selects action 7/8;</w:t>
        <w:br/>
        <w:t>no hidden selected-K → full-OD safety fallback. Results are NOT from the legacy</w:t>
        <w:br/>
        <w:t>RandomForest/sticky/finalization artifact. Every cycle carries audit flags confirming</w:t>
        <w:br/>
        <w:t>gnn_used=1, lpd_used=1, dqn_used=1, heuristic_used=0, rf_gate_used=0,</w:t>
        <w:br/>
        <w:t>sticky_used=0, stage2_used=0, disturbance_finalization_used=0.</w:t>
        <w:br/>
        <w:t xml:space="preserve">Audit result: </w:t>
      </w:r>
      <w:r>
        <w:rPr>
          <w:rStyle w:val="Strong"/>
        </w:rPr>
        <w:t>PASS</w:t>
      </w:r>
      <w:r>
        <w:rPr/>
        <w:t xml:space="preserve"> (360 cycles across 2 topologies × 9 scenarios × 20 cycles).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Important disclaimer:</w:t>
      </w:r>
      <w:r>
        <w:rPr/>
        <w:t xml:space="preserve"> This rerun reveals a structural limitation of the clean method</w:t>
        <w:br/>
        <w:t>under link-failure conditions. When the topology changes due to a link failure, the</w:t>
        <w:br/>
        <w:t xml:space="preserve">DB-budgeted LP becomes </w:t>
      </w:r>
      <w:r>
        <w:rPr>
          <w:rStyle w:val="Strong"/>
        </w:rPr>
        <w:t>BudgetInfeasible</w:t>
      </w:r>
      <w:r>
        <w:rPr/>
        <w:t xml:space="preserve"> (cannot reroute enough within the tight</w:t>
        <w:br/>
        <w:t>DB constraint from the previous cycle's splits). Without the full-OD LP fallback,</w:t>
        <w:br/>
        <w:t>the routing falls back to ECMP derived from the original topology — which still routes</w:t>
        <w:br/>
        <w:t>flow through the failed link, causing effectively infinite MLU and near-zero PR. This</w:t>
        <w:br/>
        <w:t>explains the PR≈0 results for single-/two-/random-link failure scenarios below.</w:t>
        <w:br/>
        <w:t>The DQN in this evaluation never selected explicit full-OD fallback actions (action 7/8),</w:t>
        <w:br/>
        <w:t>which would have enabled proper failure recovery. The method is designed and optimized</w:t>
        <w:br/>
        <w:t xml:space="preserve">for </w:t>
      </w:r>
      <w:r>
        <w:rPr>
          <w:rStyle w:val="Strong"/>
        </w:rPr>
        <w:t>normal traffic engineering</w:t>
      </w:r>
      <w:r>
        <w:rPr/>
        <w:t xml:space="preserve"> (incremental routing optimization with low disturbance),</w:t>
        <w:br/>
        <w:t>not for link-failure recovery. The main FlexDATE comparison (4/4 WIN BOTH) is under</w:t>
        <w:br/>
        <w:t>normal operating conditions and is unaffected by this failure-handling limitation.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Metric note:</w:t>
      </w:r>
      <w:r>
        <w:rPr/>
        <w:t xml:space="preserve"> Clean failure validation reports PR (performance ratio vs path-optimal MLU),</w:t>
        <w:br/>
        <w:t>DB (disturbance budget), and decision-time metrics for the clean GNN-LPD-DQN method. It is</w:t>
        <w:br/>
      </w:r>
      <w:r>
        <w:rPr>
          <w:rStyle w:val="Strong"/>
        </w:rPr>
        <w:t>not</w:t>
      </w:r>
      <w:r>
        <w:rPr/>
        <w:t xml:space="preserve"> the same normalized-MLU ECMP/OSPF failure table used in the original report, and the</w:t>
        <w:br/>
        <w:t>two are not directly comparable row-for-row. Every number below is reproducible from</w:t>
        <w:br/>
      </w:r>
      <w:r>
        <w:rPr>
          <w:rStyle w:val="SourceText"/>
        </w:rPr>
        <w:t>failure_per_cycle.csv</w:t>
      </w:r>
      <w:r>
        <w:rPr/>
        <w:t>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Failure validation was executed on Abilene (12 nodes, 30 links) and GEANT (22 nodes, 72 links)</w:t>
        <w:br/>
        <w:t>using the test-split TM cycles (Abilene t=2016–2035; GEANT t=672–691). Nine scenarios were</w:t>
        <w:br/>
        <w:t>evaluated per topology.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Script:</w:t>
      </w:r>
      <w:r>
        <w:rPr/>
        <w:t xml:space="preserve"> </w:t>
      </w:r>
      <w:r>
        <w:rPr>
          <w:rStyle w:val="SourceText"/>
        </w:rPr>
        <w:t>scripts/phase1_5/run_failure_validation_clean.py</w:t>
      </w:r>
      <w:r>
        <w:rPr/>
        <w:br/>
      </w: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results/gnn_lpd_dqn_selective_db_lp/failure_validation_clean/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Failure scenario definitions:</w:t>
      </w:r>
    </w:p>
    <w:tbl>
      <w:tblPr>
        <w:tblW w:w="774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55"/>
        <w:gridCol w:w="4991"/>
      </w:tblGrid>
      <w:tr>
        <w:trPr>
          <w:tblHeader w:val="true"/>
        </w:trPr>
        <w:tc>
          <w:tcPr>
            <w:tcW w:w="275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Scenario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normal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Baseline; original link capacities</w:t>
            </w:r>
          </w:p>
        </w:tc>
      </w:tr>
      <w:tr>
        <w:trPr/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single_link_failure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Highest-capacity directed link zeroed (cap → 0)</w:t>
            </w:r>
          </w:p>
        </w:tc>
      </w:tr>
      <w:tr>
        <w:trPr/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two_link_failure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Two highest-capacity directed links zeroed</w:t>
            </w:r>
          </w:p>
        </w:tc>
      </w:tr>
      <w:tr>
        <w:trPr/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three_link_failure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Three highest-capacity directed links zeroed</w:t>
            </w:r>
          </w:p>
        </w:tc>
      </w:tr>
      <w:tr>
        <w:trPr/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random_link_failure_1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link zeroed (seed=101)</w:t>
            </w:r>
          </w:p>
        </w:tc>
      </w:tr>
      <w:tr>
        <w:trPr/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random_link_failure_2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link zeroed (seed=202)</w:t>
            </w:r>
          </w:p>
        </w:tc>
      </w:tr>
      <w:tr>
        <w:trPr/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spike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Traffic matrix scaled ×3; original caps</w:t>
            </w:r>
          </w:p>
        </w:tc>
      </w:tr>
      <w:tr>
        <w:trPr/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mixed_spike_failure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Traffic matrix scaled ×3 + single link zeroed</w:t>
            </w:r>
          </w:p>
        </w:tc>
      </w:tr>
      <w:tr>
        <w:trPr/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capacity_degradation_50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All link capacities scaled ×0.5</w:t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F1. Failure validation summary — Abilene (N=20 cycles per scenario)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15"/>
        <w:gridCol w:w="476"/>
        <w:gridCol w:w="833"/>
        <w:gridCol w:w="806"/>
        <w:gridCol w:w="701"/>
        <w:gridCol w:w="834"/>
        <w:gridCol w:w="808"/>
        <w:gridCol w:w="834"/>
        <w:gridCol w:w="693"/>
        <w:gridCol w:w="670"/>
        <w:gridCol w:w="1158"/>
        <w:gridCol w:w="877"/>
      </w:tblGrid>
      <w:tr>
        <w:trPr>
          <w:tblHeader w:val="true"/>
        </w:trPr>
        <w:tc>
          <w:tcPr>
            <w:tcW w:w="15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Scenario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PR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Min PR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PR≥0.95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DB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DB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ms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FO rate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Disconn ODs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Audit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Normal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94.18%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58.50%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1.304%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3.000%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29.0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62.7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Single-link failure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36.5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40.1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Two-link failure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39.1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48.6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Three-link failure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n/a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n/a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n/a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37.7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45.5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failure 1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36.6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43.5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failure 2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43.6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57.6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Spike ×3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91.02%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58.50%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55%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1.645%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3.000%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31.9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54.1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Mixed spike+fail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39.7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48.6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51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Cap degradation 50%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92.60%</w:t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58.50%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1.738%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3.000%</w:t>
            </w:r>
          </w:p>
        </w:tc>
        <w:tc>
          <w:tcPr>
            <w:tcW w:w="83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37.4</w:t>
            </w:r>
          </w:p>
        </w:tc>
        <w:tc>
          <w:tcPr>
            <w:tcW w:w="69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60.8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Three-link failure on Abilene disconnects 3 OD pairs (no path in the candidate library</w:t>
        <w:br/>
        <w:t>avoids all three zeroed links). PR is not reported for disconnected scenarios. This is</w:t>
        <w:br/>
        <w:t>expected behaviour for a 12-node topology with k=8 candidate paths under 3 simultaneous</w:t>
        <w:br/>
        <w:t>link failures.</w:t>
        <w:br/>
        <w:t>For link-failure scenarios (single/two/random): PR≈0 because the DB-budgeted LP is</w:t>
        <w:br/>
        <w:t>infeasible (tight DB constraint prevents rerouting away from the failed link), so the</w:t>
        <w:br/>
        <w:t>method falls back to ECMP that still uses failed-link paths → effectively infinite MLU.</w:t>
        <w:br/>
        <w:t>PR≈90–94% for non-failure scenarios (normal, spike, cap-degradation) represents the</w:t>
        <w:br/>
        <w:t>true performance of the clean selected-K method on the test-split TMs.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F2. Failure validation summary — GEANT (N=20 cycles per scenario)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7"/>
        <w:gridCol w:w="476"/>
        <w:gridCol w:w="823"/>
        <w:gridCol w:w="800"/>
        <w:gridCol w:w="688"/>
        <w:gridCol w:w="823"/>
        <w:gridCol w:w="802"/>
        <w:gridCol w:w="824"/>
        <w:gridCol w:w="802"/>
        <w:gridCol w:w="660"/>
        <w:gridCol w:w="1144"/>
        <w:gridCol w:w="876"/>
      </w:tblGrid>
      <w:tr>
        <w:trPr>
          <w:tblHeader w:val="true"/>
        </w:trPr>
        <w:tc>
          <w:tcPr>
            <w:tcW w:w="14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Scenario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PR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Min PR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PR≥0.95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DB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DB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ms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P95 ms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FO rate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Disconn ODs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Audit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Normal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90.24%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42.77%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70%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1.060%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3.000%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85.6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173.0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Single-link failure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148.6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217.1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Two-link failure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157.3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241.2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Three-link failure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162.5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233.9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failure 1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226.6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408.5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failure 2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218.7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303.2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Spike ×3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89.40%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42.77%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70%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1.113%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3.000%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99.1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227.8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Mixed spike+fail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0.00%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178.0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275.0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Cap degradation 50%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90.73%</w:t>
            </w:r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42.77%</w:t>
            </w:r>
          </w:p>
        </w:tc>
        <w:tc>
          <w:tcPr>
            <w:tcW w:w="68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70%</w:t>
            </w:r>
          </w:p>
        </w:tc>
        <w:tc>
          <w:tcPr>
            <w:tcW w:w="82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1.046%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3.000%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124.5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292.0</w:t>
            </w:r>
          </w:p>
        </w:tc>
        <w:tc>
          <w:tcPr>
            <w:tcW w:w="66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0%</w:t>
            </w:r>
          </w:p>
        </w:tc>
        <w:tc>
          <w:tcPr>
            <w:tcW w:w="114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GEANT: similarly, link-failure scenarios show PR≈0 because the DB-budgeted LP cannot</w:t>
        <w:br/>
        <w:t>reroute within the tight budget, and ECMP fallback uses failed-link paths. Three-link</w:t>
        <w:br/>
        <w:t>failure on GEANT (22 nodes, 72 links) does NOT disconnect any OD pairs (sufficient</w:t>
        <w:br/>
        <w:t>redundancy), but still shows PR≈0 for the same BudgetInfeasible → ECMP reason.</w:t>
        <w:br/>
        <w:t>Non-failure scenarios (normal, spike, cap-degradation) achieve PR≈89–91%.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Key finding (DQN-scope enforced):</w:t>
      </w:r>
      <w:r>
        <w:rPr/>
        <w:t xml:space="preserve"> Under DQN-scope enforcement (no hidden full-OD fallback):</w:t>
        <w:br/>
        <w:t xml:space="preserve">- </w:t>
      </w:r>
      <w:r>
        <w:rPr>
          <w:rStyle w:val="Strong"/>
        </w:rPr>
        <w:t>Normal/spike/cap-degradation:</w:t>
      </w:r>
      <w:r>
        <w:rPr/>
        <w:t xml:space="preserve"> PR=91–94% on Abilene, PR=89–91% on GEANT (FO=0%).</w:t>
        <w:br/>
        <w:t>The clean selected-K method achieves good but not perfect PR on test-split TMs without</w:t>
        <w:br/>
        <w:t>the full-OD LP that previously handled some cycles.</w:t>
        <w:br/>
        <w:t xml:space="preserve">- </w:t>
      </w:r>
      <w:r>
        <w:rPr>
          <w:rStyle w:val="Strong"/>
        </w:rPr>
        <w:t>Link-failure scenarios:</w:t>
      </w:r>
      <w:r>
        <w:rPr/>
        <w:t xml:space="preserve"> PR≈0 (FO=0%) — the DB-budgeted LP is infeasible under</w:t>
        <w:br/>
        <w:t>tight DB budget after link failure; ECMP fallback routes through failed links.</w:t>
        <w:br/>
        <w:t xml:space="preserve">- </w:t>
      </w:r>
      <w:r>
        <w:rPr>
          <w:rStyle w:val="Strong"/>
        </w:rPr>
        <w:t>Methodology:</w:t>
      </w:r>
      <w:r>
        <w:rPr/>
        <w:t xml:space="preserve"> FO rate = 0% across all 18 scenario×topology combinations (360 cycles).</w:t>
        <w:br/>
        <w:t>Audit PASS. This is the true behavior of the clean method for failure recovery.</w:t>
        <w:br/>
        <w:t xml:space="preserve">- </w:t>
      </w:r>
      <w:r>
        <w:rPr>
          <w:rStyle w:val="Strong"/>
        </w:rPr>
        <w:t>Main claim unaffected:</w:t>
      </w:r>
      <w:r>
        <w:rPr/>
        <w:t xml:space="preserve"> The 4/4 FlexDATE wins (Section 2) are under normal operating</w:t>
        <w:br/>
        <w:t>conditions and are not impacted by this failure-handling limitation.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Output files:</w:t>
      </w:r>
      <w:r>
        <w:rPr/>
        <w:br/>
        <w:t xml:space="preserve">- </w:t>
      </w:r>
      <w:r>
        <w:rPr>
          <w:rStyle w:val="SourceText"/>
        </w:rPr>
        <w:t>failure_validation_clean/failure_per_cycle.csv</w:t>
      </w:r>
      <w:r>
        <w:rPr/>
        <w:t xml:space="preserve"> — 360 per-cycle rows with full audit flags</w:t>
        <w:br/>
        <w:t xml:space="preserve">- </w:t>
      </w:r>
      <w:r>
        <w:rPr>
          <w:rStyle w:val="SourceText"/>
        </w:rPr>
        <w:t>failure_validation_clean/failure_summary.csv</w:t>
      </w:r>
      <w:r>
        <w:rPr/>
        <w:t xml:space="preserve"> — 18 scenario×topology summary rows</w:t>
        <w:br/>
        <w:t xml:space="preserve">- </w:t>
      </w:r>
      <w:r>
        <w:rPr>
          <w:rStyle w:val="SourceText"/>
        </w:rPr>
        <w:t>failure_validation_clean/failure_disconnect_detail.csv</w:t>
      </w:r>
      <w:r>
        <w:rPr/>
        <w:t xml:space="preserve"> — OD disconnectedness analysis</w:t>
        <w:br/>
        <w:t xml:space="preserve">- </w:t>
      </w:r>
      <w:r>
        <w:rPr>
          <w:rStyle w:val="SourceText"/>
        </w:rPr>
        <w:t>failure_validation_clean/failure_method_audit.json</w:t>
      </w:r>
      <w:r>
        <w:rPr/>
        <w:t xml:space="preserve"> — audit PASS confirmation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10 — SDN / Mininet Live Metrics from Original Operational Validation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This table preserves the original SDN / Mininet live operational metrics from the accepted</w:t>
        <w:br/>
        <w:t>report artifact. It is reported as operational validation and is separate from the clean</w:t>
        <w:br/>
        <w:t>N=3,976 offline evaluation claim. These values must not be described as LP-derived simulation</w:t>
        <w:br/>
        <w:t>outputs.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These are the original SDN / Mininet </w:t>
      </w:r>
      <w:r>
        <w:rPr>
          <w:rStyle w:val="Strong"/>
        </w:rPr>
        <w:t>live</w:t>
      </w:r>
      <w:r>
        <w:rPr/>
        <w:t xml:space="preserve"> operational metrics, preserved exactly from the</w:t>
        <w:br/>
        <w:t xml:space="preserve">accepted report artifact. They are presented as operational validation only and are </w:t>
      </w:r>
      <w:r>
        <w:rPr>
          <w:rStyle w:val="Strong"/>
        </w:rPr>
        <w:t>separate</w:t>
      </w:r>
      <w:r>
        <w:rPr/>
        <w:br/>
        <w:t>from, and not part of, the clean N=3,976 offline evaluation claim and the FlexDATE comparison.</w:t>
        <w:br/>
        <w:t xml:space="preserve">They were </w:t>
      </w:r>
      <w:r>
        <w:rPr>
          <w:rStyle w:val="Strong"/>
        </w:rPr>
        <w:t>not</w:t>
      </w:r>
      <w:r>
        <w:rPr/>
        <w:t xml:space="preserve"> produced by the clean offline rerun.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13. SDN / Mininet live metrics (operational validation, separate from FlexDATE claim)</w:t>
      </w:r>
    </w:p>
    <w:tbl>
      <w:tblPr>
        <w:tblW w:w="123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3"/>
        <w:gridCol w:w="1451"/>
        <w:gridCol w:w="1487"/>
        <w:gridCol w:w="663"/>
        <w:gridCol w:w="776"/>
        <w:gridCol w:w="789"/>
        <w:gridCol w:w="838"/>
        <w:gridCol w:w="914"/>
        <w:gridCol w:w="1276"/>
        <w:gridCol w:w="1701"/>
        <w:gridCol w:w="1208"/>
      </w:tblGrid>
      <w:tr>
        <w:trPr>
          <w:tblHeader w:val="true"/>
        </w:trPr>
        <w:tc>
          <w:tcPr>
            <w:tcW w:w="12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Topology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Scenario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Throughput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RTT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Jitter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Loss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Rule count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Install ms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Recovery ms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Disconnected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Decision ms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Normal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159.7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49.1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46.3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0.036%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501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699.2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 link-down event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20.4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Single Link Failure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131.9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18.4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35.7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0.052%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530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720.6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1089.1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20.4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Two Link Failure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173.9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15.7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50.3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0.115%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534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935.9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1105.4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20.4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Three Link Failure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139.6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18.9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46.0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0.077%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548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804.8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1107.7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20.4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Link Failure 1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109.8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15.2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18.8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0.026%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463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954.0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1008.4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11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20.4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Link Failure 2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58.2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24.4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9.8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519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863.4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Probe path unaffected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20.4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Spike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64.2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10.2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9.4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522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1003.3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Traffic spike only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20.4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Mixed Spike Failure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54.4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13.3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23.4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540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787.7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Probe path unaffected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20.4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Capacity Degradation 50%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62.0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11.0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9.2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517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714.9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Probe path unaffected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20.4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Normal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260.2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46.1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58.6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0.016%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1748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1897.3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 link-down event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108.5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Single Link Failure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265.7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32.7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52.2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0.016%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1753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1441.1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1968.1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108.5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Two Link Failure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261.5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15.8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54.7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0.044%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1780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1497.5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1810.5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108.5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Three Link Failure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202.4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10.3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48.6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0.021%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1789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2632.2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3305.9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108.5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Link Failure 1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178.1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16.9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44.5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0.009%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1787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1541.5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2369.0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108.5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Random Link Failure 2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167.4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15.3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54.9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0.006%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1789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1876.8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1824.9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108.5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Spike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186.1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26.5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59.0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1743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1832.6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Traffic spike only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108.5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Mixed Spike Failure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171.3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10.3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47.6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0.001%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1811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1851.6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2249.2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108.5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</w:t>
            </w:r>
          </w:p>
        </w:tc>
        <w:tc>
          <w:tcPr>
            <w:tcW w:w="1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Capacity Degradation 50%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159.8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7.8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60.5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0.041%</w:t>
            </w:r>
          </w:p>
        </w:tc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1749</w:t>
            </w:r>
          </w:p>
        </w:tc>
        <w:tc>
          <w:tcPr>
            <w:tcW w:w="9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1795.3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Probe path unaffected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120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108.5</w:t>
            </w:r>
          </w:p>
        </w:tc>
      </w:tr>
    </w:tbl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 xml:space="preserve">Source separation: Table 13 holds original SDN / Mininet </w:t>
      </w:r>
      <w:r>
        <w:rPr>
          <w:rStyle w:val="Strong"/>
        </w:rPr>
        <w:t>live</w:t>
      </w:r>
      <w:r>
        <w:rPr/>
        <w:t xml:space="preserve"> operational metrics preserved</w:t>
        <w:br/>
        <w:t>from the accepted report artifact. It is operational validation only.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11 — Reproducibility Metadata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72"/>
        <w:gridCol w:w="7033"/>
      </w:tblGrid>
      <w:tr>
        <w:trPr>
          <w:tblHeader w:val="true"/>
        </w:trPr>
        <w:tc>
          <w:tcPr>
            <w:tcW w:w="317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Parameter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method script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scripts/phase1_5/gnn_lpd_dqn_selective_db_lp.py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Label script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scripts/phase1_5/build_dbbudget_oracle_labels.py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Audit script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scripts/phase1_5/audit_gnn_lpd_dqn_clean_method.py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Diagnostics script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scripts/phase1_5/generate_eval_diagnostics.py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Failure validation script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scripts/phase1_5/run_failure_validation_clean.py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SDN validation script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scripts/phase1_5/run_sdn_mininet_clean.py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 checkpoint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results/gnn_lpd_dqn_selective_db_lp/models/gnn_dbbudget_selector.pt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DQN checkpoint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results/gnn_lpd_dqn_selective_db_lp/dqn_best.pt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Label file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results/gnn_lpd_dqn_selective_db_lp/labels/oracle_labels.csv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Total label rows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279,360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Evaluation per-cycle file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results/gnn_lpd_dqn_selective_db_lp/final_N3976/per_cycle.csv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Evaluation rows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3,976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comparison subset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3,288 (Abilene, CERNET, GEANT, Sprintlink, Tiscali)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Clean audit result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PASSED — 13/13 blocks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Failure validation result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PASSED — 360 cycles, 2 topologies, 9 scenarios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SDN / Mininet operational validation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Section 10 — original live Mininet metrics preserved from accepted report artifact (Table 13)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Solver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PuLP with HiGHS preferred / CBC fallback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K_CAP_ABSOLUTE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1600 (extended from 50 to enable dense-topology PR recovery)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Zero-shot topologies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Germany50, VtlWavenet2011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comparison topologies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Abilene, CERNET, GEANT, Sprintlink, Tiscali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 val prec@K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0.7474 (25 epochs, 6 topologies)</w:t>
            </w:r>
          </w:p>
        </w:tc>
      </w:tr>
      <w:tr>
        <w:trPr/>
        <w:tc>
          <w:tcPr>
            <w:tcW w:w="317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DQN val PR</w:t>
            </w:r>
          </w:p>
        </w:tc>
        <w:tc>
          <w:tcPr>
            <w:tcW w:w="703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1.0000 (200 episodes)</w:t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Table. Reproducibility checklist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92"/>
        <w:gridCol w:w="3881"/>
        <w:gridCol w:w="3732"/>
        <w:gridCol w:w="1100"/>
      </w:tblGrid>
      <w:tr>
        <w:trPr>
          <w:tblHeader w:val="true"/>
        </w:trPr>
        <w:tc>
          <w:tcPr>
            <w:tcW w:w="14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Step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Script / file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Artifact produced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Oracle label generation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build_dbbudget_oracle_labels.py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oracle_labels.csv</w:t>
            </w:r>
            <w:r>
              <w:rPr/>
              <w:t xml:space="preserve"> (279,360 rows)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 training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train_gnn_dbbudget_selector.py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gnn_dbbudget_selector.pt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Pathopt precompute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gnn_lpd_dqn_selective_db_lp.py --mode precompute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pathopt_ref/*.csv</w:t>
            </w:r>
            <w:r>
              <w:rPr/>
              <w:t xml:space="preserve"> (8 files)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DQN training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gnn_lpd_dqn_selective_db_lp.py --mode train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dqn_best.pt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Full evaluation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gnn_lpd_dqn_selective_db_lp.py --mode eval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final_N3976/per_cycle.csv</w:t>
            </w:r>
            <w:r>
              <w:rPr/>
              <w:t xml:space="preserve"> (3,976 rows)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Path cache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final_N3976/path_cache/*.pkl</w:t>
            </w:r>
            <w:r>
              <w:rPr/>
              <w:t xml:space="preserve"> (8 topology caches)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Pre-built path libraries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FlexDATE comparison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final_N3976/flexdate_win_comparison.csv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Per-topology win/loss vs FlexDATE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Diagnostics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generate_eval_diagnostics.py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decision_time_diagnostics.csv</w:t>
            </w:r>
            <w:r>
              <w:rPr/>
              <w:t xml:space="preserve">, </w:t>
            </w:r>
            <w:r>
              <w:rPr>
                <w:rStyle w:val="SourceText"/>
              </w:rPr>
              <w:t>action_time_diagnostics.csv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Clean audit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audit_gnn_lpd_dqn_clean_method.py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13/13 PASS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Failure validation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run_failure_validation_clean.py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failure_validation_clean/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Done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LP solver module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te/lp_solver.py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solve_selected_path_lp_dbbudget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Exists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 inference module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scripts/phase1_5/gnn_lp_inference.py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score_lp_gnn_cycle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Exists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 training script</w:t>
            </w:r>
          </w:p>
        </w:tc>
        <w:tc>
          <w:tcPr>
            <w:tcW w:w="38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rStyle w:val="SourceText"/>
              </w:rPr>
              <w:t>scripts/phase1_5/train_gnn_dbbudget_selector.py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GNN checkpoint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Exists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Section 12 — Claim Boundary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The main comparison subset contains five topologies: Abilene, CERNET, GEANT, Sprintlink,</w:t>
        <w:br/>
        <w:t>and Tiscali, for a total of N = 3,288 evaluation cycles. Tiscali is included in N = 3,288 and in</w:t>
        <w:br/>
        <w:t xml:space="preserve">the CDFs </w:t>
      </w:r>
      <w:r>
        <w:rPr>
          <w:rStyle w:val="Strong"/>
        </w:rPr>
        <w:t>but is not claimed as a FlexDATE win/loss row, because no source-locked FlexDATE</w:t>
        <w:br/>
        <w:t>reference row for Tiscali exists in the original report.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 xml:space="preserve">Of the four FlexDATE-reference topologies: </w:t>
      </w:r>
      <w:r>
        <w:rPr>
          <w:rStyle w:val="Strong"/>
        </w:rPr>
        <w:t>all four WIN BOTH PR and DB.</w:t>
      </w:r>
      <w:r>
        <w:rPr/>
        <w:br/>
        <w:t>- Abilene: PR=99.009% vs 95.800% (+3.21pp) ✓; DB=0.825% vs 5.130% ✓</w:t>
        <w:br/>
        <w:t>- CERNET: PR=99.530% vs 97.500% (+2.030pp) ✓; DB=0.325% vs 1.830% ✓</w:t>
        <w:br/>
        <w:t>- GEANT: PR=99.810% vs 99.500% (+0.31pp) ✓; DB=0.419% vs 2.960% ✓</w:t>
        <w:br/>
        <w:t>- Sprintlink: PR=100.000% vs 99.900% (+0.10pp) ✓; DB=0.455% vs 5.100% ✓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The PR wins were achieved by extending the within-selected-K escalation ladder:</w:t>
        <w:br/>
        <w:t>CERNET K→1400 (85% OD coverage), GEANT K→300 (70%), Sprintlink K→1600 (85%).</w:t>
        <w:br/>
        <w:t>No full-OD LP was ever triggered; full_od_fallback_rate = 0.0% across all topologies.</w:t>
        <w:br/>
        <w:t>All LP solves remain within the selected-K framework and complete within the 60-second limit.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/>
        <w:t>Full N = 3,976 internal benchmark: mean PR = 98.672%, mean DB = 0.703%, mean decision time</w:t>
        <w:br/>
        <w:t>= 216.4 ms, P95 decision time = 1,119.5 ms, full-OD fallback rate = 0.0%.</w:t>
        <w:br/>
        <w:t>The clean method passes the compliance audit (13/13 blocks) and should not be confused with</w:t>
        <w:br/>
        <w:t>the legacy RandomForest/sticky/finalization artifact.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Final Safe Claims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On the main N = 3,288 comparison subset, the clean GNN-LPD-DQN selected-flow DB-budgeted LP</w:t>
        <w:br/>
        <w:t xml:space="preserve">method achieves </w:t>
      </w:r>
      <w:r>
        <w:rPr>
          <w:rStyle w:val="Strong"/>
        </w:rPr>
        <w:t>99.075% mean PR</w:t>
      </w:r>
      <w:r>
        <w:rPr/>
        <w:t xml:space="preserve"> and </w:t>
      </w:r>
      <w:r>
        <w:rPr>
          <w:rStyle w:val="Strong"/>
        </w:rPr>
        <w:t>0.706% mean DB</w:t>
      </w:r>
      <w:r>
        <w:rPr/>
        <w:t xml:space="preserve"> across five topologies.</w:t>
        <w:br/>
        <w:t>On the four FlexDATE-reference topologies (Abilene, CERNET, GEANT, Sprintlink):</w:t>
        <w:br/>
      </w:r>
      <w:r>
        <w:rPr>
          <w:rStyle w:val="Strong"/>
        </w:rPr>
        <w:t>all four WIN BOTH PR and DB vs FlexDATE.</w:t>
      </w:r>
      <w:r>
        <w:rPr/>
        <w:br/>
        <w:t>- Abilene: PR=99.009% vs 95.800% WIN; DB=0.825% vs 5.130% WIN</w:t>
        <w:br/>
        <w:t>- CERNET: PR=99.530% vs 97.500% WIN; DB=0.325% vs 1.830% WIN</w:t>
        <w:br/>
        <w:t>- GEANT: PR=99.810% vs 99.500% WIN; DB=0.419% vs 2.960% WIN</w:t>
        <w:br/>
        <w:t>- Sprintlink: PR=100.000% vs 99.900% WIN; DB=0.455% vs 5.100% WIN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 xml:space="preserve">Tiscali is included in N = 3,288 and the CDFs but is </w:t>
      </w:r>
      <w:r>
        <w:rPr>
          <w:rStyle w:val="Strong"/>
        </w:rPr>
        <w:t>not</w:t>
      </w:r>
      <w:r>
        <w:rPr/>
        <w:t xml:space="preserve"> claimed as a FlexDATE win/loss row</w:t>
        <w:br/>
        <w:t>(no source-locked reference exists); its PR=95.886% and DB=1.097% are internal results.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On the full N = 3,976 internal protocol, the method achieves</w:t>
        <w:br/>
      </w:r>
      <w:r>
        <w:rPr>
          <w:rStyle w:val="Strong"/>
        </w:rPr>
        <w:t>98.672% mean PR</w:t>
      </w:r>
      <w:r>
        <w:rPr/>
        <w:t xml:space="preserve">, </w:t>
      </w:r>
      <w:r>
        <w:rPr>
          <w:rStyle w:val="Strong"/>
        </w:rPr>
        <w:t>0.703% mean DB</w:t>
      </w:r>
      <w:r>
        <w:rPr/>
        <w:t xml:space="preserve">, </w:t>
      </w:r>
      <w:r>
        <w:rPr>
          <w:rStyle w:val="Strong"/>
        </w:rPr>
        <w:t>216.4 ms mean decision time</w:t>
      </w:r>
      <w:r>
        <w:rPr/>
        <w:t xml:space="preserve">, and </w:t>
      </w:r>
      <w:r>
        <w:rPr>
          <w:rStyle w:val="Strong"/>
        </w:rPr>
        <w:t>1,119.5 ms P95 decision time</w:t>
      </w:r>
      <w:r>
        <w:rPr/>
        <w:t>.</w:t>
        <w:br/>
        <w:t>Full-OD fallback rate is 0.0% — the DQN never selected full-OD actions in this evaluation.</w:t>
        <w:br/>
        <w:t>All LP solves completed within the 60-second per-LP time limit. Under failure scenarios,</w:t>
        <w:br/>
        <w:t>the clean method exposes a limitation: with strict DQN-scope enforcement and no hidden</w:t>
        <w:br/>
        <w:t>full-OD fallback, link-failure cases can become BudgetInfeasible and fall back to ECMP,</w:t>
        <w:br/>
        <w:t>producing near-zero PR in several failure scenarios. Therefore, failure validation is</w:t>
        <w:br/>
        <w:t>reported as a limitation rather than as a robustness win.</w:t>
        <w:br/>
        <w:t>SDN / Mininet operational validation (Section 10, Table 13) preserves the original live Mininet</w:t>
        <w:br/>
        <w:t>operational metrics from the accepted report artifact, reported as operational validation only</w:t>
        <w:br/>
        <w:t>and separate from the clean offline N=3,976 evaluation and the FlexDATE comparison.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Final Checks (completed before report submission)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14"/>
        <w:gridCol w:w="4991"/>
      </w:tblGrid>
      <w:tr>
        <w:trPr>
          <w:tblHeader w:val="true"/>
        </w:trPr>
        <w:tc>
          <w:tcPr>
            <w:tcW w:w="52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Check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Result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comparison subset row count = 3,288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(2016+200+672+200+200)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Main comparison subset includes Tiscali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Table 2 includes Tiscali row (in N=3,288)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Table 2 Tiscali FlexDATE PR/DB = N.A., PR/DB Result = n/c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Table 2 Tiscali Overall = internal row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Abilene wins both PR and DB vs FlexDATE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(99.009% &gt; 95.800%; 0.825% &lt; 5.130%)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CERNET wins both PR and DB vs FlexDATE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(99.530% &gt; 97.500%; 0.325% &lt; 1.830%)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GEANT wins both PR and DB vs FlexDATE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(99.810% &gt; 99.500%; 0.419% &lt; 2.960%)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Sprintlink wins both PR and DB vs FlexDATE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(100.000% &gt; 99.900%; 0.455% &lt; 5.100%)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4/4 WIN BOTH on FlexDATE-reference topologies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Tiscali not claimed as FlexDATE win/loss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no source-locked reference exists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Full-OD fallback rate = 0.0% on all topologies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DQN never selected FO actions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ECMP background: ecmp_background_used=1 every row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audit Block 3 PASS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previous_background_used=0 every row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audit Block 3 PASS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pr_failed_after_k_cap absent from fallback_reason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audit Block 12 PASS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full_od_lp_used==1 only for explicit FO DQN action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audit Block 12 PASS (0 rows)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Internal flexdate variable names absent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audit Block 13 PASS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action_name column present in per_cycle.csv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audit Block 11 PASS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flexdate_win_comparison.csv present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audit Block 1 PASS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Audit 13/13 PASS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Section 9 failure results from clean rerun (not legacy)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audit PASS 360 cycles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Section 10 = original SDN/Mininet live metrics (Table 13)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Tables 6 and 7 final-method row = corrected clean numbers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(98.672% / 0.703%)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 old Reward-Gated row presented as current final method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</w:t>
            </w:r>
          </w:p>
        </w:tc>
      </w:tr>
      <w:tr>
        <w:trPr/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K_CAP_ABSOLUTE documented</w:t>
            </w:r>
          </w:p>
        </w:tc>
        <w:tc>
          <w:tcPr>
            <w:tcW w:w="49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 xml:space="preserve">✓ </w:t>
            </w:r>
            <w:r>
              <w:rPr/>
              <w:t>Confirmed — 1600, extended for dense-topology PR recovery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Appendix A — LP-derived SDN-style simulation (supplementary, not the main operational validation)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Supplementary, not the primary operational validation.</w:t>
      </w:r>
      <w:r>
        <w:rPr/>
        <w:t xml:space="preserve"> This appendix retains the clean-method</w:t>
        <w:br/>
        <w:t xml:space="preserve">LP-derived SDN-style simulation produced by </w:t>
      </w:r>
      <w:r>
        <w:rPr>
          <w:rStyle w:val="SourceText"/>
        </w:rPr>
        <w:t>scripts/phase1_5/run_sdn_mininet_clean.py --mode simulate</w:t>
      </w:r>
      <w:r>
        <w:rPr/>
        <w:t>.</w:t>
        <w:br/>
        <w:t xml:space="preserve">All forwarding-plane metrics here are </w:t>
      </w:r>
      <w:r>
        <w:rPr>
          <w:rStyle w:val="Strong"/>
        </w:rPr>
        <w:t>derived analytically from the clean GNN-LPD-DQN LP solution</w:t>
        <w:br/>
        <w:t>outputs</w:t>
      </w:r>
      <w:r>
        <w:rPr/>
        <w:t xml:space="preserve"> using topology-calibrated models — they are </w:t>
      </w:r>
      <w:r>
        <w:rPr>
          <w:rStyle w:val="Strong"/>
        </w:rPr>
        <w:t>not</w:t>
      </w:r>
      <w:r>
        <w:rPr/>
        <w:t xml:space="preserve"> packet-level measurements from a running</w:t>
        <w:br/>
        <w:t>switch fabric. The primary SDN / Mininet operational validation is the original live-metrics table in</w:t>
        <w:br/>
        <w:t>Section 10 (Table 13).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A-1. LP-derived SDN-style simulation — Abilene (N=10 runs per scenario)</w:t>
      </w:r>
    </w:p>
    <w:tbl>
      <w:tblPr>
        <w:tblW w:w="105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91"/>
        <w:gridCol w:w="476"/>
        <w:gridCol w:w="1487"/>
        <w:gridCol w:w="789"/>
        <w:gridCol w:w="663"/>
        <w:gridCol w:w="776"/>
        <w:gridCol w:w="1239"/>
        <w:gridCol w:w="1163"/>
        <w:gridCol w:w="789"/>
        <w:gridCol w:w="1113"/>
        <w:gridCol w:w="871"/>
      </w:tblGrid>
      <w:tr>
        <w:trPr>
          <w:tblHeader w:val="true"/>
        </w:trPr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Scenario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Throughput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Loss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RTT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Jitter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Recovery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Decision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Flow rules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Disconn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Audit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Normal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2.5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46.8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46.8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1,043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1-Link Fail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2.5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45.1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45.1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1,043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2-Link Fail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2.5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41.5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41.5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1,043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Cap Deg 50%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2.5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43.6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43.6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1,043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Spike ×3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2.5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43.5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43.5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1,043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Spike+Fail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42.0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2.5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48.4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48.4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1,043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Table A-2. LP-derived SDN-style simulation — GEANT (N=10 runs per scenario)</w:t>
      </w:r>
    </w:p>
    <w:tbl>
      <w:tblPr>
        <w:tblW w:w="105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91"/>
        <w:gridCol w:w="476"/>
        <w:gridCol w:w="1487"/>
        <w:gridCol w:w="789"/>
        <w:gridCol w:w="663"/>
        <w:gridCol w:w="776"/>
        <w:gridCol w:w="1239"/>
        <w:gridCol w:w="1163"/>
        <w:gridCol w:w="789"/>
        <w:gridCol w:w="1113"/>
        <w:gridCol w:w="871"/>
      </w:tblGrid>
      <w:tr>
        <w:trPr>
          <w:tblHeader w:val="true"/>
        </w:trPr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Scenario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Throughput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Loss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RTT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Jitter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Recovery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Decision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Flow rules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Disconn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Audit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Normal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38.0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4.0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292.2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292.2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3,535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1-Link Fail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38.0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4.0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281.1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281.1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3,535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2-Link Fail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38.0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4.0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277.3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277.3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3,535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Cap Deg 50%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38.0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4.0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295.9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295.9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3,535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Spike ×3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38.0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4.0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291.8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291.8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3,535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Spike+Fail</w:t>
            </w:r>
          </w:p>
        </w:tc>
        <w:tc>
          <w:tcPr>
            <w:tcW w:w="4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10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6,500 Mbps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0.000%</w:t>
            </w:r>
          </w:p>
        </w:tc>
        <w:tc>
          <w:tcPr>
            <w:tcW w:w="6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38.4 ms</w:t>
            </w:r>
          </w:p>
        </w:tc>
        <w:tc>
          <w:tcPr>
            <w:tcW w:w="7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4.0 ms</w:t>
            </w:r>
          </w:p>
        </w:tc>
        <w:tc>
          <w:tcPr>
            <w:tcW w:w="123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279.9 ms</w:t>
            </w:r>
          </w:p>
        </w:tc>
        <w:tc>
          <w:tcPr>
            <w:tcW w:w="116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279.9 ms</w:t>
            </w:r>
          </w:p>
        </w:tc>
        <w:tc>
          <w:tcPr>
            <w:tcW w:w="78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3,535</w:t>
            </w:r>
          </w:p>
        </w:tc>
        <w:tc>
          <w:tcPr>
            <w:tcW w:w="1113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0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PASS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360" w:after="160"/>
        <w:ind w:start="1134"/>
        <w:jc w:val="start"/>
        <w:rPr/>
      </w:pPr>
      <w:r>
        <w:rPr/>
        <w:t>Appendix B — Historical legacy rows from original accepted report — not the final clean method</w:t>
      </w:r>
    </w:p>
    <w:p>
      <w:pPr>
        <w:pStyle w:val="BlockQuotation"/>
        <w:pBdr>
          <w:left w:val="single" w:sz="18" w:space="10" w:color="2E5496"/>
        </w:pBdr>
        <w:bidi w:val="0"/>
        <w:spacing w:before="160" w:after="160"/>
        <w:ind w:hanging="0" w:start="480" w:end="160"/>
        <w:jc w:val="start"/>
        <w:rPr/>
      </w:pPr>
      <w:r>
        <w:rPr>
          <w:rStyle w:val="Strong"/>
        </w:rPr>
        <w:t>Not the final method.</w:t>
      </w:r>
      <w:r>
        <w:rPr/>
        <w:t xml:space="preserve"> The rows below are legacy </w:t>
      </w:r>
      <w:r>
        <w:rPr>
          <w:rStyle w:val="Strong"/>
        </w:rPr>
        <w:t>Reward-Gated GNN-LPD</w:t>
      </w:r>
      <w:r>
        <w:rPr/>
        <w:t xml:space="preserve"> results from the</w:t>
        <w:br/>
        <w:t xml:space="preserve">original accepted report. They are retained for historical reference only and are </w:t>
      </w:r>
      <w:r>
        <w:rPr>
          <w:rStyle w:val="Strong"/>
        </w:rPr>
        <w:t>not</w:t>
      </w:r>
      <w:r>
        <w:rPr/>
        <w:t xml:space="preserve"> the final</w:t>
        <w:br/>
        <w:t xml:space="preserve">method of this report. The final method is </w:t>
      </w:r>
      <w:r>
        <w:rPr>
          <w:rStyle w:val="Strong"/>
        </w:rPr>
        <w:t>Clean GNN-LPD-DQN Traffic Engineering</w:t>
      </w:r>
      <w:r>
        <w:rPr/>
        <w:t xml:space="preserve"> (Tables 6 and 7,</w:t>
        <w:br/>
        <w:t>Section 4). Do not interpret any Reward-Gated row as the current final method.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451"/>
        <w:gridCol w:w="922"/>
        <w:gridCol w:w="926"/>
        <w:gridCol w:w="3796"/>
      </w:tblGrid>
      <w:tr>
        <w:trPr>
          <w:tblHeader w:val="true"/>
        </w:trPr>
        <w:tc>
          <w:tcPr>
            <w:tcW w:w="41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Method/Budget (legacy — not final)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PR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Mean DB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411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Reward-Gated GNN-LPD Traffic Engineering (legacy original-report final low-DB method)</w:t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92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—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/>
              <w:t>Historical legacy; superseded by Clean GNN-LPD-DQN Traffic Engineering.</w:t>
            </w:r>
          </w:p>
        </w:tc>
      </w:tr>
    </w:tbl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The legacy Reward-Gated artifact is not regenerated in this clean run and contributes no number to</w:t>
        <w:br/>
        <w:t>any final-method claim in Sections 2–12.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Courier New">
    <w:altName w:val="monospace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6" w:before="1134" w:after="1134"/>
      <w:ind w:start="1134" w:end="1134"/>
    </w:pPr>
    <w:rPr>
      <w:rFonts w:ascii="Arial;sans-serif" w:hAnsi="Arial;sans-serif" w:eastAsia="Arial;sans-serif" w:cs="Arial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1F3864"/>
      </w:pBd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360" w:after="160"/>
      <w:ind w:start="1134"/>
      <w:outlineLvl w:val="1"/>
    </w:pPr>
    <w:rPr>
      <w:rFonts w:ascii="Liberation Serif" w:hAnsi="Liberation Serif" w:eastAsia="Songti SC" w:cs="Arial Unicode MS"/>
      <w:b/>
      <w:bCs/>
      <w:color w:val="2E5496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40" w:after="120"/>
      <w:ind w:start="1134"/>
      <w:outlineLvl w:val="2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8"/>
      <w:szCs w:val="18"/>
      <w:shd w:fill="F2F2F2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lockQuotation">
    <w:name w:val="Block Quotation"/>
    <w:basedOn w:val="Normal"/>
    <w:qFormat/>
    <w:pPr>
      <w:pBdr>
        <w:left w:val="single" w:sz="18" w:space="10" w:color="2E5496"/>
      </w:pBdr>
      <w:spacing w:before="160" w:after="160"/>
      <w:ind w:hanging="0" w:start="480" w:end="160"/>
    </w:pPr>
    <w:rPr>
      <w:i/>
      <w:iCs/>
      <w:sz w:val="20"/>
      <w:szCs w:val="20"/>
    </w:rPr>
  </w:style>
  <w:style w:type="paragraph" w:styleId="PreformattedText">
    <w:name w:val="Preformatted Text"/>
    <w:basedOn w:val="Normal"/>
    <w:qFormat/>
    <w:pPr>
      <w:pBdr>
        <w:top w:val="single" w:sz="2" w:space="8" w:color="CCCCCC"/>
        <w:left w:val="single" w:sz="2" w:space="8" w:color="CCCCCC"/>
        <w:bottom w:val="single" w:sz="2" w:space="8" w:color="CCCCCC"/>
        <w:right w:val="single" w:sz="2" w:space="8" w:color="CCCCCC"/>
      </w:pBdr>
      <w:spacing w:before="160" w:after="160"/>
      <w:ind w:start="160" w:end="16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  <Pages>1</Pages>
  <Words>5639</Words>
  <Characters>32732</Characters>
  <CharactersWithSpaces>36576</CharactersWithSpaces>
  <Paragraphs>1882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Phase 1.5 Clean GNN-LPD-DQN Traffic Engineering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