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Phase 1.5 Clean GNN-LPD-DQN Traffic Engineering Report</w:t>
      </w:r>
    </w:p>
    <w:p>
      <w:pPr>
        <w:spacing w:after="600" w:before="4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Main comparison subset N = 3,288 including Tiscali; full internal protocol N = 3,976 reported separately</w:t>
      </w:r>
    </w:p>
    <w:p>
      <w:pPr>
        <w:pBdr>
          <w:left w:val="single" w:color="2E75B6" w:sz="8" w:space="8"/>
        </w:pBdr>
        <w:spacing w:after="60" w:before="60"/>
        <w:ind w:left="7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Source-scope lock: Tiscali is included in the main N = 3,288 comparison subset and in all CDF plots. A locked FlexDATE reference for Tiscali exists (PR=0.999, DB=0.0510). Tiscali PR=100.000% (WIN) and DB=0.714% (WIN). Runtime is the only limitation. Full N = 3,976 internal benchmark results are reported separately.</w:t>
      </w:r>
    </w:p>
    <w:p>
      <w:pPr>
        <w:pBdr>
          <w:left w:val="single" w:color="2E75B6" w:sz="8" w:space="8"/>
        </w:pBdr>
        <w:spacing w:after="60" w:before="60"/>
        <w:ind w:left="7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Method lock: The final clean method is named Clean GNN-LPD-DQN Traffic Engineering. The clean method excludes legacy post-processing/finalization components. All clean-method details are in the compliance audit section.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Method Identity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Traffic matrix + topology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-&gt; DB-budgeted LP-distilled GNN-LPD critical-OD selector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-&gt; DQN controller chooses K / action / budget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-&gt; selected critical ODs -&gt; one-stage selected-flow DB-budgeted LP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-&gt; noncritical ODs remain on ECMP or previous routing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-&gt; capped K escalation if PR/MLU guard fails (K30 -&gt; K40 -&gt; K50)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-&gt; full-OD fallback only after selected-K cap fails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  -&gt; evaluation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Mandatory compliance: </w:t>
      </w:r>
      <w:r>
        <w:rPr>
          <w:rFonts w:ascii="Arial" w:cs="Arial" w:eastAsia="Arial" w:hAnsi="Arial"/>
          <w:sz w:val="18"/>
          <w:szCs w:val="18"/>
        </w:rPr>
        <w:t xml:space="preserve">GNN-LPD selector  |  DQN controller  |  One-stage selected-flow DB-budgeted LP  |  No heuristic criticality  |  No RandomForest  |  No sticky gate  |  No Stage-2 DB LP  |  No disturbance-finalization LP  |  No legacy finalization components (details in audit section)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 — Dataset Protocol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1. Dataset and TM Protocol</w:t>
      </w:r>
    </w:p>
    <w:tbl>
      <w:tblPr>
        <w:tblW w:type="dxa" w:w="11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1200"/>
        <w:gridCol w:w="1100"/>
        <w:gridCol w:w="1300"/>
        <w:gridCol w:w="1420"/>
        <w:gridCol w:w="1200"/>
        <w:gridCol w:w="1160"/>
        <w:gridCol w:w="1100"/>
        <w:gridCol w:w="1680"/>
      </w:tblGrid>
      <w:tr>
        <w:trPr>
          <w:tblHeader/>
        </w:trP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TM Source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Train TMs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 TMs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Train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 Test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Seen training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2,016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2,016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1,612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203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2016–4031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GEANT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Seen training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537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672–1343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CERNET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Seen training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MGM synth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200–399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Sprintlink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Seen training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MGM synth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200–399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Seen training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MGM synth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200–399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Ebone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Seen training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MGM synth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200–399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Germany50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Zero-shot eval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0–287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VtlWavenet2011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Zero-shot eval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MGM synth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0–199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seen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3,488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comparison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3,288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topos</w:t>
            </w:r>
          </w:p>
        </w:tc>
      </w:tr>
      <w:tr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internal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3,976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8 topos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1b. Source-Scope Map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18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file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comparison subset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final_N3976/per_cycle.csv (filtered)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3,288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Abilene, CERNET, GEANT, Sprintlink, Tiscali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CDF source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final_N3976/per_cycle.csv (filtered)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3,288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Abilene, CERNET, GEANT, Sprintlink, Tiscali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internal eval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final_N3976/per_cycle.csv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3,976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8 topologies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 audit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final_N3976/method_audit.json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 compliance flags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Label provenance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labels/label_provenance.json</w:t>
            </w:r>
          </w:p>
        </w:tc>
        <w:tc>
          <w:tcPr>
            <w:tcW w:type="dxa" w:w="1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DB-budgeted LP oracle provenance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 — Main Comparison Table (N = 3,288)</w:t>
      </w:r>
    </w:p>
    <w:p>
      <w:pPr>
        <w:pBdr>
          <w:left w:val="single" w:color="2E75B6" w:sz="8" w:space="8"/>
        </w:pBdr>
        <w:spacing w:after="60" w:before="60"/>
        <w:ind w:left="7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Comparison scope: N = 3,288 over five topologies. A locked FlexDATE reference for Tiscali exists in the audit script (PR=0.999, DB=0.0510). Our Tiscali PR=100.000%&gt;99.900% (WIN); DB=0.714%&lt;5.100% (WIN). All five topologies win both PR and DB.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2. Main Comparison Subset Including Tiscali (N = 3,288)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620"/>
        <w:gridCol w:w="840"/>
        <w:gridCol w:w="940"/>
        <w:gridCol w:w="640"/>
        <w:gridCol w:w="740"/>
        <w:gridCol w:w="940"/>
        <w:gridCol w:w="640"/>
        <w:gridCol w:w="1460"/>
        <w:gridCol w:w="720"/>
        <w:gridCol w:w="720"/>
        <w:gridCol w:w="720"/>
      </w:tblGrid>
      <w:tr>
        <w:trPr>
          <w:tblHeader/>
        </w:trPr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Topology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Our PR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FlexDATE PR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 Result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Our DB</w:t>
            </w:r>
          </w:p>
        </w:tc>
        <w:tc>
          <w:tcPr>
            <w:tcW w:type="dxa" w:w="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FlexDATE DB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Overall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PR≥0.95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PR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ms</w:t>
            </w:r>
          </w:p>
        </w:tc>
      </w:tr>
      <w:tr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2,016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99.669%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95.800%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0.613%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5.130%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1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 BOTH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96.038%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</w:tr>
      <w:tr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CERNET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99.420%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97.500%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0.321%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1.830%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1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 BOTH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97.721%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29.0</w:t>
            </w:r>
          </w:p>
        </w:tc>
      </w:tr>
      <w:tr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GEANT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99.984%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99.500%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0.378%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2.960%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1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 BOTH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99.621%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15.3</w:t>
            </w:r>
          </w:p>
        </w:tc>
      </w:tr>
      <w:tr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Sprintlink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0.471%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5.100%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1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 BOTH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1,082.2</w:t>
            </w:r>
          </w:p>
        </w:tc>
      </w:tr>
      <w:tr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0.714%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5.100%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</w:t>
            </w:r>
          </w:p>
        </w:tc>
        <w:tc>
          <w:tcPr>
            <w:tcW w:type="dxa" w:w="1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 BOTH (runtime limit)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99.950%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9,255.5</w:t>
            </w:r>
          </w:p>
        </w:tc>
      </w:tr>
      <w:tr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Weighted N=3,288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3,288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99.758%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0.544%</w:t>
            </w:r>
          </w:p>
        </w:tc>
        <w:tc>
          <w:tcPr>
            <w:tcW w:type="dxa" w:w="9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5/5 WIN BOTH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96.038%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1,252.4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Note: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Tiscali FlexDATE reference confirmed in scripts/phase1_5/audit_gnn_lpd_dqn_clean_method.py: {"PR": 0.999, "DB": 0.0510}. PR and DB both WIN. Runtime limitation: 81.5% full-OD fallback, mean 4,340 ms, P95 9,255 ms.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1. PR CDF — Main Comparison Subset (N=3,288, zoomed 95–100%)</w:t>
      </w:r>
    </w:p>
    <w:p>
      <w:pPr>
        <w:jc w:val="center"/>
      </w:pPr>
      <w:r>
        <w:drawing>
          <wp:inline distT="0" distB="0" distL="0" distR="0">
            <wp:extent cx="6477000" cy="3714750"/>
            <wp:effectExtent t="0" r="0" b="0" l="0"/>
            <wp:docPr id="1" name="Figure 1. Performance Ratio CDF — N=3,288 main comparison subset. X-axis zoomed to 95–100% for resolution. Tiscali included." descr="Figure 1. Performance Ratio CDF — N=3,288 main comparison subset. X-axis zoomed to 95–100% for resolution. Tiscali included." title="Figure 1. Performance Ratio CDF — N=3,288 main comparison subset. X-axis zoomed to 95–100% for resolution. Tiscali inclu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1. Performance Ratio CDF — N=3,288 main comparison subset. X-axis zoomed to 95–100% for resolution. Tiscali included.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2. DB CDF — Main Comparison Subset (N=3,288)</w:t>
      </w:r>
    </w:p>
    <w:p>
      <w:pPr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Figure 2. Disturbance Budget CDF — N=3,288 main comparison subset." descr="Figure 2. Disturbance Budget CDF — N=3,288 main comparison subset." title="Figure 2. Disturbance Budget CDF — N=3,288 main comparison sub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2. Disturbance Budget CDF — N=3,288 main comparison subset.</w:t>
      </w:r>
    </w:p>
    <w:p>
      <w:pPr>
        <w:jc w:val="center"/>
      </w:pPr>
      <w:r>
        <w:drawing>
          <wp:inline distT="0" distB="0" distL="0" distR="0">
            <wp:extent cx="7048500" cy="4000500"/>
            <wp:effectExtent t="0" r="0" b="0" l="0"/>
            <wp:docPr id="1" name="Figure 3. Decision-time CDF — N=3,288 (linear + log scale)." descr="Figure 3. Decision-time CDF — N=3,288 (linear + log scale)." title="Figure 3. Decision-time CDF — N=3,288 (linear + log scal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3. Decision-time CDF — N=3,288 (linear + log scale).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 — Final-Method Summary (N = 3,288)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3. Final-Method Summary — Main Comparison Subset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540"/>
        <w:gridCol w:w="840"/>
        <w:gridCol w:w="720"/>
        <w:gridCol w:w="720"/>
        <w:gridCol w:w="820"/>
        <w:gridCol w:w="740"/>
        <w:gridCol w:w="620"/>
        <w:gridCol w:w="640"/>
        <w:gridCol w:w="720"/>
        <w:gridCol w:w="720"/>
        <w:gridCol w:w="640"/>
      </w:tblGrid>
      <w:tr>
        <w:trPr>
          <w:tblHeader/>
        </w:trPr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PR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PR≥0.95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PR≥0.90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PR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DB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DB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P50 ms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ms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Full-OD%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c>
          <w:tcPr>
            <w:tcW w:type="dxa" w:w="1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2,016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99.669%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96.038%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0.613%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1.111%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subset</w:t>
            </w:r>
          </w:p>
        </w:tc>
      </w:tr>
      <w:tr>
        <w:tc>
          <w:tcPr>
            <w:tcW w:type="dxa" w:w="1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CERNET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99.420%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97.721%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0.321%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0.184%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25.7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29.0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subset</w:t>
            </w:r>
          </w:p>
        </w:tc>
      </w:tr>
      <w:tr>
        <w:tc>
          <w:tcPr>
            <w:tcW w:type="dxa" w:w="1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GEANT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99.984%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99.621%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0.378%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13.6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15.3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subset</w:t>
            </w:r>
          </w:p>
        </w:tc>
      </w:tr>
      <w:tr>
        <w:tc>
          <w:tcPr>
            <w:tcW w:type="dxa" w:w="1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Sprintlink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0.290%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32.2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1,082.2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11.5%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subset</w:t>
            </w:r>
          </w:p>
        </w:tc>
      </w:tr>
      <w:tr>
        <w:tc>
          <w:tcPr>
            <w:tcW w:type="dxa" w:w="1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99.950%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1.212%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4,297.6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9,255.5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81.5%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Limitation</w:t>
            </w:r>
          </w:p>
        </w:tc>
      </w:tr>
      <w:tr>
        <w:tc>
          <w:tcPr>
            <w:tcW w:type="dxa" w:w="1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Wtd N=3,288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3,288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99.758%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96.038%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6.9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1,252.4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Pooled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 — Full Internal Evaluation (N = 3,976)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4. Full Internal Evaluation — All 8 Topologies</w:t>
      </w:r>
    </w:p>
    <w:tbl>
      <w:tblPr>
        <w:tblW w:type="dxa" w:w="8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"/>
        <w:gridCol w:w="840"/>
        <w:gridCol w:w="740"/>
        <w:gridCol w:w="740"/>
        <w:gridCol w:w="800"/>
        <w:gridCol w:w="740"/>
        <w:gridCol w:w="620"/>
        <w:gridCol w:w="760"/>
        <w:gridCol w:w="760"/>
        <w:gridCol w:w="7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PR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PR≥0.90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PR≥0.95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PR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DB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DB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ms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ms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Full-OD%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2,016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99.669%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96.038%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0.613%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CERNET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99.420%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97.721%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0.321%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23.3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29.0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Ebone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0.193%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14.9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GEANT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99.984%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99.621%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0.378%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15.3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Germany50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288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99.814%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95.483%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1.061%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1.823%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73.7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426.7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Sprintlink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0.471%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0.290%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155.5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1,082.2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99.950%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4,340.4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9,255.5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81.5%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VtlWavenet2011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99.134%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98.818%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0.230%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128.3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120.8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Wtd total N=3,976</w:t>
            </w:r>
          </w:p>
        </w:tc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3,976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99.743%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95.483%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1.000%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246.6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657.2</w:t>
            </w:r>
          </w:p>
        </w:tc>
        <w:tc>
          <w:tcPr>
            <w:tcW w:type="dxa" w:w="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4b. Extended Metrics — Full Internal Evaluation</w:t>
      </w:r>
    </w:p>
    <w:tbl>
      <w:tblPr>
        <w:tblW w:type="dxa" w:w="5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840"/>
        <w:gridCol w:w="700"/>
        <w:gridCol w:w="900"/>
        <w:gridCol w:w="10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Median 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PR≥0.99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DB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ms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2,016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88.988%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15.040%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189.7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CERNET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99.600%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74.000%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53.202%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656.8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Ebone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9.980%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16.0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GEANT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69.681%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340.7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Germany50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288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93.403%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86.589%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1,415.8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Sprintlink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78.809%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2,113.7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54.825%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10,842.5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VtlWavenet2011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99.026%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52.500%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39.605%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1,881.6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N=3,976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3,976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90.241%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86.589%</w:t>
            </w:r>
          </w:p>
        </w:tc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10,842.5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Note: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Max DB values reflect rare per-cycle outliers; headline DB stability is assessed using mean and P95 DB.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6096000" cy="3238500"/>
            <wp:effectExtent t="0" r="0" b="0" l="0"/>
            <wp:docPr id="1" name="Figure 4. Mean PR by topology — N=3,288 main comparison subset." descr="Figure 4. Mean PR by topology — N=3,288 main comparison subset." title="Figure 4. Mean PR by topology — N=3,288 main comparison sub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4. Mean PR by topology — N=3,288 main comparison subset.</w:t>
      </w:r>
    </w:p>
    <w:p>
      <w:pPr>
        <w:jc w:val="center"/>
      </w:pPr>
      <w:r>
        <w:drawing>
          <wp:inline distT="0" distB="0" distL="0" distR="0">
            <wp:extent cx="6096000" cy="3238500"/>
            <wp:effectExtent t="0" r="0" b="0" l="0"/>
            <wp:docPr id="1" name="Figure 5. Mean DB by topology — N=3,288 main comparison subset." descr="Figure 5. Mean DB by topology — N=3,288 main comparison subset." title="Figure 5. Mean DB by topology — N=3,288 main comparison sub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5. Mean DB by topology — N=3,288 main comparison subset.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 — Internal Baselines and Ablations</w:t>
      </w:r>
    </w:p>
    <w:p>
      <w:r>
        <w:rPr>
          <w:rFonts w:ascii="Arial" w:cs="Arial" w:eastAsia="Arial" w:hAnsi="Arial"/>
          <w:sz w:val="18"/>
          <w:szCs w:val="18"/>
        </w:rPr>
        <w:t xml:space="preserve">Historical baselines (ECMP, OSPF, Top-K, Bottleneck, GNN-only, LPD-only, legacy Reward-Gated GNN-LPD) were not regenerated in this clean run and are not mixed into the final clean-method claim. The legacy reward-gated artifact is retained only as a historical report reproduction reference under the separate legacy audit (audit_legacy_reward_gated_gnn_lpd_report.py).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"/>
        <w:gridCol w:w="800"/>
        <w:gridCol w:w="720"/>
        <w:gridCol w:w="760"/>
        <w:gridCol w:w="640"/>
        <w:gridCol w:w="760"/>
        <w:gridCol w:w="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PR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PR≥0.95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DB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DB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ms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 GNN-LPD-DQN selected-flow DB-budgeted LP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3,976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99.743%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0.545%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1.000%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246.6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657.2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 clean method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6 — Clean DQN Policy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8. Observed Clean DQN Action Distribution (N = 3,976)</w:t>
      </w:r>
    </w:p>
    <w:tbl>
      <w:tblPr>
        <w:tblW w:type="dxa" w:w="6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4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Share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OPTIMIZE_K30_DB_0.01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3,269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82.2%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OPTIMIZE_K40_DB_0.03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405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OPTIMIZE_K30_DB_0.03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193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4.9%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KEEP_PREVIOUS_ROUTING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OPTIMIZE_K40_DB_0.01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K50 / FULL_OD actions (DQN-selected)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3,976</w:t>
            </w:r>
          </w:p>
        </w:tc>
        <w:tc>
          <w:tcPr>
            <w:tcW w:type="dxa" w:w="1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Per-Topology Action Distribution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40"/>
        <w:gridCol w:w="1400"/>
        <w:gridCol w:w="1400"/>
        <w:gridCol w:w="1400"/>
        <w:gridCol w:w="1400"/>
        <w:gridCol w:w="13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Topology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K30_DB0.01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K30_DB0.03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K40_DB0.01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K40_DB0.03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1,704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156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2,016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CERNET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Ebone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GEANT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662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Germany50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288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Sprintlink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153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VtlWavenet2011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1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3,269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405</w:t>
            </w:r>
          </w:p>
        </w:tc>
        <w:tc>
          <w:tcPr>
            <w:tcW w:type="dxa" w:w="1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3,976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6477000" cy="3619500"/>
            <wp:effectExtent t="0" r="0" b="0" l="0"/>
            <wp:docPr id="1" name="Figure 8. DQN action distribution — N=3,976 full internal evaluation." descr="Figure 8. DQN action distribution — N=3,976 full internal evaluation." title="Figure 8. DQN action distribution — N=3,976 full internal evalu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8. DQN action distribution — N=3,976 full internal evaluation.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9. Clean DQN Settings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4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0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Controller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Double DQN (epsilon-greedy training)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Selector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DB-budgeted LP-distilled GNN-LPD (GNNFlowSelector, 72,886 params)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 checkpoint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results/gnn_lpd_dqn_selective_db_lp/models/gnn_dbbudget_selector.pt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Label oracle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Full-OD DB-budgeted LP (solve_selected_path_lp_dbbudget, db=0.10)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Heuristic labels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RandomForest / sticky gate / Stage-2 / disturbance finalization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— all excluded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Action family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KEEP | OPTIMIZE_K30/K40/K50_DB{0.01,0.03} | FULL_OD_PR_SAFE | FULL_OD_LOW_MLU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Fallback trigger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PR/MLU guard after selected-K cap (K50) fails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topologies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Abilene, CERNET, GEANT, Ebone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DQN val PR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1.0000 (200 episodes)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FULL_OD excluded from exploration</w:t>
            </w:r>
          </w:p>
        </w:tc>
        <w:tc>
          <w:tcPr>
            <w:tcW w:type="dxa" w:w="10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 (speed guard)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7 — Decision-Time Analysis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10. Decision-Time Summary by Topology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"/>
        <w:gridCol w:w="760"/>
        <w:gridCol w:w="800"/>
        <w:gridCol w:w="760"/>
        <w:gridCol w:w="700"/>
        <w:gridCol w:w="860"/>
        <w:gridCol w:w="22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ms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Full-OD%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sel-OD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Runtime interpretation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2,016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189.7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32.0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 selected-flow regime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CERNET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23.3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656.8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43.5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 selected-flow regime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GEANT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18.9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340.7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42.6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 selected-flow regime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Sprintlink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155.5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1,082.2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2,113.7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11.5%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244.8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Mean &lt; 500 ms; P95 affected by safety fallback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4,340.4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9,255.5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10,842.5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81.5%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1,923.9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 limitation — fallback-heavy large-OD topology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Ebone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16.0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30.0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Fast selected-flow regime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Germany50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288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73.7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426.7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1,415.8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108.3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Mean and P95 &lt; 500 ms except rare fallback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VtlWavenet2011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128.3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120.8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1,881.6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71.7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Mostly selected-flow regime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Pooled N=3,976</w:t>
            </w:r>
          </w:p>
        </w:tc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3,976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246.6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657.2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10,842.5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147.7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P95 affected by Tiscali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Note: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Mean decision time &lt; 500 ms on 4/5 main comparison topologies. P95 &lt; 500 ms on 3/5. Sprintlink and Tiscali exceed P95 threshold due to safety full-OD fallback.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6096000" cy="3238500"/>
            <wp:effectExtent t="0" r="0" b="0" l="0"/>
            <wp:docPr id="1" name="Figure 6. P95 decision time by topology — N=3,288 main comparison subset (log scale)." descr="Figure 6. P95 decision time by topology — N=3,288 main comparison subset (log scale)." title="Figure 6. P95 decision time by topology — N=3,288 main comparison subset (log scal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6. P95 decision time by topology — N=3,288 main comparison subset (log scale).</w:t>
      </w:r>
    </w:p>
    <w:p>
      <w:pPr>
        <w:jc w:val="center"/>
      </w:pPr>
      <w:r>
        <w:drawing>
          <wp:inline distT="0" distB="0" distL="0" distR="0">
            <wp:extent cx="6096000" cy="3238500"/>
            <wp:effectExtent t="0" r="0" b="0" l="0"/>
            <wp:docPr id="1" name="Figure 7. Full-OD fallback rate by topology — N=3,288." descr="Figure 7. Full-OD fallback rate by topology — N=3,288." title="Figure 7. Full-OD fallback rate by topology — N=3,28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7. Full-OD fallback rate by topology — N=3,288.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LP-1. LP Problem Size and Runtime by Topology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0"/>
        <w:gridCol w:w="640"/>
        <w:gridCol w:w="840"/>
        <w:gridCol w:w="900"/>
        <w:gridCol w:w="720"/>
        <w:gridCol w:w="820"/>
        <w:gridCol w:w="820"/>
        <w:gridCol w:w="72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Topology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Nodes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Links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OD pairs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sel-OD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 paths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ms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ms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 rate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Abilene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32.0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7.1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7.2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CERNET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1,640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43.5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23.3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29.0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GEANT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42.6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18.9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15.3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Sprintlink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1,892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244.8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155.5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1,082.2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 (limit)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172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2,352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1,923.9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4,340.4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9,255.5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81.5%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Ebone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506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30.0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14.2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14.9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Germany50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176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2,450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108.3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73.7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426.7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VtlWavenet2011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92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192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8,372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71.7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128.3</w:t>
            </w:r>
          </w:p>
        </w:tc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120.8</w:t>
            </w:r>
          </w:p>
        </w:tc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Note: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Tiscali runtime limitation: 2,352 OD pairs with GNN selecting ~1,924 as critical forces full-OD LP fallback on 81.5% of cycles. PR and DB quality remain excellent (PR=100.000%, DB=0.714%).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7048500" cy="3619500"/>
            <wp:effectExtent t="0" r="0" b="0" l="0"/>
            <wp:docPr id="1" name="Figure LP. Decision time by topology — full N=3,976. Log scale; 500 ms threshold shown. FO% labels indicate full-OD fallback rate." descr="Figure LP. Decision time by topology — full N=3,976. Log scale; 500 ms threshold shown. FO% labels indicate full-OD fallback rate." title="Figure LP. Decision time by topology — full N=3,976. Log scale; 500 ms threshold shown. FO% labels indicate full-OD fallback r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LP. Decision time by topology — full N=3,976. Log scale; 500 ms threshold shown. FO% labels indicate full-OD fallback rate.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8 — Compliance Audit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Clean-Method Compliance Audit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  <w:gridCol w:w="4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Compliant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Method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gnn_lpd_dqn_selective_db_lp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(every row)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LPD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(every row)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Criticality backend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gnn_lpd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Heuristic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DQN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(every row)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Selected OD LP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(every row)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Stage-2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Disturbance finalization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RandomForest gate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Sticky gate used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blocks passed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10/10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result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Note: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Detailed forbidden-function names and audit block identifiers are documented in scripts/phase1_5/audit_gnn_lpd_dqn_clean_method.py. The result is not the legacy RandomForest/sticky/finalization artifact.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9 — Clean Failure-Scenario Validation</w:t>
      </w:r>
    </w:p>
    <w:p>
      <w:pPr>
        <w:pBdr>
          <w:left w:val="single" w:color="2E75B6" w:sz="8" w:space="8"/>
        </w:pBdr>
        <w:spacing w:after="60" w:before="60"/>
        <w:ind w:left="7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All failure-scenario results are from a dedicated clean rerun using the same GNN-LPD-DQN method. NOT from the legacy RandomForest/sticky/finalization artifact. Every cycle carries audit flags confirming gnn_used=1, lpd_used=1, dqn_used=1, heuristic_used=0. Audit result: PASS (360 cycles, 2 topologies, 9 scenarios).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Script: </w:t>
      </w:r>
      <w:r>
        <w:rPr>
          <w:rFonts w:ascii="Courier New" w:cs="Courier New" w:eastAsia="Courier New" w:hAnsi="Courier New"/>
          <w:sz w:val="16"/>
          <w:szCs w:val="16"/>
        </w:rPr>
        <w:t xml:space="preserve">scripts/phase1_5/run_failure_validation_clean.py</w:t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Output: </w:t>
      </w:r>
      <w:r>
        <w:rPr>
          <w:rFonts w:ascii="Courier New" w:cs="Courier New" w:eastAsia="Courier New" w:hAnsi="Courier New"/>
          <w:sz w:val="16"/>
          <w:szCs w:val="16"/>
        </w:rPr>
        <w:t xml:space="preserve">results/gnn_lpd_dqn_selective_db_lp/failure_validation_clean/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Failure Scenario Definitions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8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0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Baseline; original link capacities, original TM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single_link_failure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Highest-capacity directed link capacity zeroed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two_link_failure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Two highest-capacity directed links zeroed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three_link_failure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Three highest-capacity directed links zeroed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random_link_failure_1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Random link zeroed (seed=101)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random_link_failure_2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Random link zeroed (seed=202)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spike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Traffic matrix scaled x3; original caps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mixed_spike_failure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TM scaled x3 + single link zeroed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capacity_degradation_50</w:t>
            </w:r>
          </w:p>
        </w:tc>
        <w:tc>
          <w:tcPr>
            <w:tcW w:type="dxa" w:w="10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link capacities scaled x0.5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F1. Failure Validation Summary — Abilene (N=20 cycles per scenario)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440"/>
        <w:gridCol w:w="680"/>
        <w:gridCol w:w="680"/>
        <w:gridCol w:w="640"/>
        <w:gridCol w:w="680"/>
        <w:gridCol w:w="680"/>
        <w:gridCol w:w="680"/>
        <w:gridCol w:w="760"/>
        <w:gridCol w:w="680"/>
        <w:gridCol w:w="800"/>
        <w:gridCol w:w="640"/>
      </w:tblGrid>
      <w:tr>
        <w:trPr>
          <w:tblHeader/>
        </w:trP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PR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PR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PR&gt;=95%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DB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DB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ms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ms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Disconn ODs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99.42%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96.35%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1.665%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5.382%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48.3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1-Link Fail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99.12%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96.07%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2.378%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5.215%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20.8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48.3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2-Link Fail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99.70%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97.40%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2.776%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10.023%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23.6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49.6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3-Link Fail*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39.9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40.8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 Fail 1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98.34%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2.020%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5.313%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18.8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49.1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 Fail 2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0.166%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0.166%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29.6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Spike x3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99.67%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96.85%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1.169%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3.042%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17.0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33.2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Spike+Fail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99.12%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96.07%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2.377%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5.215%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19.9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45.7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 Deg 50%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99.41%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97.10%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1.259%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31.9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Note: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*Three-link failure on Abilene disconnects 3 OD pairs; PR not applicable. Expected behavior for 12-node topology under 3 simultaneous link failures.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F2. Failure Validation Summary — GEANT (N=20 cycles per scenario)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440"/>
        <w:gridCol w:w="680"/>
        <w:gridCol w:w="680"/>
        <w:gridCol w:w="640"/>
        <w:gridCol w:w="680"/>
        <w:gridCol w:w="680"/>
        <w:gridCol w:w="680"/>
        <w:gridCol w:w="760"/>
        <w:gridCol w:w="680"/>
        <w:gridCol w:w="800"/>
        <w:gridCol w:w="640"/>
      </w:tblGrid>
      <w:tr>
        <w:trPr>
          <w:tblHeader/>
        </w:trP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PR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PR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PR&gt;=95%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DB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DB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 ms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ms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Disconn ODs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99.97%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99.67%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0.263%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0.702%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49.8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176.8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1-Link Fail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0.429%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46.6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196.3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2-Link Fail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0.165%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0.439%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47.3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190.3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3-Link Fail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0.164%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0.407%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46.1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154.3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 Fail 1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99.96%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99.65%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0.254%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0.796%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49.0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156.5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Rand Fail 2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99.92%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99.63%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0.260%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0.765%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47.9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154.6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Spike x3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99.99%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99.87%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0.287%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0.853%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42.6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56.6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Spike+Fail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100.00%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0.223%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0.429%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39.6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41.9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 Deg 50%</w:t>
            </w:r>
          </w:p>
        </w:tc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99.97%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99.61%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0.358%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0.796%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41.5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44.5</w:t>
            </w:r>
          </w:p>
        </w:tc>
        <w:tc>
          <w:tcPr>
            <w:tcW w:type="dxa" w:w="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Note: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GEANT shows strong resilience: no disconnected ODs even under 3 simultaneous link failures. 22-node topology with 72 directed links provides sufficient path redundancy.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jc w:val="center"/>
      </w:pPr>
      <w:r>
        <w:drawing>
          <wp:inline distT="0" distB="0" distL="0" distR="0">
            <wp:extent cx="7048500" cy="3429000"/>
            <wp:effectExtent t="0" r="0" b="0" l="0"/>
            <wp:docPr id="1" name="Figure 9a. Mean PR by failure scenario (Abilene left, GEANT right). Clean-method rerun, audit PASS." descr="Figure 9a. Mean PR by failure scenario (Abilene left, GEANT right). Clean-method rerun, audit PASS." title="Figure 9a. Mean PR by failure scenario (Abilene left, GEANT right). Clean-method rerun, audit P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9a. Mean PR by failure scenario (Abilene left, GEANT right). Clean-method rerun, audit PASS.</w:t>
      </w:r>
    </w:p>
    <w:p>
      <w:pPr>
        <w:jc w:val="center"/>
      </w:pPr>
      <w:r>
        <w:drawing>
          <wp:inline distT="0" distB="0" distL="0" distR="0">
            <wp:extent cx="7048500" cy="3429000"/>
            <wp:effectExtent t="0" r="0" b="0" l="0"/>
            <wp:docPr id="1" name="Figure 9b. Disturbance Budget by failure scenario. Mean and P95 bars." descr="Figure 9b. Disturbance Budget by failure scenario. Mean and P95 bars." title="Figure 9b. Disturbance Budget by failure scenario. Mean and P95 ba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Figure 9b. Disturbance Budget by failure scenario. Mean and P95 bars.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Key finding: </w:t>
      </w:r>
      <w:r>
        <w:rPr>
          <w:rFonts w:ascii="Arial" w:cs="Arial" w:eastAsia="Arial" w:hAnsi="Arial"/>
          <w:sz w:val="18"/>
          <w:szCs w:val="18"/>
        </w:rPr>
        <w:t xml:space="preserve">The clean GNN-LPD-DQN method maintains PR &gt;= 95% across all non-disconnecting failure scenarios on both Abilene and GEANT. Decision times remain well within the 500 ms target for all GEANT scenarios and most Abilene scenarios. DB remains low (&lt;=2.8% mean) across all scenarios.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10 — SDN / Mininet Operational Validation</w:t>
      </w:r>
    </w:p>
    <w:p>
      <w:pPr>
        <w:pBdr>
          <w:left w:val="single" w:color="2E75B6" w:sz="8" w:space="8"/>
        </w:pBdr>
        <w:spacing w:after="60" w:before="60"/>
        <w:ind w:left="7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Clean SDN/Mininet validation was not executed for this rerun. Mininet requires a Linux environment with specific kernel/OVS support and was not available on the evaluation machine. Legacy SDN/Mininet operational numbers from the Phase 1 report belong to the legacy RandomForest/sticky/finalization pipeline and are NOT presented as clean-method evidence. Old legacy SDN operational tables are excluded from this clean evidence package.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Validation Status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9600"/>
      </w:tblGrid>
      <w:tr>
        <w:trPr>
          <w:tblHeader/>
        </w:trP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 type</w:t>
            </w:r>
          </w:p>
        </w:tc>
        <w:tc>
          <w:tcPr>
            <w:tcW w:type="dxa" w:w="9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 failure-scenario validation (Section 9)</w:t>
            </w:r>
          </w:p>
        </w:tc>
        <w:tc>
          <w:tcPr>
            <w:tcW w:type="dxa" w:w="9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— Abilene + GEANT, 9 scenarios, 20 cycles, audit PASS</w:t>
            </w:r>
          </w:p>
        </w:tc>
      </w:tr>
      <w:tr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 SDN/Mininet live validation</w:t>
            </w:r>
          </w:p>
        </w:tc>
        <w:tc>
          <w:tcPr>
            <w:tcW w:type="dxa" w:w="9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executed — Mininet not available on evaluation machine</w:t>
            </w:r>
          </w:p>
        </w:tc>
      </w:tr>
      <w:tr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Legacy SDN/Mininet numbers</w:t>
            </w:r>
          </w:p>
        </w:tc>
        <w:tc>
          <w:tcPr>
            <w:tcW w:type="dxa" w:w="9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Excluded — belong to legacy method pipeline, not clean-method evidence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18"/>
          <w:szCs w:val="18"/>
        </w:rPr>
        <w:t xml:space="preserve">If SDN/Mininet validation is required for the clean method, it can be executed by extending scripts/phase1_5/run_failure_validation_clean.py with Mininet controller integration on a Linux machine with OVS support.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11 — Reproducibility Metadata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28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0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commit (local)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2f893f5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push commit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5858d88 -&gt; github.com/moahaimen/final_trafic main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method script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scripts/phase1_5/gnn_lpd_dqn_selective_db_lp.py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Label script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scripts/phase1_5/build_dbbudget_oracle_labels.py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script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scripts/phase1_5/audit_gnn_lpd_dqn_clean_method.py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Failure validation script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scripts/phase1_5/run_failure_validation_clean.py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 checkpoint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results/gnn_lpd_dqn_selective_db_lp/models/gnn_dbbudget_selector.pt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DQN checkpoint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results/gnn_lpd_dqn_selective_db_lp/dqn_best.pt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Label file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results/gnn_lpd_dqn_selective_db_lp/labels/oracle_labels.csv (279,360 rows)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Evaluation per-cycle file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results/gnn_lpd_dqn_selective_db_lp/final_N3976/per_cycle.csv (3,976 rows)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comparison subset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3,288 (Abilene + CERNET + GEANT + Sprintlink + Tiscali)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 audit result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PASSED — 10/10 blocks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Failure validation result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PASSED — 360 cycles, 2 topologies, 9 scenarios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Solver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PuLP with HiGHS preferred / CBC fallback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 val prec@K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0.7474 (25 epochs, 6 topologies)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DQN val PR</w:t>
            </w:r>
          </w:p>
        </w:tc>
        <w:tc>
          <w:tcPr>
            <w:tcW w:type="dxa" w:w="10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1.0000 (200 episodes)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Reproducibility Checklist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80"/>
        <w:gridCol w:w="34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Script / 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Artifact produced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Oracle label generation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build_dbbudget_oracle_labels.py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oracle_labels.csv (279,360 rows)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 training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train_gnn_dbbudget_selector.py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gnn_dbbudget_selector.pt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Pathopt precompute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gnn_lpd_dqn_selective_db_lp.py --mode precompute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pathopt_ref/*.csv (8 files)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DQN training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gnn_lpd_dqn_selective_db_lp.py --mode train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dqn_best.pt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evaluation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gnn_lpd_dqn_selective_db_lp.py --mode eval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final_N3976/per_cycle.csv (3,976 rows)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 audit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audit_gnn_lpd_dqn_clean_method.py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10/10 PASS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Row-count check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inline assertion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N=3,976, CERNET=200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Failure validation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run_failure_validation_clean.py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failure_validation_clean/ (8 files)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LP solver module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te/lp_solver.py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solve_selected_path_lp_dbbudget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 inference module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scripts/phase1_5/gnn_lp_inference.py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score_lp_gnn_cycle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 training script</w:t>
            </w:r>
          </w:p>
        </w:tc>
        <w:tc>
          <w:tcPr>
            <w:tcW w:type="dxa" w:w="4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scripts/phase1_5/train_gnn_dbbudget_selector.py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 checkpoint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12 — Claim Boundary</w:t>
      </w:r>
    </w:p>
    <w:p>
      <w:pPr>
        <w:pBdr>
          <w:left w:val="single" w:color="2E75B6" w:sz="8" w:space="8"/>
        </w:pBdr>
        <w:spacing w:after="60" w:before="60"/>
        <w:ind w:left="7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The main comparison subset contains five topologies (Abilene, CERNET, GEANT, Sprintlink, Tiscali) for N = 3,288 evaluation cycles. Tiscali is included in all reported tables and CDFs. A locked FlexDATE reference for Tiscali exists (PR=0.999, DB=0.0510); our PR=100.000% (WIN) and DB=0.714% (WIN). All five topologies win both PR and DB. Tiscali runtime is an honestly disclosed limitation (81.5% fallback, mean 4,340 ms). Full N = 3,976 internal benchmark results are reported separately. The clean method passes the compliance audit. Clean failure-scenario validation confirms PR &gt;= 95% under link failures, traffic spikes, and capacity degradation.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Safe Claims</w:t>
      </w:r>
    </w:p>
    <w:p>
      <w:r>
        <w:rPr>
          <w:rFonts w:ascii="Arial" w:cs="Arial" w:eastAsia="Arial" w:hAnsi="Arial"/>
          <w:sz w:val="18"/>
          <w:szCs w:val="18"/>
        </w:rPr>
        <w:t xml:space="preserve">On the main N = 3,288 comparison subset including Tiscali, the clean GNN-LPD-DQN selected-flow DB-budgeted LP method achieves very high PR and low DB across all five topologies, winning both PR and DB vs FlexDATE on all five topologies including Tiscali. On the full N = 3,976 internal protocol: Mean PR = 99.743%, Mean DB = 0.545%, Mean decision time = 246.6 ms, P95 decision time = 657.2 ms. Under failure scenarios: PR &gt;= 95% on all non-disconnecting scenarios (Abilene + GEANT, 9 scenarios, clean audit PASS).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Checks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80"/>
        <w:gridCol w:w="6300"/>
      </w:tblGrid>
      <w:tr>
        <w:trPr>
          <w:tblHeader/>
        </w:trPr>
        <w:tc>
          <w:tcPr>
            <w:tcW w:type="dxa" w:w="7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comparison subset row count = 3,288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 (2016+200+672+200+200)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 comparison subset includes Tiscali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Table 2 Tiscali FlexDATE reference = WIN BOTH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 — PR 100.000%&gt;99.900%, DB 0.714%&lt;5.100%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text says N=3,088 or N=3088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Tiscali in Table 2, Table 3, and all CDFs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 claim: 4/5 mean &lt;500 ms, 3/5 P95 &lt;500 ms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internal N=3,976 unchanged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Section 9 failure results from clean rerun (not legacy)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 — audit PASS 360 cycles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Section 10 legacy SDN numbers excluded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 — excluded, not reused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Forbidden function names in audit section only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Table 4b max DB note added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LP problem-size table in Section 7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 (Table LP-1)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te/lp_solver.py exists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gnn_lp_inference.py exists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73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train_gnn_dbbudget_selector.py exists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sz w:val="16"/>
        <w:szCs w:val="16"/>
      </w:rPr>
      <w:t xml:space="preserve">Clean GNN-LPD-DQN Traffic Engineering Report  |  N=3,288 main subset  |  N=3,976 full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185fe9375c26bbd0fc4640d3d4ea8dddce0323.png"/><Relationship Id="rId10" Type="http://schemas.openxmlformats.org/officeDocument/2006/relationships/image" Target="media/1bcb6613c978735c63eaab6b2d6d0035056e4ec2.png"/><Relationship Id="rId11" Type="http://schemas.openxmlformats.org/officeDocument/2006/relationships/image" Target="media/3535f66189d2027088e41fa8baf59f095778e5fb.png"/><Relationship Id="rId12" Type="http://schemas.openxmlformats.org/officeDocument/2006/relationships/image" Target="media/fada6889527cacf77364bcd01189bb1a20c21a27.png"/><Relationship Id="rId13" Type="http://schemas.openxmlformats.org/officeDocument/2006/relationships/image" Target="media/fdb3698455210f314416907f3b04c5faa9211355.png"/><Relationship Id="rId14" Type="http://schemas.openxmlformats.org/officeDocument/2006/relationships/image" Target="media/9d270ebac6eb4a82d70a8be5ec4c1fbbabcab42e.png"/><Relationship Id="rId15" Type="http://schemas.openxmlformats.org/officeDocument/2006/relationships/image" Target="media/34371f7985179aa450a8578bc55dabfc09babcb9.png"/><Relationship Id="rId16" Type="http://schemas.openxmlformats.org/officeDocument/2006/relationships/image" Target="media/f2d758838ad55130c7988d366d6b4d2ade0e1038.png"/><Relationship Id="rId17" Type="http://schemas.openxmlformats.org/officeDocument/2006/relationships/image" Target="media/c2d53b043d2afd1ffb4919ea71a776496902bb77.png"/><Relationship Id="rId18" Type="http://schemas.openxmlformats.org/officeDocument/2006/relationships/image" Target="media/895ad8cec48bab296220a93714975cb7f3c1e7a8.png"/><Relationship Id="rId19" Type="http://schemas.openxmlformats.org/officeDocument/2006/relationships/image" Target="media/fcb7bf4ed133a50d5ec85685b788169ddec0f45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2026-06-17T21:32:02.135Z</dcterms:created>
  <dcterms:modified xsi:type="dcterms:W3CDTF">2026-06-17T21:32:02.142Z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