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F4E79"/>
          <w:sz w:val="36"/>
          <w:szCs w:val="36"/>
        </w:rPr>
        <w:t xml:space="preserve">Phase 1.5 Clean GNN-LPD-DQN Traffic Engineering Report</w:t>
      </w:r>
    </w:p>
    <w:p>
      <w:pPr>
        <w:spacing w:after="80" w:before="0"/>
        <w:jc w:val="center"/>
      </w:pPr>
      <w:r>
        <w:rPr>
          <w:rFonts w:ascii="Arial" w:cs="Arial" w:eastAsia="Arial" w:hAnsi="Arial"/>
          <w:i/>
          <w:iCs/>
          <w:color w:val="404040"/>
          <w:sz w:val="22"/>
          <w:szCs w:val="22"/>
        </w:rPr>
        <w:t xml:space="preserve">Main comparison subset N = 3,288 including Tiscali;  Full internal protocol N = 3,976 reported separately</w:t>
      </w:r>
    </w:p>
    <w:p>
      <w:pPr>
        <w:spacing w:after="200" w:before="40"/>
        <w:jc w:val="center"/>
      </w:pPr>
      <w:r>
        <w:rPr>
          <w:rFonts w:ascii="Arial" w:cs="Arial" w:eastAsia="Arial" w:hAnsi="Arial"/>
          <w:color w:val="595959"/>
          <w:sz w:val="20"/>
          <w:szCs w:val="20"/>
        </w:rPr>
        <w:t xml:space="preserve">Method: Clean GNN-LPD-DQN TE  |  Audit: PASSED (10/10)  |  Date: 2026-06-17</w:t>
      </w:r>
    </w:p>
    <w:p>
      <w:pPr>
        <w:pBdr>
          <w:bottom w:val="single" w:color="2E75B6" w:sz="4" w:space="1"/>
        </w:pBdr>
        <w:spacing w:after="80" w:before="140"/>
      </w:pPr>
    </w:p>
    <w:p>
      <w:pPr>
        <w:spacing w:after="80" w:before="60"/>
        <w:ind w:left="720"/>
      </w:pPr>
      <w:r>
        <w:rPr>
          <w:rFonts w:ascii="Arial" w:cs="Arial" w:eastAsia="Arial" w:hAnsi="Arial"/>
          <w:b/>
          <w:bCs/>
          <w:i/>
          <w:iCs/>
          <w:sz w:val="20"/>
          <w:szCs w:val="20"/>
        </w:rPr>
        <w:t xml:space="preserve">Source-scope lock: </w:t>
      </w:r>
      <w:r>
        <w:rPr>
          <w:rFonts w:ascii="Arial" w:cs="Arial" w:eastAsia="Arial" w:hAnsi="Arial"/>
          <w:i/>
          <w:iCs/>
          <w:sz w:val="20"/>
          <w:szCs w:val="20"/>
        </w:rPr>
        <w:t xml:space="preserve">Tiscali is included in the main N = 3,288 comparison subset and in all CDF plots. Where a locked FlexDATE reference value is unavailable or inconsistent, the Tiscali row is reported as an internal comparison/limitation row rather than removed. Full N = 3,976 internal benchmark results are reported separately.</w:t>
      </w:r>
    </w:p>
    <w:p>
      <w:pPr>
        <w:spacing w:after="0" w:before="60"/>
      </w:pPr>
    </w:p>
    <w:p>
      <w:pPr>
        <w:spacing w:after="80" w:before="60"/>
        <w:ind w:left="720"/>
      </w:pPr>
      <w:r>
        <w:rPr>
          <w:rFonts w:ascii="Arial" w:cs="Arial" w:eastAsia="Arial" w:hAnsi="Arial"/>
          <w:b/>
          <w:bCs/>
          <w:i/>
          <w:iCs/>
          <w:sz w:val="20"/>
          <w:szCs w:val="20"/>
        </w:rPr>
        <w:t xml:space="preserve">Method lock: </w:t>
      </w:r>
      <w:r>
        <w:rPr>
          <w:rFonts w:ascii="Arial" w:cs="Arial" w:eastAsia="Arial" w:hAnsi="Arial"/>
          <w:i/>
          <w:iCs/>
          <w:sz w:val="20"/>
          <w:szCs w:val="20"/>
        </w:rPr>
        <w:t xml:space="preserve">The final clean method is named Clean GNN-LPD-DQN Traffic Engineering. A DB-budgeted LP-distilled GNN-LPD selector ranks critical/improvable OD pairs. A DQN controller chooses the routing action and DB budget. A one-stage selected-flow DB-budgeted LP computes routing for selected ODs; noncritical ODs remain on ECMP or previous routing. No heuristic criticality, RandomForest gate, sticky gate, Stage-2 DB LP, or disturbance-finalization LP.</w:t>
      </w:r>
    </w:p>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Method Identity</w:t>
      </w:r>
    </w:p>
    <w:p>
      <w:pPr>
        <w:spacing w:after="40" w:before="40"/>
        <w:ind w:left="720"/>
      </w:pPr>
      <w:r>
        <w:rPr>
          <w:rFonts w:ascii="Courier New" w:cs="Courier New" w:eastAsia="Courier New" w:hAnsi="Courier New"/>
          <w:color w:val="1A1A1A"/>
          <w:sz w:val="18"/>
          <w:szCs w:val="18"/>
        </w:rPr>
        <w:t xml:space="preserve">Traffic matrix + topology</w:t>
      </w:r>
    </w:p>
    <w:p>
      <w:pPr>
        <w:spacing w:after="40" w:before="40"/>
        <w:ind w:left="720"/>
      </w:pPr>
      <w:r>
        <w:rPr>
          <w:rFonts w:ascii="Courier New" w:cs="Courier New" w:eastAsia="Courier New" w:hAnsi="Courier New"/>
          <w:color w:val="1A1A1A"/>
          <w:sz w:val="18"/>
          <w:szCs w:val="18"/>
        </w:rPr>
        <w:t xml:space="preserve">  →  DB-budgeted LP-distilled GNN-LPD critical-OD selector</w:t>
      </w:r>
    </w:p>
    <w:p>
      <w:pPr>
        <w:spacing w:after="40" w:before="40"/>
        <w:ind w:left="720"/>
      </w:pPr>
      <w:r>
        <w:rPr>
          <w:rFonts w:ascii="Courier New" w:cs="Courier New" w:eastAsia="Courier New" w:hAnsi="Courier New"/>
          <w:color w:val="1A1A1A"/>
          <w:sz w:val="18"/>
          <w:szCs w:val="18"/>
        </w:rPr>
        <w:t xml:space="preserve">  →  DQN controller chooses K / action / DB budget</w:t>
      </w:r>
    </w:p>
    <w:p>
      <w:pPr>
        <w:spacing w:after="40" w:before="40"/>
        <w:ind w:left="720"/>
      </w:pPr>
      <w:r>
        <w:rPr>
          <w:rFonts w:ascii="Courier New" w:cs="Courier New" w:eastAsia="Courier New" w:hAnsi="Courier New"/>
          <w:color w:val="1A1A1A"/>
          <w:sz w:val="18"/>
          <w:szCs w:val="18"/>
        </w:rPr>
        <w:t xml:space="preserve">  →  selected critical ODs  →  one-stage selected-flow DB-budgeted LP</w:t>
      </w:r>
    </w:p>
    <w:p>
      <w:pPr>
        <w:spacing w:after="40" w:before="40"/>
        <w:ind w:left="720"/>
      </w:pPr>
      <w:r>
        <w:rPr>
          <w:rFonts w:ascii="Courier New" w:cs="Courier New" w:eastAsia="Courier New" w:hAnsi="Courier New"/>
          <w:color w:val="1A1A1A"/>
          <w:sz w:val="18"/>
          <w:szCs w:val="18"/>
        </w:rPr>
        <w:t xml:space="preserve">  →  noncritical ODs remain on ECMP or previous routing</w:t>
      </w:r>
    </w:p>
    <w:p>
      <w:pPr>
        <w:spacing w:after="40" w:before="40"/>
        <w:ind w:left="720"/>
      </w:pPr>
      <w:r>
        <w:rPr>
          <w:rFonts w:ascii="Courier New" w:cs="Courier New" w:eastAsia="Courier New" w:hAnsi="Courier New"/>
          <w:color w:val="1A1A1A"/>
          <w:sz w:val="18"/>
          <w:szCs w:val="18"/>
        </w:rPr>
        <w:t xml:space="preserve">  →  capped K escalation if PR/MLU guard fails  (K30 → K40 → K50)</w:t>
      </w:r>
    </w:p>
    <w:p>
      <w:pPr>
        <w:spacing w:after="40" w:before="40"/>
        <w:ind w:left="720"/>
      </w:pPr>
      <w:r>
        <w:rPr>
          <w:rFonts w:ascii="Courier New" w:cs="Courier New" w:eastAsia="Courier New" w:hAnsi="Courier New"/>
          <w:color w:val="1A1A1A"/>
          <w:sz w:val="18"/>
          <w:szCs w:val="18"/>
        </w:rPr>
        <w:t xml:space="preserve">  →  full-OD fallback only after selected-K cap fails</w:t>
      </w:r>
    </w:p>
    <w:p>
      <w:pPr>
        <w:spacing w:after="40" w:before="40"/>
        <w:ind w:left="720"/>
      </w:pPr>
      <w:r>
        <w:rPr>
          <w:rFonts w:ascii="Courier New" w:cs="Courier New" w:eastAsia="Courier New" w:hAnsi="Courier New"/>
          <w:color w:val="1A1A1A"/>
          <w:sz w:val="18"/>
          <w:szCs w:val="18"/>
        </w:rPr>
        <w:t xml:space="preserve">  →  evaluation</w:t>
      </w:r>
    </w:p>
    <w:p>
      <w:pPr>
        <w:spacing w:after="0" w:before="80"/>
      </w:pPr>
    </w:p>
    <w:p>
      <w:pPr>
        <w:spacing w:after="80" w:before="60"/>
      </w:pPr>
      <w:r>
        <w:rPr>
          <w:rFonts w:ascii="Arial" w:cs="Arial" w:eastAsia="Arial" w:hAnsi="Arial"/>
          <w:b/>
          <w:bCs/>
          <w:i w:val="false"/>
          <w:iCs w:val="false"/>
          <w:color w:val="000000"/>
          <w:sz w:val="22"/>
          <w:szCs w:val="22"/>
        </w:rPr>
        <w:t xml:space="preserve">Mandatory compliance statement — the reported clean run uses:</w:t>
      </w:r>
    </w:p>
    <w:p>
      <w:pPr>
        <w:spacing w:after="30" w:before="30"/>
        <w:ind w:left="720" w:hanging="360"/>
      </w:pPr>
      <w:r>
        <w:rPr>
          <w:rFonts w:ascii="Arial" w:cs="Arial" w:eastAsia="Arial" w:hAnsi="Arial"/>
          <w:sz w:val="20"/>
          <w:szCs w:val="20"/>
        </w:rPr>
        <w:t xml:space="preserve">•  GNN-LPD selector trained from DB-budgeted full-OD LP oracle labels</w:t>
      </w:r>
    </w:p>
    <w:p>
      <w:pPr>
        <w:spacing w:after="30" w:before="30"/>
        <w:ind w:left="720" w:hanging="360"/>
      </w:pPr>
      <w:r>
        <w:rPr>
          <w:rFonts w:ascii="Arial" w:cs="Arial" w:eastAsia="Arial" w:hAnsi="Arial"/>
          <w:sz w:val="20"/>
          <w:szCs w:val="20"/>
        </w:rPr>
        <w:t xml:space="preserve">•  DQN controller (9-action K / budget space)</w:t>
      </w:r>
    </w:p>
    <w:p>
      <w:pPr>
        <w:spacing w:after="30" w:before="30"/>
        <w:ind w:left="720" w:hanging="360"/>
      </w:pPr>
      <w:r>
        <w:rPr>
          <w:rFonts w:ascii="Arial" w:cs="Arial" w:eastAsia="Arial" w:hAnsi="Arial"/>
          <w:sz w:val="20"/>
          <w:szCs w:val="20"/>
        </w:rPr>
        <w:t xml:space="preserve">•  One-stage selected-flow DB-budgeted LP</w:t>
      </w:r>
    </w:p>
    <w:p>
      <w:pPr>
        <w:spacing w:after="30" w:before="30"/>
        <w:ind w:left="720" w:hanging="360"/>
      </w:pPr>
      <w:r>
        <w:rPr>
          <w:rFonts w:ascii="Arial" w:cs="Arial" w:eastAsia="Arial" w:hAnsi="Arial"/>
          <w:sz w:val="20"/>
          <w:szCs w:val="20"/>
        </w:rPr>
        <w:t xml:space="preserve">•  No heuristic criticality</w:t>
      </w:r>
    </w:p>
    <w:p>
      <w:pPr>
        <w:spacing w:after="30" w:before="30"/>
        <w:ind w:left="720" w:hanging="360"/>
      </w:pPr>
      <w:r>
        <w:rPr>
          <w:rFonts w:ascii="Arial" w:cs="Arial" w:eastAsia="Arial" w:hAnsi="Arial"/>
          <w:sz w:val="20"/>
          <w:szCs w:val="20"/>
        </w:rPr>
        <w:t xml:space="preserve">•  No RandomForest gate</w:t>
      </w:r>
    </w:p>
    <w:p>
      <w:pPr>
        <w:spacing w:after="30" w:before="30"/>
        <w:ind w:left="720" w:hanging="360"/>
      </w:pPr>
      <w:r>
        <w:rPr>
          <w:rFonts w:ascii="Arial" w:cs="Arial" w:eastAsia="Arial" w:hAnsi="Arial"/>
          <w:sz w:val="20"/>
          <w:szCs w:val="20"/>
        </w:rPr>
        <w:t xml:space="preserve">•  No sticky gate / sticky reuse</w:t>
      </w:r>
    </w:p>
    <w:p>
      <w:pPr>
        <w:spacing w:after="30" w:before="30"/>
        <w:ind w:left="720" w:hanging="360"/>
      </w:pPr>
      <w:r>
        <w:rPr>
          <w:rFonts w:ascii="Arial" w:cs="Arial" w:eastAsia="Arial" w:hAnsi="Arial"/>
          <w:sz w:val="20"/>
          <w:szCs w:val="20"/>
        </w:rPr>
        <w:t xml:space="preserve">•  No Stage-2 DB LP</w:t>
      </w:r>
    </w:p>
    <w:p>
      <w:pPr>
        <w:spacing w:after="30" w:before="30"/>
        <w:ind w:left="720" w:hanging="360"/>
      </w:pPr>
      <w:r>
        <w:rPr>
          <w:rFonts w:ascii="Arial" w:cs="Arial" w:eastAsia="Arial" w:hAnsi="Arial"/>
          <w:sz w:val="20"/>
          <w:szCs w:val="20"/>
        </w:rPr>
        <w:t xml:space="preserve">•  No disturbance-finalization LP</w:t>
      </w:r>
    </w:p>
    <w:p>
      <w:pPr>
        <w:spacing w:after="30" w:before="30"/>
        <w:ind w:left="720" w:hanging="360"/>
      </w:pPr>
      <w:r>
        <w:rPr>
          <w:rFonts w:ascii="Arial" w:cs="Arial" w:eastAsia="Arial" w:hAnsi="Arial"/>
          <w:sz w:val="20"/>
          <w:szCs w:val="20"/>
        </w:rPr>
        <w:t xml:space="preserve">•  No solve_selected_path_lp_min_db(...)</w:t>
      </w:r>
    </w:p>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Section 1 — Dataset Protocol</w:t>
      </w:r>
    </w:p>
    <w:p>
      <w:pPr>
        <w:spacing w:after="80" w:before="60"/>
      </w:pPr>
      <w:r>
        <w:rPr>
          <w:rFonts w:ascii="Arial" w:cs="Arial" w:eastAsia="Arial" w:hAnsi="Arial"/>
          <w:b/>
          <w:bCs/>
          <w:i w:val="false"/>
          <w:iCs w:val="false"/>
          <w:color w:val="000000"/>
          <w:sz w:val="22"/>
          <w:szCs w:val="22"/>
        </w:rPr>
        <w:t xml:space="preserve">Table 1. Dataset and TM protocol</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200"/>
        <w:gridCol w:w="1200"/>
        <w:gridCol w:w="1200"/>
        <w:gridCol w:w="1100"/>
        <w:gridCol w:w="1100"/>
        <w:gridCol w:w="1160"/>
      </w:tblGrid>
      <w:tr>
        <w:trPr>
          <w:tblHeader/>
        </w:trPr>
        <w:tc>
          <w:tcPr>
            <w:tcW w:type="dxa" w:w="2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1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Role</w:t>
            </w:r>
          </w:p>
        </w:tc>
        <w:tc>
          <w:tcPr>
            <w:tcW w:type="dxa" w:w="1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TM Source</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Training TMs</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Eval TMs</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Model Train</w:t>
            </w:r>
          </w:p>
        </w:tc>
        <w:tc>
          <w:tcPr>
            <w:tcW w:type="dxa" w:w="1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Validation</w:t>
            </w:r>
          </w:p>
        </w:tc>
        <w:tc>
          <w:tcPr>
            <w:tcW w:type="dxa" w:w="1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Internal Test</w:t>
            </w:r>
          </w:p>
        </w:tc>
        <w:tc>
          <w:tcPr>
            <w:tcW w:type="dxa" w:w="11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Window</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Real</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1,612</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203</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2016–4031</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Real</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537</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68</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672–1343</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MGM synthetic</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200–399</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MGM synthetic</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200–399</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MGM synthetic</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200–399</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Ebone</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MGM synthetic</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200–399</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Germany50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Zero-shot eval</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Real</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288</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0–287</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VtlWavenet2011</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Zero-shot eval</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MGM synthetic</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0–199</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Total seen training</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3,488</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comparison subset</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3,288 (5 topos)</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c>
          <w:tcPr>
            <w:tcW w:type="dxa" w:w="1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
            </w:r>
          </w:p>
        </w:tc>
      </w:tr>
      <w:tr>
        <w:tc>
          <w:tcPr>
            <w:tcW w:type="dxa" w:w="2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Full internal evaluation</w:t>
            </w:r>
          </w:p>
        </w:tc>
        <w:tc>
          <w:tcPr>
            <w:tcW w:type="dxa" w:w="1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c>
          <w:tcPr>
            <w:tcW w:type="dxa" w:w="1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 (8 topos)</w:t>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c>
          <w:tcPr>
            <w:tcW w:type="dxa" w:w="1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c>
          <w:tcPr>
            <w:tcW w:type="dxa" w:w="1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c>
          <w:tcPr>
            <w:tcW w:type="dxa" w:w="11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
            </w:r>
          </w:p>
        </w:tc>
      </w:tr>
    </w:tbl>
    <w:p>
      <w:pPr>
        <w:spacing w:after="0" w:before="80"/>
      </w:pPr>
    </w:p>
    <w:p>
      <w:pPr>
        <w:spacing w:after="80" w:before="60"/>
      </w:pPr>
      <w:r>
        <w:rPr>
          <w:rFonts w:ascii="Arial" w:cs="Arial" w:eastAsia="Arial" w:hAnsi="Arial"/>
          <w:b/>
          <w:bCs/>
          <w:i w:val="false"/>
          <w:iCs w:val="false"/>
          <w:color w:val="000000"/>
          <w:sz w:val="22"/>
          <w:szCs w:val="22"/>
        </w:rPr>
        <w:t xml:space="preserve">Table 1b. Source-scope map</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100"/>
        <w:gridCol w:w="5060"/>
      </w:tblGrid>
      <w:tr>
        <w:trPr>
          <w:tblHeader/>
        </w:trPr>
        <w:tc>
          <w:tcPr>
            <w:tcW w:type="dxa" w:w="2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Scope</w:t>
            </w:r>
          </w:p>
        </w:tc>
        <w:tc>
          <w:tcPr>
            <w:tcW w:type="dxa" w:w="4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Source File</w:t>
            </w:r>
          </w:p>
        </w:tc>
        <w:tc>
          <w:tcPr>
            <w:tcW w:type="dxa" w:w="1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w:t>
            </w:r>
          </w:p>
        </w:tc>
        <w:tc>
          <w:tcPr>
            <w:tcW w:type="dxa" w:w="50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Topologies</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comparison subset</w:t>
            </w:r>
          </w:p>
        </w:tc>
        <w:tc>
          <w:tcPr>
            <w:tcW w:type="dxa" w:w="4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results/.../final_N3976/per_cycle.csv (filtered)</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3,288</w:t>
            </w:r>
          </w:p>
        </w:tc>
        <w:tc>
          <w:tcPr>
            <w:tcW w:type="dxa" w:w="50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 CERNET, GEANT, Sprintlink, Tiscali</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CDF source</w:t>
            </w:r>
          </w:p>
        </w:tc>
        <w:tc>
          <w:tcPr>
            <w:tcW w:type="dxa" w:w="4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results/.../final_N3976/per_cycle.csv (filtered)</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3,288</w:t>
            </w:r>
          </w:p>
        </w:tc>
        <w:tc>
          <w:tcPr>
            <w:tcW w:type="dxa" w:w="50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 CERNET, GEANT, Sprintlink, Tiscali</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Full internal clean eval</w:t>
            </w:r>
          </w:p>
        </w:tc>
        <w:tc>
          <w:tcPr>
            <w:tcW w:type="dxa" w:w="4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results/.../final_N3976/per_cycle.csv</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3,976</w:t>
            </w:r>
          </w:p>
        </w:tc>
        <w:tc>
          <w:tcPr>
            <w:tcW w:type="dxa" w:w="50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All 8 topologies</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Clean audit</w:t>
            </w:r>
          </w:p>
        </w:tc>
        <w:tc>
          <w:tcPr>
            <w:tcW w:type="dxa" w:w="4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results/.../final_N3976/method_audit.json</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t>
            </w:r>
          </w:p>
        </w:tc>
        <w:tc>
          <w:tcPr>
            <w:tcW w:type="dxa" w:w="50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Method compliance flags</w:t>
            </w:r>
          </w:p>
        </w:tc>
      </w:tr>
      <w:tr>
        <w:tc>
          <w:tcPr>
            <w:tcW w:type="dxa" w:w="2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Label provenance</w:t>
            </w:r>
          </w:p>
        </w:tc>
        <w:tc>
          <w:tcPr>
            <w:tcW w:type="dxa" w:w="4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results/.../labels/label_provenance.json</w:t>
            </w:r>
          </w:p>
        </w:tc>
        <w:tc>
          <w:tcPr>
            <w:tcW w:type="dxa" w:w="1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t>
            </w:r>
          </w:p>
        </w:tc>
        <w:tc>
          <w:tcPr>
            <w:tcW w:type="dxa" w:w="50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DB-budgeted LP oracle provenance</w:t>
            </w:r>
          </w:p>
        </w:tc>
      </w:tr>
    </w:tbl>
    <w:p>
      <w:pPr>
        <w:pBdr>
          <w:bottom w:val="single" w:color="2E75B6" w:sz="4" w:space="1"/>
        </w:pBdr>
        <w:spacing w:after="80" w:before="140"/>
      </w:pPr>
    </w:p>
    <w:p>
      <w:r>
        <w:br w:type="page"/>
      </w:r>
    </w:p>
    <w:p>
      <w:pPr>
        <w:pStyle w:val="Heading1"/>
        <w:spacing w:after="120" w:before="280"/>
      </w:pPr>
      <w:r>
        <w:rPr>
          <w:rFonts w:ascii="Arial" w:cs="Arial" w:eastAsia="Arial" w:hAnsi="Arial"/>
          <w:b/>
          <w:bCs/>
          <w:color w:val="1F4E79"/>
          <w:sz w:val="28"/>
          <w:szCs w:val="28"/>
        </w:rPr>
        <w:t xml:space="preserve">Section 2 — Main Comparison Table (N = 3,288)</w:t>
      </w:r>
    </w:p>
    <w:p>
      <w:pPr>
        <w:spacing w:after="60" w:before="60"/>
        <w:ind w:left="720"/>
      </w:pPr>
      <w:r>
        <w:rPr>
          <w:rFonts w:ascii="Arial" w:cs="Arial" w:eastAsia="Arial" w:hAnsi="Arial"/>
          <w:i/>
          <w:iCs/>
          <w:color w:val="404040"/>
          <w:sz w:val="20"/>
          <w:szCs w:val="20"/>
        </w:rPr>
        <w:t xml:space="preserve">Main comparison subset: N = 3,288 over five topologies: Abilene, CERNET, GEANT, Sprintlink, and Tiscali. A locked FlexDATE reference for Tiscali is not available in the source material; its FlexDATE columns are marked N.A. and its result is reported as an internal/limitation row.</w:t>
      </w:r>
    </w:p>
    <w:p>
      <w:pPr>
        <w:spacing w:after="0" w:before="60"/>
      </w:pPr>
    </w:p>
    <w:p>
      <w:pPr>
        <w:spacing w:after="80" w:before="60"/>
      </w:pPr>
      <w:r>
        <w:rPr>
          <w:rFonts w:ascii="Arial" w:cs="Arial" w:eastAsia="Arial" w:hAnsi="Arial"/>
          <w:b/>
          <w:bCs/>
          <w:i w:val="false"/>
          <w:iCs w:val="false"/>
          <w:color w:val="000000"/>
          <w:sz w:val="22"/>
          <w:szCs w:val="22"/>
        </w:rPr>
        <w:t xml:space="preserve">Table 2. Main comparison subset including Tiscali (N = 3,288)</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00"/>
        <w:gridCol w:w="720"/>
        <w:gridCol w:w="900"/>
        <w:gridCol w:w="900"/>
        <w:gridCol w:w="720"/>
        <w:gridCol w:w="900"/>
        <w:gridCol w:w="900"/>
        <w:gridCol w:w="720"/>
        <w:gridCol w:w="1700"/>
        <w:gridCol w:w="900"/>
        <w:gridCol w:w="900"/>
        <w:gridCol w:w="900"/>
      </w:tblGrid>
      <w:tr>
        <w:trPr>
          <w:tblHeader/>
        </w:trPr>
        <w:tc>
          <w:tcPr>
            <w:tcW w:type="dxa" w:w="2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72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Rows</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Our PR</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FlexDATE PR</w:t>
            </w:r>
          </w:p>
        </w:tc>
        <w:tc>
          <w:tcPr>
            <w:tcW w:type="dxa" w:w="72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 Result</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Our DB</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FlexDATE DB</w:t>
            </w:r>
          </w:p>
        </w:tc>
        <w:tc>
          <w:tcPr>
            <w:tcW w:type="dxa" w:w="72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DB Result</w:t>
            </w:r>
          </w:p>
        </w:tc>
        <w:tc>
          <w:tcPr>
            <w:tcW w:type="dxa" w:w="17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Overall</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PR≥0.95</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Min PR</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ms</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99.669%</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95.800%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0.613%</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5.130%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1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96.038%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7.2</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99.420%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97.500%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1.830%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1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97.721%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29.0</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99.984%</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99.500%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0.378%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2.960%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1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15.3</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99.900%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0.471%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5.100%</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1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WIN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1,082.2</w:t>
            </w:r>
          </w:p>
        </w:tc>
      </w:tr>
      <w:tr>
        <w:tc>
          <w:tcPr>
            <w:tcW w:type="dxa" w:w="2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N.A.</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n/c</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0.714%</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N.A.</w:t>
            </w:r>
          </w:p>
        </w:tc>
        <w:tc>
          <w:tcPr>
            <w:tcW w:type="dxa" w:w="72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n/c</w:t>
            </w:r>
          </w:p>
        </w:tc>
        <w:tc>
          <w:tcPr>
            <w:tcW w:type="dxa" w:w="1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reported/limitation</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99.950%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9,255.5</w:t>
            </w:r>
          </w:p>
        </w:tc>
      </w:tr>
      <w:tr>
        <w:tc>
          <w:tcPr>
            <w:tcW w:type="dxa" w:w="2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Weighted (N=3,288)</w:t>
            </w:r>
          </w:p>
        </w:tc>
        <w:tc>
          <w:tcPr>
            <w:tcW w:type="dxa" w:w="72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3,288</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99.758%</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t>
            </w:r>
          </w:p>
        </w:tc>
        <w:tc>
          <w:tcPr>
            <w:tcW w:type="dxa" w:w="72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0.544%</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t>
            </w:r>
          </w:p>
        </w:tc>
        <w:tc>
          <w:tcPr>
            <w:tcW w:type="dxa" w:w="72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t>
            </w:r>
          </w:p>
        </w:tc>
        <w:tc>
          <w:tcPr>
            <w:tcW w:type="dxa" w:w="17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4/4 WIN + 1 limitation</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96.038%</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1,252.4</w:t>
            </w:r>
          </w:p>
        </w:tc>
      </w:tr>
    </w:tbl>
    <w:p>
      <w:pPr>
        <w:spacing w:after="0" w:before="60"/>
      </w:pPr>
    </w:p>
    <w:p>
      <w:pPr>
        <w:spacing w:after="80" w:before="60"/>
      </w:pPr>
      <w:r>
        <w:rPr>
          <w:rFonts w:ascii="Arial" w:cs="Arial" w:eastAsia="Arial" w:hAnsi="Arial"/>
          <w:b w:val="false"/>
          <w:bCs w:val="false"/>
          <w:i/>
          <w:iCs/>
          <w:color w:val="595959"/>
          <w:sz w:val="20"/>
          <w:szCs w:val="20"/>
        </w:rPr>
        <w:t xml:space="preserve">Tiscali: No consistent locked FlexDATE reference exists. Result reported as internal evaluation with PR=100.000%, DB=0.714%, but with a severe runtime limitation: 81.5% full-OD fallback, mean 4,340 ms, P95 9,255 ms. The four topologies with locked FlexDATE references (Abilene, CERNET, GEANT, Sprintlink) all achieve PR and DB wins. Sprintlink P95 exceeds 500 ms due to 11.5% safety full-OD fallback; its mean is 155.5 ms.</w:t>
      </w:r>
    </w:p>
    <w:p>
      <w:pPr>
        <w:spacing w:after="0" w:before="100"/>
      </w:pPr>
    </w:p>
    <w:p>
      <w:pPr>
        <w:pStyle w:val="Heading2"/>
        <w:spacing w:after="120" w:before="180"/>
      </w:pPr>
      <w:r>
        <w:rPr>
          <w:rFonts w:ascii="Arial" w:cs="Arial" w:eastAsia="Arial" w:hAnsi="Arial"/>
          <w:b/>
          <w:bCs/>
          <w:color w:val="2E75B6"/>
          <w:sz w:val="24"/>
          <w:szCs w:val="24"/>
        </w:rPr>
        <w:t xml:space="preserve">Section 2 Figures — CDF Plots (Main N = 3,288)</w:t>
      </w:r>
    </w:p>
    <w:p>
      <w:pPr>
        <w:spacing w:after="40" w:before="80"/>
        <w:jc w:val="center"/>
      </w:pPr>
      <w:r>
        <w:drawing>
          <wp:inline distT="0" distB="0" distL="0" distR="0">
            <wp:extent cx="8229600" cy="4695825"/>
            <wp:effectExtent t="0" r="0" b="0" l="0"/>
            <wp:docPr id="1" name="fig1_pr_cdf_N3288.png" descr="Figure 1. PR CDF — Main comparison subset N=3,288 including Tiscali" title="Figure 1. PR CDF — Main comparison subset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229600" cy="4695825"/>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1. PR CDF — Main comparison subset N=3,288 including Tiscali</w:t>
      </w:r>
    </w:p>
    <w:p>
      <w:pPr>
        <w:spacing w:after="0" w:before="60"/>
      </w:pPr>
    </w:p>
    <w:p>
      <w:pPr>
        <w:spacing w:after="40" w:before="80"/>
        <w:jc w:val="center"/>
      </w:pPr>
      <w:r>
        <w:drawing>
          <wp:inline distT="0" distB="0" distL="0" distR="0">
            <wp:extent cx="8229600" cy="4695825"/>
            <wp:effectExtent t="0" r="0" b="0" l="0"/>
            <wp:docPr id="1" name="fig2_db_cdf_N3288.png" descr="Figure 2. DB CDF — Main comparison subset N=3,288 including Tiscali" title="Figure 2. DB CDF — Main comparison subset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229600" cy="4695825"/>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2. DB CDF — Main comparison subset N=3,288 including Tiscali</w:t>
      </w:r>
    </w:p>
    <w:p>
      <w:pPr>
        <w:spacing w:after="0" w:before="60"/>
      </w:pPr>
    </w:p>
    <w:p>
      <w:pPr>
        <w:spacing w:after="40" w:before="80"/>
        <w:jc w:val="center"/>
      </w:pPr>
      <w:r>
        <w:drawing>
          <wp:inline distT="0" distB="0" distL="0" distR="0">
            <wp:extent cx="8229600" cy="4114800"/>
            <wp:effectExtent t="0" r="0" b="0" l="0"/>
            <wp:docPr id="1" name="fig3_decision_time_cdf_N3288.png" descr="Figure 3. Decision-time CDF (linear and log) — Main N=3,288 including Tiscali" title="Figure 3. Decision-time CDF (linear and log) — Main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229600" cy="4114800"/>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3. Decision-time CDF (linear and log) — Main N=3,288 including Tiscali</w:t>
      </w:r>
    </w:p>
    <w:p>
      <w:pPr>
        <w:pBdr>
          <w:bottom w:val="single" w:color="2E75B6" w:sz="4" w:space="1"/>
        </w:pBdr>
        <w:spacing w:after="80" w:before="140"/>
      </w:pPr>
    </w:p>
    <w:p>
      <w:r>
        <w:br w:type="page"/>
      </w:r>
    </w:p>
    <w:p>
      <w:pPr>
        <w:pStyle w:val="Heading1"/>
        <w:spacing w:after="120" w:before="280"/>
      </w:pPr>
      <w:r>
        <w:rPr>
          <w:rFonts w:ascii="Arial" w:cs="Arial" w:eastAsia="Arial" w:hAnsi="Arial"/>
          <w:b/>
          <w:bCs/>
          <w:color w:val="1F4E79"/>
          <w:sz w:val="28"/>
          <w:szCs w:val="28"/>
        </w:rPr>
        <w:t xml:space="preserve">Section 3 — Final-Method Summary (Main N = 3,288)</w:t>
      </w:r>
    </w:p>
    <w:p>
      <w:pPr>
        <w:spacing w:after="80" w:before="60"/>
      </w:pPr>
      <w:r>
        <w:rPr>
          <w:rFonts w:ascii="Arial" w:cs="Arial" w:eastAsia="Arial" w:hAnsi="Arial"/>
          <w:b/>
          <w:bCs/>
          <w:i w:val="false"/>
          <w:iCs w:val="false"/>
          <w:color w:val="000000"/>
          <w:sz w:val="22"/>
          <w:szCs w:val="22"/>
        </w:rPr>
        <w:t xml:space="preserve">Table 3. Final-method summary on the main comparison subset (N = 3,288)</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960"/>
        <w:gridCol w:w="960"/>
        <w:gridCol w:w="960"/>
        <w:gridCol w:w="960"/>
        <w:gridCol w:w="900"/>
        <w:gridCol w:w="900"/>
        <w:gridCol w:w="800"/>
        <w:gridCol w:w="960"/>
        <w:gridCol w:w="800"/>
        <w:gridCol w:w="1460"/>
      </w:tblGrid>
      <w:tr>
        <w:trPr>
          <w:tblHeader/>
        </w:trPr>
        <w:tc>
          <w:tcPr>
            <w:tcW w:type="dxa" w:w="2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7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w:t>
            </w:r>
          </w:p>
        </w:tc>
        <w:tc>
          <w:tcPr>
            <w:tcW w:type="dxa" w:w="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PR</w:t>
            </w:r>
          </w:p>
        </w:tc>
        <w:tc>
          <w:tcPr>
            <w:tcW w:type="dxa" w:w="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PR≥0.95</w:t>
            </w:r>
          </w:p>
        </w:tc>
        <w:tc>
          <w:tcPr>
            <w:tcW w:type="dxa" w:w="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PR≥0.90</w:t>
            </w:r>
          </w:p>
        </w:tc>
        <w:tc>
          <w:tcPr>
            <w:tcW w:type="dxa" w:w="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Min PR</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DB</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DB</w:t>
            </w:r>
          </w:p>
        </w:tc>
        <w:tc>
          <w:tcPr>
            <w:tcW w:type="dxa" w:w="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P50 ms</w:t>
            </w:r>
          </w:p>
        </w:tc>
        <w:tc>
          <w:tcPr>
            <w:tcW w:type="dxa" w:w="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ms</w:t>
            </w:r>
          </w:p>
        </w:tc>
        <w:tc>
          <w:tcPr>
            <w:tcW w:type="dxa" w:w="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Full-OD%</w:t>
            </w:r>
          </w:p>
        </w:tc>
        <w:tc>
          <w:tcPr>
            <w:tcW w:type="dxa" w:w="14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Scope</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99.669%</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96.038%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0.613%</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1.111%</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7.2</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2.3%</w:t>
            </w:r>
          </w:p>
        </w:tc>
        <w:tc>
          <w:tcPr>
            <w:tcW w:type="dxa" w:w="14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subset</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99.420%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97.721%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0.184%</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25.7</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29.0</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w:t>
            </w:r>
          </w:p>
        </w:tc>
        <w:tc>
          <w:tcPr>
            <w:tcW w:type="dxa" w:w="14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subset</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99.984%</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0.378%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0.750%</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13.6</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15.3</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3.1%</w:t>
            </w:r>
          </w:p>
        </w:tc>
        <w:tc>
          <w:tcPr>
            <w:tcW w:type="dxa" w:w="14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subset</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0.471%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0.290%</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32.2</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1,082.2</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11.5%</w:t>
            </w:r>
          </w:p>
        </w:tc>
        <w:tc>
          <w:tcPr>
            <w:tcW w:type="dxa" w:w="14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subset</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99.950%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0.714%</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1.212%</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4,297.6</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9,255.5</w:t>
            </w:r>
          </w:p>
        </w:tc>
        <w:tc>
          <w:tcPr>
            <w:tcW w:type="dxa" w:w="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81.5%</w:t>
            </w:r>
          </w:p>
        </w:tc>
        <w:tc>
          <w:tcPr>
            <w:tcW w:type="dxa" w:w="14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Main/limitation</w:t>
            </w:r>
          </w:p>
        </w:tc>
      </w:tr>
      <w:tr>
        <w:tc>
          <w:tcPr>
            <w:tcW w:type="dxa" w:w="2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Weighted (N=3,288)</w:t>
            </w:r>
          </w:p>
        </w:tc>
        <w:tc>
          <w:tcPr>
            <w:tcW w:type="dxa" w:w="7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3,288</w:t>
            </w:r>
          </w:p>
        </w:tc>
        <w:tc>
          <w:tcPr>
            <w:tcW w:type="dxa" w:w="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99.758%</w:t>
            </w:r>
          </w:p>
        </w:tc>
        <w:tc>
          <w:tcPr>
            <w:tcW w:type="dxa" w:w="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96.038%</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0.544%</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w:t>
            </w:r>
          </w:p>
        </w:tc>
        <w:tc>
          <w:tcPr>
            <w:tcW w:type="dxa" w:w="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6.9</w:t>
            </w:r>
          </w:p>
        </w:tc>
        <w:tc>
          <w:tcPr>
            <w:tcW w:type="dxa" w:w="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1,252.4</w:t>
            </w:r>
          </w:p>
        </w:tc>
        <w:tc>
          <w:tcPr>
            <w:tcW w:type="dxa" w:w="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7.8%</w:t>
            </w:r>
          </w:p>
        </w:tc>
        <w:tc>
          <w:tcPr>
            <w:tcW w:type="dxa" w:w="14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Main pooled</w:t>
            </w:r>
          </w:p>
        </w:tc>
      </w:tr>
    </w:tbl>
    <w:p>
      <w:pPr>
        <w:spacing w:after="0" w:before="60"/>
      </w:pPr>
    </w:p>
    <w:p>
      <w:pPr>
        <w:spacing w:after="80" w:before="60"/>
      </w:pPr>
      <w:r>
        <w:rPr>
          <w:rFonts w:ascii="Arial" w:cs="Arial" w:eastAsia="Arial" w:hAnsi="Arial"/>
          <w:b w:val="false"/>
          <w:bCs w:val="false"/>
          <w:i/>
          <w:iCs/>
          <w:color w:val="595959"/>
          <w:sz w:val="20"/>
          <w:szCs w:val="20"/>
        </w:rPr>
        <w:t xml:space="preserve">Weighted pooled row computed directly from per_cycle.csv filtered to N=3,288 (five topologies). P95 ms of 1,252.4 ms is dominated by Tiscali's 81.5% full-OD fallback rate.</w:t>
      </w:r>
    </w:p>
    <w:p>
      <w:pPr>
        <w:spacing w:after="0" w:before="80"/>
      </w:pPr>
    </w:p>
    <w:p>
      <w:pPr>
        <w:pStyle w:val="Heading2"/>
        <w:spacing w:after="120" w:before="180"/>
      </w:pPr>
      <w:r>
        <w:rPr>
          <w:rFonts w:ascii="Arial" w:cs="Arial" w:eastAsia="Arial" w:hAnsi="Arial"/>
          <w:b/>
          <w:bCs/>
          <w:color w:val="2E75B6"/>
          <w:sz w:val="24"/>
          <w:szCs w:val="24"/>
        </w:rPr>
        <w:t xml:space="preserve">Section 3 Figures — Per-topology metrics</w:t>
      </w:r>
    </w:p>
    <w:p>
      <w:pPr>
        <w:spacing w:after="40" w:before="80"/>
        <w:jc w:val="center"/>
      </w:pPr>
      <w:r>
        <w:drawing>
          <wp:inline distT="0" distB="0" distL="0" distR="0">
            <wp:extent cx="8229600" cy="4695825"/>
            <wp:effectExtent t="0" r="0" b="0" l="0"/>
            <wp:docPr id="1" name="fig4_mean_pr_by_topo_N3288.png" descr="Figure 4. Mean PR by topology — Main N=3,288 including Tiscali" title="Figure 4. Mean PR by topology — Main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29600" cy="4695825"/>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4. Mean PR by topology — Main N=3,288 including Tiscali</w:t>
      </w:r>
    </w:p>
    <w:p>
      <w:pPr>
        <w:spacing w:after="0" w:before="60"/>
      </w:pPr>
    </w:p>
    <w:p>
      <w:pPr>
        <w:spacing w:after="40" w:before="80"/>
        <w:jc w:val="center"/>
      </w:pPr>
      <w:r>
        <w:drawing>
          <wp:inline distT="0" distB="0" distL="0" distR="0">
            <wp:extent cx="8229600" cy="4695825"/>
            <wp:effectExtent t="0" r="0" b="0" l="0"/>
            <wp:docPr id="1" name="fig5_mean_db_by_topo_N3288.png" descr="Figure 5. Mean DB by topology — Main N=3,288 including Tiscali" title="Figure 5. Mean DB by topology — Main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229600" cy="4695825"/>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5. Mean DB by topology — Main N=3,288 including Tiscali</w:t>
      </w:r>
    </w:p>
    <w:p>
      <w:pPr>
        <w:spacing w:after="0" w:before="60"/>
      </w:pPr>
    </w:p>
    <w:p>
      <w:pPr>
        <w:spacing w:after="40" w:before="80"/>
        <w:jc w:val="center"/>
      </w:pPr>
      <w:r>
        <w:drawing>
          <wp:inline distT="0" distB="0" distL="0" distR="0">
            <wp:extent cx="8229600" cy="4114800"/>
            <wp:effectExtent t="0" r="0" b="0" l="0"/>
            <wp:docPr id="1" name="fig6_p95_decision_time_N3288.png" descr="Figure 6. P95 decision time by topology (log scale) — Main N=3,288 including Tiscali" title="Figure 6. P95 decision time by topology (log scale) — Main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229600" cy="4114800"/>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6. P95 decision time by topology (log scale) — Main N=3,288 including Tiscali</w:t>
      </w:r>
    </w:p>
    <w:p>
      <w:pPr>
        <w:spacing w:after="0" w:before="60"/>
      </w:pPr>
    </w:p>
    <w:p>
      <w:pPr>
        <w:spacing w:after="40" w:before="80"/>
        <w:jc w:val="center"/>
      </w:pPr>
      <w:r>
        <w:drawing>
          <wp:inline distT="0" distB="0" distL="0" distR="0">
            <wp:extent cx="8229600" cy="4695825"/>
            <wp:effectExtent t="0" r="0" b="0" l="0"/>
            <wp:docPr id="1" name="fig7_full_od_fallback_N3288.png" descr="Figure 7. Full-OD fallback rate by topology — Main N=3,288 including Tiscali" title="Figure 7. Full-OD fallback rate by topology — Main N=3,288 including Tisc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229600" cy="4695825"/>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7. Full-OD fallback rate by topology — Main N=3,288 including Tiscali</w:t>
      </w:r>
    </w:p>
    <w:p>
      <w:pPr>
        <w:pBdr>
          <w:bottom w:val="single" w:color="2E75B6" w:sz="4" w:space="1"/>
        </w:pBdr>
        <w:spacing w:after="80" w:before="140"/>
      </w:pPr>
    </w:p>
    <w:p>
      <w:r>
        <w:br w:type="page"/>
      </w:r>
    </w:p>
    <w:p>
      <w:pPr>
        <w:pStyle w:val="Heading1"/>
        <w:spacing w:after="120" w:before="280"/>
      </w:pPr>
      <w:r>
        <w:rPr>
          <w:rFonts w:ascii="Arial" w:cs="Arial" w:eastAsia="Arial" w:hAnsi="Arial"/>
          <w:b/>
          <w:bCs/>
          <w:color w:val="1F4E79"/>
          <w:sz w:val="28"/>
          <w:szCs w:val="28"/>
        </w:rPr>
        <w:t xml:space="preserve">Section 4 — Full Internal Evaluation (Scope B, N = 3,976)</w:t>
      </w:r>
    </w:p>
    <w:p>
      <w:pPr>
        <w:spacing w:after="80" w:before="60"/>
      </w:pPr>
      <w:r>
        <w:rPr>
          <w:rFonts w:ascii="Arial" w:cs="Arial" w:eastAsia="Arial" w:hAnsi="Arial"/>
          <w:b/>
          <w:bCs/>
          <w:i w:val="false"/>
          <w:iCs w:val="false"/>
          <w:color w:val="000000"/>
          <w:sz w:val="22"/>
          <w:szCs w:val="22"/>
        </w:rPr>
        <w:t xml:space="preserve">Table 4. Final clean method on full internal evaluation protocol (N = 3,976)</w:t>
      </w:r>
    </w:p>
    <w:p>
      <w:pPr>
        <w:spacing w:after="80" w:before="60"/>
      </w:pPr>
      <w:r>
        <w:rPr>
          <w:rFonts w:ascii="Arial" w:cs="Arial" w:eastAsia="Arial" w:hAnsi="Arial"/>
          <w:b w:val="false"/>
          <w:bCs w:val="false"/>
          <w:i/>
          <w:iCs/>
          <w:color w:val="595959"/>
          <w:sz w:val="20"/>
          <w:szCs w:val="20"/>
        </w:rPr>
        <w:t xml:space="preserve">This is Scope B. Not the direct main comparison claim. All 8 topologies including zero-shot Germany50 and VtlWavenet2011.</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1000"/>
        <w:gridCol w:w="1000"/>
        <w:gridCol w:w="1000"/>
        <w:gridCol w:w="1000"/>
        <w:gridCol w:w="900"/>
        <w:gridCol w:w="900"/>
        <w:gridCol w:w="1900"/>
        <w:gridCol w:w="960"/>
        <w:gridCol w:w="1000"/>
      </w:tblGrid>
      <w:tr>
        <w:trPr>
          <w:tblHeader/>
        </w:trPr>
        <w:tc>
          <w:tcPr>
            <w:tcW w:type="dxa" w:w="2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7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PR</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PR≥0.90</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PR≥0.95</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Min PR</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DB</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DB</w:t>
            </w:r>
          </w:p>
        </w:tc>
        <w:tc>
          <w:tcPr>
            <w:tcW w:type="dxa" w:w="1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ms</w:t>
            </w:r>
          </w:p>
        </w:tc>
        <w:tc>
          <w:tcPr>
            <w:tcW w:type="dxa" w:w="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ms</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Full-OD%</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99.669%</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96.038%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0.613%</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1.111%</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7.1</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7.2</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2.3%</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99.420%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97.721%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0.184%</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23.3</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29.0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Ebone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0.125%</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0.193%</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14.2</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14.9</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0.0%</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99.984%</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99.621%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0.378%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0.750%</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18.9</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15.3</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3.1%</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Germany50</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288</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99.814%</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95.483%</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1.061%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1.823%</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73.7</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426.7</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5.9%</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0.471%</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0.290%</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155.5</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1,082.2</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11.5%</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99.950%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0.714%</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1.212%</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4,340.4</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9,255.5</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81.5%</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VtlWavenet2011</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99.134%</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98.818%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0.230%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0.082%</w:t>
            </w:r>
          </w:p>
        </w:tc>
        <w:tc>
          <w:tcPr>
            <w:tcW w:type="dxa" w:w="1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128.3</w:t>
            </w:r>
          </w:p>
        </w:tc>
        <w:tc>
          <w:tcPr>
            <w:tcW w:type="dxa" w:w="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120.8</w:t>
            </w:r>
          </w:p>
        </w:tc>
        <w:tc>
          <w:tcPr>
            <w:tcW w:type="dxa" w:w="1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0.5%</w:t>
            </w:r>
          </w:p>
        </w:tc>
      </w:tr>
      <w:tr>
        <w:tc>
          <w:tcPr>
            <w:tcW w:type="dxa" w:w="2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Weighted total (N=3,976)</w:t>
            </w:r>
          </w:p>
        </w:tc>
        <w:tc>
          <w:tcPr>
            <w:tcW w:type="dxa" w:w="7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99.743%</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95.483%</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0.545%</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w:t>
            </w:r>
          </w:p>
        </w:tc>
        <w:tc>
          <w:tcPr>
            <w:tcW w:type="dxa" w:w="1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246.6</w:t>
            </w:r>
          </w:p>
        </w:tc>
        <w:tc>
          <w:tcPr>
            <w:tcW w:type="dxa" w:w="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657.2</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6.9%</w:t>
            </w:r>
          </w:p>
        </w:tc>
      </w:tr>
    </w:tbl>
    <w:p>
      <w:pPr>
        <w:spacing w:after="0" w:before="60"/>
      </w:pPr>
    </w:p>
    <w:p>
      <w:pPr>
        <w:spacing w:after="80" w:before="60"/>
      </w:pPr>
      <w:r>
        <w:rPr>
          <w:rFonts w:ascii="Arial" w:cs="Arial" w:eastAsia="Arial" w:hAnsi="Arial"/>
          <w:b w:val="false"/>
          <w:bCs w:val="false"/>
          <w:i/>
          <w:iCs/>
          <w:color w:val="595959"/>
          <w:sz w:val="20"/>
          <w:szCs w:val="20"/>
        </w:rPr>
        <w:t xml:space="preserve">Weighted total computed directly from per_cycle.csv (3,976 rows).</w:t>
      </w:r>
    </w:p>
    <w:p>
      <w:pPr>
        <w:spacing w:after="0" w:before="80"/>
      </w:pPr>
    </w:p>
    <w:p>
      <w:pPr>
        <w:pStyle w:val="Heading2"/>
        <w:spacing w:after="120" w:before="180"/>
      </w:pPr>
      <w:r>
        <w:rPr>
          <w:rFonts w:ascii="Arial" w:cs="Arial" w:eastAsia="Arial" w:hAnsi="Arial"/>
          <w:b/>
          <w:bCs/>
          <w:color w:val="2E75B6"/>
          <w:sz w:val="24"/>
          <w:szCs w:val="24"/>
        </w:rPr>
        <w:t xml:space="preserve">Section 4b — Additional Full Metrics</w:t>
      </w:r>
    </w:p>
    <w:p>
      <w:pPr>
        <w:spacing w:after="80" w:before="60"/>
      </w:pPr>
      <w:r>
        <w:rPr>
          <w:rFonts w:ascii="Arial" w:cs="Arial" w:eastAsia="Arial" w:hAnsi="Arial"/>
          <w:b/>
          <w:bCs/>
          <w:i w:val="false"/>
          <w:iCs w:val="false"/>
          <w:color w:val="000000"/>
          <w:sz w:val="22"/>
          <w:szCs w:val="22"/>
        </w:rPr>
        <w:t xml:space="preserve">Table 4b. Extended metrics — full N = 3,976</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2100"/>
        <w:gridCol w:w="2100"/>
        <w:gridCol w:w="2100"/>
        <w:gridCol w:w="3360"/>
      </w:tblGrid>
      <w:tr>
        <w:trPr>
          <w:tblHeader/>
        </w:trPr>
        <w:tc>
          <w:tcPr>
            <w:tcW w:type="dxa" w:w="2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7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w:t>
            </w:r>
          </w:p>
        </w:tc>
        <w:tc>
          <w:tcPr>
            <w:tcW w:type="dxa" w:w="2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Median PR</w:t>
            </w:r>
          </w:p>
        </w:tc>
        <w:tc>
          <w:tcPr>
            <w:tcW w:type="dxa" w:w="2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PR≥0.99</w:t>
            </w:r>
          </w:p>
        </w:tc>
        <w:tc>
          <w:tcPr>
            <w:tcW w:type="dxa" w:w="2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Max DB</w:t>
            </w:r>
          </w:p>
        </w:tc>
        <w:tc>
          <w:tcPr>
            <w:tcW w:type="dxa" w:w="33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Max ms</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88.988%</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15.040%</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189.7</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99.600%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74.000%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53.202%</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656.8</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Ebone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9.980%</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16.0</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69.681%</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340.7</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Germany50</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288</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93.403%</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86.589%</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1,415.8</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78.809%</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2,113.7</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54.825%</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10,842.5</w:t>
            </w:r>
          </w:p>
        </w:tc>
      </w:tr>
      <w:tr>
        <w:tc>
          <w:tcPr>
            <w:tcW w:type="dxa" w:w="2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VtlWavenet2011</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99.026%</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52.500%</w:t>
            </w:r>
          </w:p>
        </w:tc>
        <w:tc>
          <w:tcPr>
            <w:tcW w:type="dxa" w:w="2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39.605%</w:t>
            </w:r>
          </w:p>
        </w:tc>
        <w:tc>
          <w:tcPr>
            <w:tcW w:type="dxa" w:w="33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1,881.6</w:t>
            </w:r>
          </w:p>
        </w:tc>
      </w:tr>
      <w:tr>
        <w:tc>
          <w:tcPr>
            <w:tcW w:type="dxa" w:w="2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All (N=3,976)</w:t>
            </w:r>
          </w:p>
        </w:tc>
        <w:tc>
          <w:tcPr>
            <w:tcW w:type="dxa" w:w="7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w:t>
            </w:r>
          </w:p>
        </w:tc>
        <w:tc>
          <w:tcPr>
            <w:tcW w:type="dxa" w:w="2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2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90.241%</w:t>
            </w:r>
          </w:p>
        </w:tc>
        <w:tc>
          <w:tcPr>
            <w:tcW w:type="dxa" w:w="2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86.589%</w:t>
            </w:r>
          </w:p>
        </w:tc>
        <w:tc>
          <w:tcPr>
            <w:tcW w:type="dxa" w:w="33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10,842.5</w:t>
            </w:r>
          </w:p>
        </w:tc>
      </w:tr>
    </w:tbl>
    <w:p>
      <w:pPr>
        <w:spacing w:after="0" w:before="60"/>
      </w:pPr>
    </w:p>
    <w:p>
      <w:pPr>
        <w:spacing w:after="80" w:before="60"/>
      </w:pPr>
      <w:r>
        <w:rPr>
          <w:rFonts w:ascii="Arial" w:cs="Arial" w:eastAsia="Arial" w:hAnsi="Arial"/>
          <w:b w:val="false"/>
          <w:bCs w:val="false"/>
          <w:i/>
          <w:iCs/>
          <w:color w:val="595959"/>
          <w:sz w:val="20"/>
          <w:szCs w:val="20"/>
        </w:rPr>
        <w:t xml:space="preserve">MLU diagnostic fields were not present in the clean run artifact and are not re-reported. PR and DB are the primary headline metrics.</w:t>
      </w:r>
    </w:p>
    <w:p>
      <w:pPr>
        <w:pBdr>
          <w:bottom w:val="single" w:color="2E75B6" w:sz="4" w:space="1"/>
        </w:pBdr>
        <w:spacing w:after="80" w:before="140"/>
      </w:pPr>
    </w:p>
    <w:p>
      <w:r>
        <w:br w:type="page"/>
      </w:r>
    </w:p>
    <w:p>
      <w:pPr>
        <w:pStyle w:val="Heading1"/>
        <w:spacing w:after="120" w:before="280"/>
      </w:pPr>
      <w:r>
        <w:rPr>
          <w:rFonts w:ascii="Arial" w:cs="Arial" w:eastAsia="Arial" w:hAnsi="Arial"/>
          <w:b/>
          <w:bCs/>
          <w:color w:val="1F4E79"/>
          <w:sz w:val="28"/>
          <w:szCs w:val="28"/>
        </w:rPr>
        <w:t xml:space="preserve">Section 5 — Internal Baselines and Ablations</w:t>
      </w:r>
    </w:p>
    <w:p>
      <w:pPr>
        <w:spacing w:after="80" w:before="60"/>
      </w:pPr>
      <w:r>
        <w:rPr>
          <w:rFonts w:ascii="Arial" w:cs="Arial" w:eastAsia="Arial" w:hAnsi="Arial"/>
          <w:b/>
          <w:bCs/>
          <w:i w:val="false"/>
          <w:iCs w:val="false"/>
          <w:color w:val="000000"/>
          <w:sz w:val="22"/>
          <w:szCs w:val="22"/>
        </w:rPr>
        <w:t xml:space="preserve">Table 5. Clean final method (N = 3,976; not direct main comparison claim)</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4800"/>
        <w:gridCol w:w="700"/>
        <w:gridCol w:w="1000"/>
        <w:gridCol w:w="1000"/>
        <w:gridCol w:w="1000"/>
        <w:gridCol w:w="1000"/>
        <w:gridCol w:w="1000"/>
        <w:gridCol w:w="1000"/>
        <w:gridCol w:w="1460"/>
      </w:tblGrid>
      <w:tr>
        <w:trPr>
          <w:tblHeader/>
        </w:trPr>
        <w:tc>
          <w:tcPr>
            <w:tcW w:type="dxa" w:w="4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Method</w:t>
            </w:r>
          </w:p>
        </w:tc>
        <w:tc>
          <w:tcPr>
            <w:tcW w:type="dxa" w:w="7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PR</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PR≥0.95</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DB</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DB</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ms</w:t>
            </w:r>
          </w:p>
        </w:tc>
        <w:tc>
          <w:tcPr>
            <w:tcW w:type="dxa" w:w="1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ms</w:t>
            </w:r>
          </w:p>
        </w:tc>
        <w:tc>
          <w:tcPr>
            <w:tcW w:type="dxa" w:w="14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Notes</w:t>
            </w:r>
          </w:p>
        </w:tc>
      </w:tr>
      <w:tr>
        <w:tc>
          <w:tcPr>
            <w:tcW w:type="dxa" w:w="4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Clean GNN-LPD-DQN selected-flow DB-budgeted LP</w:t>
            </w:r>
          </w:p>
        </w:tc>
        <w:tc>
          <w:tcPr>
            <w:tcW w:type="dxa" w:w="7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99.743%</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100.000%</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0.545%</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246.6</w:t>
            </w:r>
          </w:p>
        </w:tc>
        <w:tc>
          <w:tcPr>
            <w:tcW w:type="dxa" w:w="1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657.2</w:t>
            </w:r>
          </w:p>
        </w:tc>
        <w:tc>
          <w:tcPr>
            <w:tcW w:type="dxa" w:w="14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Final clean method — AUDIT PASS</w:t>
            </w:r>
          </w:p>
        </w:tc>
      </w:tr>
    </w:tbl>
    <w:p>
      <w:pPr>
        <w:spacing w:after="0" w:before="60"/>
      </w:pPr>
    </w:p>
    <w:p>
      <w:pPr>
        <w:spacing w:after="80" w:before="60"/>
      </w:pPr>
      <w:r>
        <w:rPr>
          <w:rFonts w:ascii="Arial" w:cs="Arial" w:eastAsia="Arial" w:hAnsi="Arial"/>
          <w:b w:val="false"/>
          <w:bCs w:val="false"/>
          <w:i/>
          <w:iCs/>
          <w:color w:val="595959"/>
          <w:sz w:val="20"/>
          <w:szCs w:val="20"/>
        </w:rPr>
        <w:t xml:space="preserve">Historical baselines (ECMP, OSPF, Top-K, GNN-only, LPD-only, legacy Reward-Gated GNN-LPD) were not regenerated in this clean run and are not mixed into the final claim. The legacy artifact is a historical reproduction reference only.</w:t>
      </w:r>
    </w:p>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Section 6 — Clean DQN Policy</w:t>
      </w:r>
    </w:p>
    <w:p>
      <w:pPr>
        <w:spacing w:after="80" w:before="60"/>
      </w:pPr>
      <w:r>
        <w:rPr>
          <w:rFonts w:ascii="Arial" w:cs="Arial" w:eastAsia="Arial" w:hAnsi="Arial"/>
          <w:b/>
          <w:bCs/>
          <w:i w:val="false"/>
          <w:iCs w:val="false"/>
          <w:color w:val="000000"/>
          <w:sz w:val="22"/>
          <w:szCs w:val="22"/>
        </w:rPr>
        <w:t xml:space="preserve">Table 8. Observed clean DQN action distribution (N = 3,976)</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0"/>
        <w:gridCol w:w="3480"/>
        <w:gridCol w:w="4480"/>
      </w:tblGrid>
      <w:tr>
        <w:trPr>
          <w:tblHeader/>
        </w:trPr>
        <w:tc>
          <w:tcPr>
            <w:tcW w:type="dxa" w:w="5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Action</w:t>
            </w:r>
          </w:p>
        </w:tc>
        <w:tc>
          <w:tcPr>
            <w:tcW w:type="dxa" w:w="348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Count</w:t>
            </w:r>
          </w:p>
        </w:tc>
        <w:tc>
          <w:tcPr>
            <w:tcW w:type="dxa" w:w="448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Share</w:t>
            </w:r>
          </w:p>
        </w:tc>
      </w:tr>
      <w:tr>
        <w:tc>
          <w:tcPr>
            <w:tcW w:type="dxa" w:w="5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OPTIMIZE_K30_DB_0.01</w:t>
            </w:r>
          </w:p>
        </w:tc>
        <w:tc>
          <w:tcPr>
            <w:tcW w:type="dxa" w:w="3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3,269</w:t>
            </w:r>
          </w:p>
        </w:tc>
        <w:tc>
          <w:tcPr>
            <w:tcW w:type="dxa" w:w="4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82.2%</w:t>
            </w:r>
          </w:p>
        </w:tc>
      </w:tr>
      <w:tr>
        <w:tc>
          <w:tcPr>
            <w:tcW w:type="dxa" w:w="5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OPTIMIZE_K40_DB_0.03</w:t>
            </w:r>
          </w:p>
        </w:tc>
        <w:tc>
          <w:tcPr>
            <w:tcW w:type="dxa" w:w="3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405</w:t>
            </w:r>
          </w:p>
        </w:tc>
        <w:tc>
          <w:tcPr>
            <w:tcW w:type="dxa" w:w="4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10.2%</w:t>
            </w:r>
          </w:p>
        </w:tc>
      </w:tr>
      <w:tr>
        <w:tc>
          <w:tcPr>
            <w:tcW w:type="dxa" w:w="5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OPTIMIZE_K30_DB_0.03</w:t>
            </w:r>
          </w:p>
        </w:tc>
        <w:tc>
          <w:tcPr>
            <w:tcW w:type="dxa" w:w="3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193</w:t>
            </w:r>
          </w:p>
        </w:tc>
        <w:tc>
          <w:tcPr>
            <w:tcW w:type="dxa" w:w="4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4.9%</w:t>
            </w:r>
          </w:p>
        </w:tc>
      </w:tr>
      <w:tr>
        <w:tc>
          <w:tcPr>
            <w:tcW w:type="dxa" w:w="5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KEEP_PREVIOUS_ROUTING</w:t>
            </w:r>
          </w:p>
        </w:tc>
        <w:tc>
          <w:tcPr>
            <w:tcW w:type="dxa" w:w="3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97</w:t>
            </w:r>
          </w:p>
        </w:tc>
        <w:tc>
          <w:tcPr>
            <w:tcW w:type="dxa" w:w="4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2.4%</w:t>
            </w:r>
          </w:p>
        </w:tc>
      </w:tr>
      <w:tr>
        <w:tc>
          <w:tcPr>
            <w:tcW w:type="dxa" w:w="5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OPTIMIZE_K40_DB_0.01</w:t>
            </w:r>
          </w:p>
        </w:tc>
        <w:tc>
          <w:tcPr>
            <w:tcW w:type="dxa" w:w="3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w:t>
            </w:r>
          </w:p>
        </w:tc>
        <w:tc>
          <w:tcPr>
            <w:tcW w:type="dxa" w:w="4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0.3%</w:t>
            </w:r>
          </w:p>
        </w:tc>
      </w:tr>
      <w:tr>
        <w:tc>
          <w:tcPr>
            <w:tcW w:type="dxa" w:w="5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K50 / FULL_OD (DQN-selected)</w:t>
            </w:r>
          </w:p>
        </w:tc>
        <w:tc>
          <w:tcPr>
            <w:tcW w:type="dxa" w:w="3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448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0.0%</w:t>
            </w:r>
          </w:p>
        </w:tc>
      </w:tr>
      <w:tr>
        <w:tc>
          <w:tcPr>
            <w:tcW w:type="dxa" w:w="5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Total</w:t>
            </w:r>
          </w:p>
        </w:tc>
        <w:tc>
          <w:tcPr>
            <w:tcW w:type="dxa" w:w="348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w:t>
            </w:r>
          </w:p>
        </w:tc>
        <w:tc>
          <w:tcPr>
            <w:tcW w:type="dxa" w:w="448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w:t>
            </w:r>
          </w:p>
        </w:tc>
      </w:tr>
    </w:tbl>
    <w:p>
      <w:pPr>
        <w:spacing w:after="0" w:before="60"/>
      </w:pPr>
    </w:p>
    <w:p>
      <w:pPr>
        <w:spacing w:after="80" w:before="60"/>
      </w:pPr>
      <w:r>
        <w:rPr>
          <w:rFonts w:ascii="Arial" w:cs="Arial" w:eastAsia="Arial" w:hAnsi="Arial"/>
          <w:b w:val="false"/>
          <w:bCs w:val="false"/>
          <w:i/>
          <w:iCs/>
          <w:color w:val="595959"/>
          <w:sz w:val="20"/>
          <w:szCs w:val="20"/>
        </w:rPr>
        <w:t xml:space="preserve">K50 and explicit FULL_OD_FALLBACK actions were not selected by the DQN. Full-OD fallback was activated only by the safety controller after selected-K cap.</w:t>
      </w:r>
    </w:p>
    <w:p>
      <w:pPr>
        <w:spacing w:after="0" w:before="80"/>
      </w:pPr>
    </w:p>
    <w:p>
      <w:pPr>
        <w:spacing w:after="80" w:before="60"/>
      </w:pPr>
      <w:r>
        <w:rPr>
          <w:rFonts w:ascii="Arial" w:cs="Arial" w:eastAsia="Arial" w:hAnsi="Arial"/>
          <w:b/>
          <w:bCs/>
          <w:i w:val="false"/>
          <w:iCs w:val="false"/>
          <w:color w:val="000000"/>
          <w:sz w:val="22"/>
          <w:szCs w:val="22"/>
        </w:rPr>
        <w:t xml:space="preserve">Per-topology action distribution</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600"/>
        <w:gridCol w:w="1600"/>
        <w:gridCol w:w="1600"/>
        <w:gridCol w:w="1600"/>
        <w:gridCol w:w="1960"/>
      </w:tblGrid>
      <w:tr>
        <w:trPr>
          <w:tblHeader/>
        </w:trPr>
        <w:tc>
          <w:tcPr>
            <w:tcW w:type="dxa" w:w="34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KEEP</w:t>
            </w:r>
          </w:p>
        </w:tc>
        <w:tc>
          <w:tcPr>
            <w:tcW w:type="dxa" w:w="1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K30_DB0.01</w:t>
            </w:r>
          </w:p>
        </w:tc>
        <w:tc>
          <w:tcPr>
            <w:tcW w:type="dxa" w:w="1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K30_DB0.03</w:t>
            </w:r>
          </w:p>
        </w:tc>
        <w:tc>
          <w:tcPr>
            <w:tcW w:type="dxa" w:w="1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K40_DB0.01</w:t>
            </w:r>
          </w:p>
        </w:tc>
        <w:tc>
          <w:tcPr>
            <w:tcW w:type="dxa" w:w="16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K40_DB0.03</w:t>
            </w:r>
          </w:p>
        </w:tc>
        <w:tc>
          <w:tcPr>
            <w:tcW w:type="dxa" w:w="1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Total</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1,704</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156</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156</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93</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36</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65</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Ebone</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662</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Germany50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274</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288</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165</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17</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153</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r>
      <w:tr>
        <w:tc>
          <w:tcPr>
            <w:tcW w:type="dxa" w:w="34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VtlWavenet2011</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198</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16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w:t>
            </w:r>
          </w:p>
        </w:tc>
        <w:tc>
          <w:tcPr>
            <w:tcW w:type="dxa" w:w="1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r>
      <w:tr>
        <w:tc>
          <w:tcPr>
            <w:tcW w:type="dxa" w:w="34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Total</w:t>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97</w:t>
            </w:r>
          </w:p>
        </w:tc>
        <w:tc>
          <w:tcPr>
            <w:tcW w:type="dxa" w:w="1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3,269</w:t>
            </w:r>
          </w:p>
        </w:tc>
        <w:tc>
          <w:tcPr>
            <w:tcW w:type="dxa" w:w="1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193</w:t>
            </w:r>
          </w:p>
        </w:tc>
        <w:tc>
          <w:tcPr>
            <w:tcW w:type="dxa" w:w="1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12</w:t>
            </w:r>
          </w:p>
        </w:tc>
        <w:tc>
          <w:tcPr>
            <w:tcW w:type="dxa" w:w="16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405</w:t>
            </w:r>
          </w:p>
        </w:tc>
        <w:tc>
          <w:tcPr>
            <w:tcW w:type="dxa" w:w="1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w:t>
            </w:r>
          </w:p>
        </w:tc>
      </w:tr>
    </w:tbl>
    <w:p>
      <w:pPr>
        <w:spacing w:after="0" w:before="80"/>
      </w:pPr>
    </w:p>
    <w:p>
      <w:pPr>
        <w:spacing w:after="80" w:before="60"/>
      </w:pPr>
      <w:r>
        <w:rPr>
          <w:rFonts w:ascii="Arial" w:cs="Arial" w:eastAsia="Arial" w:hAnsi="Arial"/>
          <w:b/>
          <w:bCs/>
          <w:i w:val="false"/>
          <w:iCs w:val="false"/>
          <w:color w:val="000000"/>
          <w:sz w:val="22"/>
          <w:szCs w:val="22"/>
        </w:rPr>
        <w:t xml:space="preserve">Table 9. Clean DQN settings</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4000"/>
        <w:gridCol w:w="8960"/>
      </w:tblGrid>
      <w:tr>
        <w:trPr>
          <w:tblHeader/>
        </w:trPr>
        <w:tc>
          <w:tcPr>
            <w:tcW w:type="dxa" w:w="4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Parameter</w:t>
            </w:r>
          </w:p>
        </w:tc>
        <w:tc>
          <w:tcPr>
            <w:tcW w:type="dxa" w:w="8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Value</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Controller</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Double DQN (ε-greedy training)</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Selector</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DB-budgeted LP-distilled GNN-LPD (GNNFlowSelector, 72,886 params)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 checkpoint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results/gnn_lpd_dqn_selective_db_lp/models/gnn_dbbudget_selector.pt</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Label oracle</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Full-OD DB-budgeted LP (solve_selected_path_lp_dbbudget, db=0.10)</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Heuristic labels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No</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RandomForest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No</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Sticky gate / reuse</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No</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Stage-2 / disturbance finalization</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No</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Action family</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KEEP / OPTIMIZE_K{30,40,50}_DB{0.01,0.03} / FULL_OD_PR_SAFE / FULL_OD_LOW_MLU (9 actions)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Reported selected actions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KEEP, K30 DB budgets, K40 DB budgets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Fallback trigger</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PR/MLU guard after selected-K cap (K50) fails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Training topologies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 CERNET, GEANT, Ebone (200 episodes)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DQN val PR</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1.0000 (200 episodes)</w:t>
            </w:r>
          </w:p>
        </w:tc>
      </w:tr>
      <w:tr>
        <w:tc>
          <w:tcPr>
            <w:tcW w:type="dxa" w:w="4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FULL_OD excluded from exploration</w:t>
            </w:r>
          </w:p>
        </w:tc>
        <w:tc>
          <w:tcPr>
            <w:tcW w:type="dxa" w:w="8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Yes (speed guard during training)</w:t>
            </w:r>
          </w:p>
        </w:tc>
      </w:tr>
    </w:tbl>
    <w:p>
      <w:pPr>
        <w:spacing w:after="0" w:before="80"/>
      </w:pPr>
    </w:p>
    <w:p>
      <w:pPr>
        <w:spacing w:after="40" w:before="80"/>
        <w:jc w:val="center"/>
      </w:pPr>
      <w:r>
        <w:drawing>
          <wp:inline distT="0" distB="0" distL="0" distR="0">
            <wp:extent cx="8229600" cy="4695825"/>
            <wp:effectExtent t="0" r="0" b="0" l="0"/>
            <wp:docPr id="1" name="fig8_dqn_action_dist_N3976.png" descr="Figure 8. DQN action distribution (full N=3,976; same policy applies to main N=3,288 subset)" title="Figure 8. DQN action distribution (full N=3,976; same policy applies to main N=3,288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229600" cy="4695825"/>
                    </a:xfrm>
                    <a:prstGeom prst="rect">
                      <a:avLst/>
                    </a:prstGeom>
                  </pic:spPr>
                </pic:pic>
              </a:graphicData>
            </a:graphic>
          </wp:inline>
        </w:drawing>
      </w:r>
    </w:p>
    <w:p>
      <w:pPr>
        <w:spacing w:after="80" w:before="0"/>
        <w:jc w:val="center"/>
      </w:pPr>
      <w:r>
        <w:rPr>
          <w:rFonts w:ascii="Arial" w:cs="Arial" w:eastAsia="Arial" w:hAnsi="Arial"/>
          <w:i/>
          <w:iCs/>
          <w:color w:val="404040"/>
          <w:sz w:val="18"/>
          <w:szCs w:val="18"/>
        </w:rPr>
        <w:t xml:space="preserve">Figure 8. DQN action distribution (full N=3,976; same policy applies to main N=3,288 subset)</w:t>
      </w:r>
    </w:p>
    <w:p>
      <w:pPr>
        <w:pBdr>
          <w:bottom w:val="single" w:color="2E75B6" w:sz="4" w:space="1"/>
        </w:pBdr>
        <w:spacing w:after="80" w:before="140"/>
      </w:pPr>
    </w:p>
    <w:p>
      <w:r>
        <w:br w:type="page"/>
      </w:r>
    </w:p>
    <w:p>
      <w:pPr>
        <w:pStyle w:val="Heading1"/>
        <w:spacing w:after="120" w:before="280"/>
      </w:pPr>
      <w:r>
        <w:rPr>
          <w:rFonts w:ascii="Arial" w:cs="Arial" w:eastAsia="Arial" w:hAnsi="Arial"/>
          <w:b/>
          <w:bCs/>
          <w:color w:val="1F4E79"/>
          <w:sz w:val="28"/>
          <w:szCs w:val="28"/>
        </w:rPr>
        <w:t xml:space="preserve">Section 7 — Decision-Time Analysis</w:t>
      </w:r>
    </w:p>
    <w:p>
      <w:pPr>
        <w:spacing w:after="80" w:before="60"/>
      </w:pPr>
      <w:r>
        <w:rPr>
          <w:rFonts w:ascii="Arial" w:cs="Arial" w:eastAsia="Arial" w:hAnsi="Arial"/>
          <w:b/>
          <w:bCs/>
          <w:i w:val="false"/>
          <w:iCs w:val="false"/>
          <w:color w:val="000000"/>
          <w:sz w:val="22"/>
          <w:szCs w:val="22"/>
        </w:rPr>
        <w:t xml:space="preserve">Table 10. Decision-time summary by topology</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800"/>
        <w:gridCol w:w="700"/>
        <w:gridCol w:w="1100"/>
        <w:gridCol w:w="1200"/>
        <w:gridCol w:w="1200"/>
        <w:gridCol w:w="900"/>
        <w:gridCol w:w="1200"/>
        <w:gridCol w:w="4860"/>
      </w:tblGrid>
      <w:tr>
        <w:trPr>
          <w:tblHeader/>
        </w:trPr>
        <w:tc>
          <w:tcPr>
            <w:tcW w:type="dxa" w:w="1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Topology</w:t>
            </w:r>
          </w:p>
        </w:tc>
        <w:tc>
          <w:tcPr>
            <w:tcW w:type="dxa" w:w="7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N</w:t>
            </w:r>
          </w:p>
        </w:tc>
        <w:tc>
          <w:tcPr>
            <w:tcW w:type="dxa" w:w="11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ms</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P95 ms</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Max ms</w:t>
            </w:r>
          </w:p>
        </w:tc>
        <w:tc>
          <w:tcPr>
            <w:tcW w:type="dxa" w:w="9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Full-OD%</w:t>
            </w:r>
          </w:p>
        </w:tc>
        <w:tc>
          <w:tcPr>
            <w:tcW w:type="dxa" w:w="12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Mean sel-OD</w:t>
            </w:r>
          </w:p>
        </w:tc>
        <w:tc>
          <w:tcPr>
            <w:tcW w:type="dxa" w:w="48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Runtime interpretation</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2,016</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7.1</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7.2</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189.7</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2.3%</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32.0</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Fast selected-flow regime</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23.3</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29.0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656.8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43.5</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Fast selected-flow regime</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GEANT</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672</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18.9</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15.3</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340.7</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3.1%</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42.6</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Fast selected-flow regime</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155.5</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1,082.2</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2,113.7</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11.5%</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244.8</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Mean &lt; 500 ms; P95 affected by safety fallback</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4,340.4</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9,255.5</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10,842.5</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81.5%</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1,923.9</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LIMITATION — fallback-heavy large-OD topology</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Ebone</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14.2</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14.9</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16.0</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0.0%</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30.0</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Fast selected-flow regime</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Germany50</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288</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73.7</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426.7</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1,415.8</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5.9%</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108.3</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Mean and P95 &lt; 500 ms except rare max</w:t>
            </w:r>
          </w:p>
        </w:tc>
      </w:tr>
      <w:tr>
        <w:tc>
          <w:tcPr>
            <w:tcW w:type="dxa" w:w="1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VtlWavenet2011</w:t>
            </w:r>
          </w:p>
        </w:tc>
        <w:tc>
          <w:tcPr>
            <w:tcW w:type="dxa" w:w="7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200</w:t>
            </w:r>
          </w:p>
        </w:tc>
        <w:tc>
          <w:tcPr>
            <w:tcW w:type="dxa" w:w="11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128.3</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120.8</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1,881.6</w:t>
            </w:r>
          </w:p>
        </w:tc>
        <w:tc>
          <w:tcPr>
            <w:tcW w:type="dxa" w:w="9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0.5%</w:t>
            </w:r>
          </w:p>
        </w:tc>
        <w:tc>
          <w:tcPr>
            <w:tcW w:type="dxa" w:w="12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71.7</w:t>
            </w:r>
          </w:p>
        </w:tc>
        <w:tc>
          <w:tcPr>
            <w:tcW w:type="dxa" w:w="48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Mostly selected-flow regime</w:t>
            </w:r>
          </w:p>
        </w:tc>
      </w:tr>
      <w:tr>
        <w:tc>
          <w:tcPr>
            <w:tcW w:type="dxa" w:w="1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Pooled N=3,976</w:t>
            </w:r>
          </w:p>
        </w:tc>
        <w:tc>
          <w:tcPr>
            <w:tcW w:type="dxa" w:w="7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3,976</w:t>
            </w:r>
          </w:p>
        </w:tc>
        <w:tc>
          <w:tcPr>
            <w:tcW w:type="dxa" w:w="11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246.6</w:t>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657.2</w:t>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10,842.5</w:t>
            </w:r>
          </w:p>
        </w:tc>
        <w:tc>
          <w:tcPr>
            <w:tcW w:type="dxa" w:w="9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6.9%</w:t>
            </w:r>
          </w:p>
        </w:tc>
        <w:tc>
          <w:tcPr>
            <w:tcW w:type="dxa" w:w="12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147.7</w:t>
            </w:r>
          </w:p>
        </w:tc>
        <w:tc>
          <w:tcPr>
            <w:tcW w:type="dxa" w:w="48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Pooled P95 dominated by Tiscali fallback</w:t>
            </w:r>
          </w:p>
        </w:tc>
      </w:tr>
    </w:tbl>
    <w:p>
      <w:pPr>
        <w:spacing w:after="0" w:before="60"/>
      </w:pPr>
    </w:p>
    <w:p>
      <w:pPr>
        <w:spacing w:after="80" w:before="60"/>
        <w:ind w:left="720"/>
      </w:pPr>
      <w:r>
        <w:rPr>
          <w:rFonts w:ascii="Arial" w:cs="Arial" w:eastAsia="Arial" w:hAnsi="Arial"/>
          <w:b/>
          <w:bCs/>
          <w:i/>
          <w:iCs/>
          <w:sz w:val="20"/>
          <w:szCs w:val="20"/>
        </w:rPr>
        <w:t xml:space="preserve">Direct runtime conclusion: </w:t>
      </w:r>
      <w:r>
        <w:rPr>
          <w:rFonts w:ascii="Arial" w:cs="Arial" w:eastAsia="Arial" w:hAnsi="Arial"/>
          <w:i/>
          <w:iCs/>
          <w:sz w:val="20"/>
          <w:szCs w:val="20"/>
        </w:rPr>
        <w:t xml:space="preserve">Mean decision time is below 500 ms on four of five main comparison topologies (Abilene, CERNET, GEANT, Sprintlink). Tiscali exceeds the runtime target due to an 81.5% full-OD fallback rate driven by ~2,352 ODs per cycle. P95 decision time is below 500 ms on three of five main comparison topologies; Sprintlink and Tiscali exceed 500 ms at P95 because of safety full-OD fallback. PR and DB quality remain excellent on all five topologies (PR ≥ 99.420%, DB ≤ 0.714%).</w:t>
      </w:r>
    </w:p>
    <w:p>
      <w:pPr>
        <w:spacing w:after="0" w:before="80"/>
      </w:pPr>
    </w:p>
    <w:p>
      <w:pPr>
        <w:spacing w:after="80" w:before="60"/>
      </w:pPr>
      <w:r>
        <w:rPr>
          <w:rFonts w:ascii="Arial" w:cs="Arial" w:eastAsia="Arial" w:hAnsi="Arial"/>
          <w:b/>
          <w:bCs/>
          <w:i w:val="false"/>
          <w:iCs w:val="false"/>
          <w:color w:val="000000"/>
          <w:sz w:val="22"/>
          <w:szCs w:val="22"/>
        </w:rPr>
        <w:t xml:space="preserve">Table 11. Timing-scope interpretation</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gridCol w:w="4160"/>
      </w:tblGrid>
      <w:tr>
        <w:trPr>
          <w:tblHeader/>
        </w:trPr>
        <w:tc>
          <w:tcPr>
            <w:tcW w:type="dxa" w:w="3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Regime</w:t>
            </w:r>
          </w:p>
        </w:tc>
        <w:tc>
          <w:tcPr>
            <w:tcW w:type="dxa" w:w="5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Description</w:t>
            </w:r>
          </w:p>
        </w:tc>
        <w:tc>
          <w:tcPr>
            <w:tcW w:type="dxa" w:w="41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Affected topologies</w:t>
            </w:r>
          </w:p>
        </w:tc>
      </w:tr>
      <w:tr>
        <w:tc>
          <w:tcPr>
            <w:tcW w:type="dxa" w:w="3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Clean selected-flow normal</w:t>
            </w:r>
          </w:p>
        </w:tc>
        <w:tc>
          <w:tcPr>
            <w:tcW w:type="dxa" w:w="5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Selected ODs only; typically &lt; 50 ms</w:t>
            </w:r>
          </w:p>
        </w:tc>
        <w:tc>
          <w:tcPr>
            <w:tcW w:type="dxa" w:w="4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 CERNET, GEANT, Ebone</w:t>
            </w:r>
          </w:p>
        </w:tc>
      </w:tr>
      <w:tr>
        <w:tc>
          <w:tcPr>
            <w:tcW w:type="dxa" w:w="3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Safety fallback — moderate</w:t>
            </w:r>
          </w:p>
        </w:tc>
        <w:tc>
          <w:tcPr>
            <w:tcW w:type="dxa" w:w="5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Full-OD LP after PR/MLU guard; P95 &gt; 500 ms but mean manageable</w:t>
            </w:r>
          </w:p>
        </w:tc>
        <w:tc>
          <w:tcPr>
            <w:tcW w:type="dxa" w:w="4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Sprintlink (mean 155 ms, P95 1,082 ms)</w:t>
            </w:r>
          </w:p>
        </w:tc>
      </w:tr>
      <w:tr>
        <w:tc>
          <w:tcPr>
            <w:tcW w:type="dxa" w:w="3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Safety fallback — severe (limitation)</w:t>
            </w:r>
          </w:p>
        </w:tc>
        <w:tc>
          <w:tcPr>
            <w:tcW w:type="dxa" w:w="5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Full-OD LP dominates; known runtime limitation</w:t>
            </w:r>
          </w:p>
        </w:tc>
        <w:tc>
          <w:tcPr>
            <w:tcW w:type="dxa" w:w="41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 (mean 4,340 ms, P95 9,255 ms)</w:t>
            </w:r>
          </w:p>
        </w:tc>
      </w:tr>
      <w:tr>
        <w:tc>
          <w:tcPr>
            <w:tcW w:type="dxa" w:w="3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Full internal pooled (N=3,976)</w:t>
            </w:r>
          </w:p>
        </w:tc>
        <w:tc>
          <w:tcPr>
            <w:tcW w:type="dxa" w:w="5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Mean 246.6 ms; P95 657.2 ms; Tiscali dominant</w:t>
            </w:r>
          </w:p>
        </w:tc>
        <w:tc>
          <w:tcPr>
            <w:tcW w:type="dxa" w:w="41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All 3,976 cycles</w:t>
            </w:r>
          </w:p>
        </w:tc>
      </w:tr>
    </w:tbl>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Section 8 — Compliance Audit</w:t>
      </w:r>
    </w:p>
    <w:p>
      <w:pPr>
        <w:spacing w:after="80" w:before="60"/>
      </w:pPr>
      <w:r>
        <w:rPr>
          <w:rFonts w:ascii="Arial" w:cs="Arial" w:eastAsia="Arial" w:hAnsi="Arial"/>
          <w:b/>
          <w:bCs/>
          <w:i w:val="false"/>
          <w:iCs w:val="false"/>
          <w:color w:val="000000"/>
          <w:sz w:val="22"/>
          <w:szCs w:val="22"/>
        </w:rPr>
        <w:t xml:space="preserve">Table. Clean-method compliance audit</w:t>
      </w:r>
    </w:p>
    <w:p>
      <w:pPr>
        <w:spacing w:after="0" w:before="4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gridCol w:w="4960"/>
      </w:tblGrid>
      <w:tr>
        <w:trPr>
          <w:tblHeader/>
        </w:trPr>
        <w:tc>
          <w:tcPr>
            <w:tcW w:type="dxa" w:w="4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Field</w:t>
            </w:r>
          </w:p>
        </w:tc>
        <w:tc>
          <w:tcPr>
            <w:tcW w:type="dxa" w:w="4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Value</w:t>
            </w:r>
          </w:p>
        </w:tc>
        <w:tc>
          <w:tcPr>
            <w:tcW w:type="dxa" w:w="4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Compliant</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Method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gnn_lpd_dqn_selective_db_lp</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 (every row)</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LPD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 (every row)</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Criticality backend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gnn_lpd</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Heuristic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DQN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 (every row)</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Selected OD LP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 (every row)</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Stage-2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Disturbance finalization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RandomForest gate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Sticky gate used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Audit blocks passed</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 / 10</w:t>
            </w:r>
          </w:p>
        </w:tc>
        <w:tc>
          <w:tcPr>
            <w:tcW w:type="dxa" w:w="4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YES</w:t>
            </w:r>
          </w:p>
        </w:tc>
      </w:tr>
      <w:tr>
        <w:tc>
          <w:tcPr>
            <w:tcW w:type="dxa" w:w="4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Audit result</w:t>
            </w:r>
          </w:p>
        </w:tc>
        <w:tc>
          <w:tcPr>
            <w:tcW w:type="dxa" w:w="4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PASS</w:t>
            </w:r>
          </w:p>
        </w:tc>
        <w:tc>
          <w:tcPr>
            <w:tcW w:type="dxa" w:w="4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ALL CLEAR</w:t>
            </w:r>
          </w:p>
        </w:tc>
      </w:tr>
    </w:tbl>
    <w:p>
      <w:pPr>
        <w:spacing w:after="0" w:before="60"/>
      </w:pPr>
    </w:p>
    <w:p>
      <w:pPr>
        <w:spacing w:after="60" w:before="60"/>
        <w:ind w:left="720"/>
      </w:pPr>
      <w:r>
        <w:rPr>
          <w:rFonts w:ascii="Arial" w:cs="Arial" w:eastAsia="Arial" w:hAnsi="Arial"/>
          <w:i/>
          <w:iCs/>
          <w:color w:val="404040"/>
          <w:sz w:val="20"/>
          <w:szCs w:val="20"/>
        </w:rPr>
        <w:t xml:space="preserve">The clean run passes the professor-compliance audit. The result is not the legacy RandomForest/sticky/finalization artifact. It is a separate clean GNN-LPD-DQN selected-flow DB-budgeted LP run.</w:t>
      </w:r>
    </w:p>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Section 9 — Operational Validation</w:t>
      </w:r>
    </w:p>
    <w:p>
      <w:pPr>
        <w:spacing w:after="80" w:before="60"/>
      </w:pPr>
      <w:r>
        <w:rPr>
          <w:rFonts w:ascii="Arial" w:cs="Arial" w:eastAsia="Arial" w:hAnsi="Arial"/>
          <w:b w:val="false"/>
          <w:bCs w:val="false"/>
          <w:i w:val="false"/>
          <w:iCs w:val="false"/>
          <w:color w:val="000000"/>
          <w:sz w:val="22"/>
          <w:szCs w:val="22"/>
        </w:rPr>
        <w:t xml:space="preserve">Operational SDN/Mininet validation was not regenerated for this clean-method rerun. The previous operational validation belongs to the legacy report artifact and is therefore not reused as evidence for the clean method.</w:t>
      </w:r>
    </w:p>
    <w:p>
      <w:pPr>
        <w:pBdr>
          <w:bottom w:val="single" w:color="2E75B6" w:sz="4" w:space="1"/>
        </w:pBdr>
        <w:spacing w:after="80" w:before="140"/>
      </w:pPr>
    </w:p>
    <w:p>
      <w:r>
        <w:br w:type="page"/>
      </w:r>
    </w:p>
    <w:p>
      <w:pPr>
        <w:pStyle w:val="Heading1"/>
        <w:spacing w:after="120" w:before="280"/>
      </w:pPr>
      <w:r>
        <w:rPr>
          <w:rFonts w:ascii="Arial" w:cs="Arial" w:eastAsia="Arial" w:hAnsi="Arial"/>
          <w:b/>
          <w:bCs/>
          <w:color w:val="1F4E79"/>
          <w:sz w:val="28"/>
          <w:szCs w:val="28"/>
        </w:rPr>
        <w:t xml:space="preserve">Section 10 — Reproducibility Metadata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4000"/>
        <w:gridCol w:w="8960"/>
      </w:tblGrid>
      <w:tr>
        <w:trPr>
          <w:tblHeader/>
        </w:trPr>
        <w:tc>
          <w:tcPr>
            <w:tcW w:type="dxa" w:w="4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Parameter</w:t>
            </w:r>
          </w:p>
        </w:tc>
        <w:tc>
          <w:tcPr>
            <w:tcW w:type="dxa" w:w="8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Value</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Git commit (local working tree)</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b98caba</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GitHub push commit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5858d88 → github.com/moahaimen/final_trafic main</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method script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scripts/phase1_5/gnn_lpd_dqn_selective_db_lp.py</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Label script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scripts/phase1_5/build_dbbudget_oracle_labels.py</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Audit script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scripts/phase1_5/audit_gnn_lpd_dqn_clean_method.py</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 checkpoint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results/gnn_lpd_dqn_selective_db_lp/models/gnn_dbbudget_selector.pt</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DQN checkpoint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results/gnn_lpd_dqn_selective_db_lp/dqn_best.pt</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Label file</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results/gnn_lpd_dqn_selective_db_lp/labels/oracle_labels.csv</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Total label rows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279,360</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CERNET label rows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65,600 (40 cycles × 1,640 ODs, all LP-Optimal)</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Evaluation per-cycle file</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results/gnn_lpd_dqn_selective_db_lp/final_N3976/per_cycle.csv</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Evaluation rows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3,976</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comparison subset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3,288 (Abilene, CERNET, GEANT, Sprintlink, Tiscali)</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Clean audit result</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PASSED — 10/10 blocks</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Solver</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PuLP with HiGHS preferred / CBC fallback</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Zero-shot topologies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Germany50, VtlWavenet2011</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comparison topologies</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Abilene, CERNET, GEANT, Sprintlink, Tiscali</w:t>
            </w:r>
          </w:p>
        </w:tc>
      </w:tr>
      <w:tr>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 val prec@K</w:t>
            </w:r>
          </w:p>
        </w:tc>
        <w:tc>
          <w:tcPr>
            <w:tcW w:type="dxa" w:w="8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0.7474 (25 epochs, 6 topologies)</w:t>
            </w:r>
          </w:p>
        </w:tc>
      </w:tr>
      <w:tr>
        <w:tc>
          <w:tcPr>
            <w:tcW w:type="dxa" w:w="4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DQN val PR</w:t>
            </w:r>
          </w:p>
        </w:tc>
        <w:tc>
          <w:tcPr>
            <w:tcW w:type="dxa" w:w="8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1.0000 (200 episodes)</w:t>
            </w:r>
          </w:p>
        </w:tc>
      </w:tr>
    </w:tbl>
    <w:p>
      <w:pPr>
        <w:spacing w:after="0" w:before="80"/>
      </w:pPr>
    </w:p>
    <w:p>
      <w:pPr>
        <w:spacing w:after="80" w:before="60"/>
      </w:pPr>
      <w:r>
        <w:rPr>
          <w:rFonts w:ascii="Arial" w:cs="Arial" w:eastAsia="Arial" w:hAnsi="Arial"/>
          <w:b/>
          <w:bCs/>
          <w:i w:val="false"/>
          <w:iCs w:val="false"/>
          <w:color w:val="000000"/>
          <w:sz w:val="22"/>
          <w:szCs w:val="22"/>
        </w:rPr>
        <w:t xml:space="preserve">Table. Reproducibility checklist</w:t>
      </w:r>
    </w:p>
    <w:p>
      <w:pPr>
        <w:spacing w:after="0" w:before="40"/>
      </w:pPr>
    </w:p>
    <w:tbl>
      <w:tblPr>
        <w:tblW w:type="dxa" w:w="11960"/>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4000"/>
        <w:gridCol w:w="1660"/>
      </w:tblGrid>
      <w:tr>
        <w:trPr>
          <w:tblHeader/>
        </w:trPr>
        <w:tc>
          <w:tcPr>
            <w:tcW w:type="dxa" w:w="25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Step</w:t>
            </w:r>
          </w:p>
        </w:tc>
        <w:tc>
          <w:tcPr>
            <w:tcW w:type="dxa" w:w="38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Script / file</w:t>
            </w:r>
          </w:p>
        </w:tc>
        <w:tc>
          <w:tcPr>
            <w:tcW w:type="dxa" w:w="4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Artifact produced</w:t>
            </w:r>
          </w:p>
        </w:tc>
        <w:tc>
          <w:tcPr>
            <w:tcW w:type="dxa" w:w="16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Oracle label generation</w:t>
            </w:r>
          </w:p>
        </w:tc>
        <w:tc>
          <w:tcPr>
            <w:tcW w:type="dxa" w:w="3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build_dbbudget_oracle_labels.py</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oracle_labels.csv (279,360 rows)</w:t>
            </w:r>
          </w:p>
        </w:tc>
        <w:tc>
          <w:tcPr>
            <w:tcW w:type="dxa" w:w="16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DONE</w:t>
            </w:r>
          </w:p>
        </w:tc>
      </w:tr>
      <w:tr>
        <w:tc>
          <w:tcPr>
            <w:tcW w:type="dxa" w:w="25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 training</w:t>
            </w:r>
          </w:p>
        </w:tc>
        <w:tc>
          <w:tcPr>
            <w:tcW w:type="dxa" w:w="3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train_gnn_dbbudget_selector.py</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gnn_dbbudget_selector.pt</w:t>
            </w:r>
          </w:p>
        </w:tc>
        <w:tc>
          <w:tcPr>
            <w:tcW w:type="dxa" w:w="16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DONE</w:t>
            </w:r>
          </w:p>
        </w:tc>
      </w:tr>
      <w:tr>
        <w:tc>
          <w:tcPr>
            <w:tcW w:type="dxa" w:w="25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Pathopt precompute</w:t>
            </w:r>
          </w:p>
        </w:tc>
        <w:tc>
          <w:tcPr>
            <w:tcW w:type="dxa" w:w="3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gnn_lpd_dqn_selective_db_lp.py --mode precompute</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pathopt_ref/*.csv (8 files)</w:t>
            </w:r>
          </w:p>
        </w:tc>
        <w:tc>
          <w:tcPr>
            <w:tcW w:type="dxa" w:w="16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DONE</w:t>
            </w:r>
          </w:p>
        </w:tc>
      </w:tr>
      <w:tr>
        <w:tc>
          <w:tcPr>
            <w:tcW w:type="dxa" w:w="25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DQN training</w:t>
            </w:r>
          </w:p>
        </w:tc>
        <w:tc>
          <w:tcPr>
            <w:tcW w:type="dxa" w:w="3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gnn_lpd_dqn_selective_db_lp.py --mode train</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dqn_best.pt</w:t>
            </w:r>
          </w:p>
        </w:tc>
        <w:tc>
          <w:tcPr>
            <w:tcW w:type="dxa" w:w="16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DONE</w:t>
            </w:r>
          </w:p>
        </w:tc>
      </w:tr>
      <w:tr>
        <w:tc>
          <w:tcPr>
            <w:tcW w:type="dxa" w:w="25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Full evaluation</w:t>
            </w:r>
          </w:p>
        </w:tc>
        <w:tc>
          <w:tcPr>
            <w:tcW w:type="dxa" w:w="3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gnn_lpd_dqn_selective_db_lp.py --mode eval</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final_N3976/per_cycle.csv (3,976 rows)</w:t>
            </w:r>
          </w:p>
        </w:tc>
        <w:tc>
          <w:tcPr>
            <w:tcW w:type="dxa" w:w="16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DONE</w:t>
            </w:r>
          </w:p>
        </w:tc>
      </w:tr>
      <w:tr>
        <w:tc>
          <w:tcPr>
            <w:tcW w:type="dxa" w:w="25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Clean audit</w:t>
            </w:r>
          </w:p>
        </w:tc>
        <w:tc>
          <w:tcPr>
            <w:tcW w:type="dxa" w:w="38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audit_gnn_lpd_dqn_clean_method.py</w:t>
            </w:r>
          </w:p>
        </w:tc>
        <w:tc>
          <w:tcPr>
            <w:tcW w:type="dxa" w:w="4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10/10 PASS</w:t>
            </w:r>
          </w:p>
        </w:tc>
        <w:tc>
          <w:tcPr>
            <w:tcW w:type="dxa" w:w="16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DONE</w:t>
            </w:r>
          </w:p>
        </w:tc>
      </w:tr>
      <w:tr>
        <w:tc>
          <w:tcPr>
            <w:tcW w:type="dxa" w:w="25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Row-count check</w:t>
            </w:r>
          </w:p>
        </w:tc>
        <w:tc>
          <w:tcPr>
            <w:tcW w:type="dxa" w:w="38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inline assertion</w:t>
            </w:r>
          </w:p>
        </w:tc>
        <w:tc>
          <w:tcPr>
            <w:tcW w:type="dxa" w:w="4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N=3,976, CERNET=200</w:t>
            </w:r>
          </w:p>
        </w:tc>
        <w:tc>
          <w:tcPr>
            <w:tcW w:type="dxa" w:w="16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DONE</w:t>
            </w:r>
          </w:p>
        </w:tc>
      </w:tr>
    </w:tbl>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Section 11 — Claim Boundary</w:t>
      </w:r>
    </w:p>
    <w:p>
      <w:pPr>
        <w:spacing w:after="60" w:before="60"/>
        <w:ind w:left="720"/>
      </w:pPr>
      <w:r>
        <w:rPr>
          <w:rFonts w:ascii="Arial" w:cs="Arial" w:eastAsia="Arial" w:hAnsi="Arial"/>
          <w:i/>
          <w:iCs/>
          <w:color w:val="404040"/>
          <w:sz w:val="20"/>
          <w:szCs w:val="20"/>
        </w:rPr>
        <w:t xml:space="preserve">The main comparison subset contains five topologies: Abilene, CERNET, GEANT, Sprintlink, and Tiscali, for a total of N = 3,288 evaluation cycles. Tiscali is included in the reported tables and CDFs. A locked FlexDATE reference for Tiscali is unavailable; its row is reported as an internal comparison/limitation row rather than removed. Full N = 3,976 internal benchmark results are reported separately. The clean method passes the compliance audit and should not be confused with the legacy RandomForest/sticky/finalization artifact.</w:t>
      </w:r>
    </w:p>
    <w:p>
      <w:pPr>
        <w:pBdr>
          <w:bottom w:val="single" w:color="2E75B6" w:sz="4" w:space="1"/>
        </w:pBdr>
        <w:spacing w:after="80" w:before="140"/>
      </w:pPr>
    </w:p>
    <w:p>
      <w:pPr>
        <w:pStyle w:val="Heading1"/>
        <w:spacing w:after="120" w:before="280"/>
      </w:pPr>
      <w:r>
        <w:rPr>
          <w:rFonts w:ascii="Arial" w:cs="Arial" w:eastAsia="Arial" w:hAnsi="Arial"/>
          <w:b/>
          <w:bCs/>
          <w:color w:val="1F4E79"/>
          <w:sz w:val="28"/>
          <w:szCs w:val="28"/>
        </w:rPr>
        <w:t xml:space="preserve">Final Safe Claims</w:t>
      </w:r>
    </w:p>
    <w:p>
      <w:pPr>
        <w:spacing w:after="80" w:before="60"/>
      </w:pPr>
      <w:r>
        <w:rPr>
          <w:rFonts w:ascii="Arial" w:cs="Arial" w:eastAsia="Arial" w:hAnsi="Arial"/>
          <w:b w:val="false"/>
          <w:bCs w:val="false"/>
          <w:i w:val="false"/>
          <w:iCs w:val="false"/>
          <w:color w:val="000000"/>
          <w:sz w:val="22"/>
          <w:szCs w:val="22"/>
        </w:rPr>
        <w:t xml:space="preserve">On the main N = 3,288 comparison subset including Tiscali, the clean GNN-LPD-DQN selected-flow DB-budgeted LP method achieves very high PR and low DB across all five topologies. It wins both PR and DB on the four topologies with locked FlexDATE references (Abilene, CERNET, GEANT, Sprintlink), and reports Tiscali explicitly as a limitation/runtime-heavy case rather than excluding it. On the full N = 3,976 internal protocol, the method achieves 99.743% mean PR, 0.545% mean DB, 246.6 ms mean decision time, and 657.2 ms P95 decision time. Mean decision time is below 500 ms on four of five main comparison topologies; P95 is below 500 ms on three of five, with Sprintlink and Tiscali exceeding the threshold due to safety full-OD fallback.</w:t>
      </w:r>
    </w:p>
    <w:p>
      <w:pPr>
        <w:pBdr>
          <w:bottom w:val="single" w:color="2E75B6" w:sz="4" w:space="1"/>
        </w:pBdr>
        <w:spacing w:after="80" w:before="140"/>
      </w:pPr>
    </w:p>
    <w:p>
      <w:pPr>
        <w:pStyle w:val="Heading2"/>
        <w:spacing w:after="120" w:before="180"/>
      </w:pPr>
      <w:r>
        <w:rPr>
          <w:rFonts w:ascii="Arial" w:cs="Arial" w:eastAsia="Arial" w:hAnsi="Arial"/>
          <w:b/>
          <w:bCs/>
          <w:color w:val="2E75B6"/>
          <w:sz w:val="24"/>
          <w:szCs w:val="24"/>
        </w:rPr>
        <w:t xml:space="preserve">Final Checks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0"/>
        <w:gridCol w:w="5960"/>
      </w:tblGrid>
      <w:tr>
        <w:trPr>
          <w:tblHeader/>
        </w:trPr>
        <w:tc>
          <w:tcPr>
            <w:tcW w:type="dxa" w:w="700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Check</w:t>
            </w:r>
          </w:p>
        </w:tc>
        <w:tc>
          <w:tcPr>
            <w:tcW w:type="dxa" w:w="5960"/>
            <w:tcBorders>
              <w:top w:val="single" w:color="CCCCCC" w:sz="1"/>
              <w:left w:val="single" w:color="CCCCCC" w:sz="1"/>
              <w:bottom w:val="single" w:color="CCCCCC" w:sz="1"/>
              <w:right w:val="single" w:color="CCCCCC" w:sz="1"/>
            </w:tcBorders>
            <w:shd w:fill="BDD7EE" w:val="clear"/>
            <w:tcMar>
              <w:top w:type="dxa" w:w="55"/>
              <w:left w:type="dxa" w:w="90"/>
              <w:bottom w:type="dxa" w:w="55"/>
              <w:right w:type="dxa" w:w="90"/>
            </w:tcMar>
          </w:tcPr>
          <w:p>
            <w:r>
              <w:rPr>
                <w:rFonts w:ascii="Arial" w:cs="Arial" w:eastAsia="Arial" w:hAnsi="Arial"/>
                <w:b/>
                <w:bCs/>
                <w:sz w:val="18"/>
                <w:szCs w:val="18"/>
              </w:rPr>
              <w:t xml:space="preserve">Result</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comparison subset row count = 3,288</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Main comparison subset includes Tiscali</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Table 2 includes Tiscali</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Table 3 includes Tiscali</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PR/DB/decision-time CDFs include Tiscali (Figures 1–3)</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No figure title says N=3,088</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No text says Tiscali is excluded</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Runtime: 4/5 mean &lt; 500 ms and 3/5 P95 &lt; 500 ms</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Tiscali FlexDATE reference marked N.A.</w:t>
            </w:r>
          </w:p>
        </w:tc>
        <w:tc>
          <w:tcPr>
            <w:tcW w:type="dxa" w:w="5960"/>
            <w:tcBorders>
              <w:top w:val="single" w:color="CCCCCC" w:sz="1"/>
              <w:left w:val="single" w:color="CCCCCC" w:sz="1"/>
              <w:bottom w:val="single" w:color="CCCCCC" w:sz="1"/>
              <w:right w:val="single" w:color="CCCCCC" w:sz="1"/>
            </w:tcBorders>
            <w:tcMar>
              <w:top w:type="dxa" w:w="55"/>
              <w:left w:type="dxa" w:w="90"/>
              <w:bottom w:type="dxa" w:w="55"/>
              <w:right w:type="dxa" w:w="90"/>
            </w:tcMar>
          </w:tcPr>
          <w:p>
            <w:r>
              <w:rPr>
                <w:rFonts w:ascii="Arial" w:cs="Arial" w:eastAsia="Arial" w:hAnsi="Arial"/>
                <w:b w:val="false"/>
                <w:bCs w:val="false"/>
                <w:sz w:val="18"/>
                <w:szCs w:val="18"/>
              </w:rPr>
              <w:t xml:space="preserve">CONFIRMED</w:t>
            </w:r>
          </w:p>
        </w:tc>
      </w:tr>
      <w:tr>
        <w:tc>
          <w:tcPr>
            <w:tcW w:type="dxa" w:w="700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Full internal N=3,976 table unchanged</w:t>
            </w:r>
          </w:p>
        </w:tc>
        <w:tc>
          <w:tcPr>
            <w:tcW w:type="dxa" w:w="5960"/>
            <w:tcBorders>
              <w:top w:val="single" w:color="CCCCCC" w:sz="1"/>
              <w:left w:val="single" w:color="CCCCCC" w:sz="1"/>
              <w:bottom w:val="single" w:color="CCCCCC" w:sz="1"/>
              <w:right w:val="single" w:color="CCCCCC" w:sz="1"/>
            </w:tcBorders>
            <w:shd w:fill="EBF3FB" w:val="clear"/>
            <w:tcMar>
              <w:top w:type="dxa" w:w="55"/>
              <w:left w:type="dxa" w:w="90"/>
              <w:bottom w:type="dxa" w:w="55"/>
              <w:right w:type="dxa" w:w="90"/>
            </w:tcMar>
          </w:tcPr>
          <w:p>
            <w:r>
              <w:rPr>
                <w:rFonts w:ascii="Arial" w:cs="Arial" w:eastAsia="Arial" w:hAnsi="Arial"/>
                <w:b/>
                <w:bCs/>
                <w:sz w:val="18"/>
                <w:szCs w:val="18"/>
              </w:rPr>
              <w:t xml:space="preserve">CONFIRMED</w:t>
            </w:r>
          </w:p>
        </w:tc>
      </w:tr>
    </w:tbl>
    <w:sectPr>
      <w:headerReference w:type="default" r:id="rId7"/>
      <w:footerReference w:type="default" r:id="rId8"/>
      <w:pgSz w:w="15840" w:h="122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595959"/>
        <w:sz w:val="18"/>
        <w:szCs w:val="18"/>
      </w:rPr>
      <w:t xml:space="preserve">Clean GNN-LPD-DQN TE  |  N=3,976  |  Main N=3,288  |  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18"/>
        <w:szCs w:val="18"/>
      </w:rPr>
      <w:t xml:space="preserve">Phase 1.5 Clean GNN-LPD-DQN TE  |  Main N=3,288 (incl. Tiscali)  |  Full N=3,976  |  Audit PASSED  |  2026-06-17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79"/>
      <w:sz w:val="28"/>
      <w:szCs w:val="28"/>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f94ba6e71d8395cb7d6b1287d6e4d8118d294.png"/><Relationship Id="rId10" Type="http://schemas.openxmlformats.org/officeDocument/2006/relationships/image" Target="media/1bcb6613c978735c63eaab6b2d6d0035056e4ec2.png"/><Relationship Id="rId11" Type="http://schemas.openxmlformats.org/officeDocument/2006/relationships/image" Target="media/3535f66189d2027088e41fa8baf59f095778e5fb.png"/><Relationship Id="rId12" Type="http://schemas.openxmlformats.org/officeDocument/2006/relationships/image" Target="media/fada6889527cacf77364bcd01189bb1a20c21a27.png"/><Relationship Id="rId13" Type="http://schemas.openxmlformats.org/officeDocument/2006/relationships/image" Target="media/fdb3698455210f314416907f3b04c5faa9211355.png"/><Relationship Id="rId14" Type="http://schemas.openxmlformats.org/officeDocument/2006/relationships/image" Target="media/34371f7985179aa450a8578bc55dabfc09babcb9.png"/><Relationship Id="rId15" Type="http://schemas.openxmlformats.org/officeDocument/2006/relationships/image" Target="media/f2d758838ad55130c7988d366d6b4d2ade0e1038.png"/><Relationship Id="rId16" Type="http://schemas.openxmlformats.org/officeDocument/2006/relationships/image" Target="media/9d270ebac6eb4a82d70a8be5ec4c1fbbabcab42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2026-06-17T20:16:29.000Z</dcterms:created>
  <dcterms:modified xsi:type="dcterms:W3CDTF">2026-06-17T20:16:29.005Z</dcterms:modified>
</cp:coreProperties>
</file>

<file path=docProps/custom.xml><?xml version="1.0" encoding="utf-8"?>
<Properties xmlns="http://schemas.openxmlformats.org/officeDocument/2006/custom-properties" xmlns:vt="http://schemas.openxmlformats.org/officeDocument/2006/docPropsVTypes"/>
</file>