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sz w:val="40"/>
          <w:szCs w:val="40"/>
        </w:rPr>
        <w:t xml:space="preserve">Phase 1.5 Clean GNN-LPD-DQN Traffic Engineering Report</w:t>
      </w:r>
    </w:p>
    <w:p>
      <w:pPr>
        <w:spacing w:after="600" w:before="40"/>
        <w:jc w:val="center"/>
      </w:pPr>
      <w:r>
        <w:rPr>
          <w:rFonts w:ascii="Arial" w:cs="Arial" w:eastAsia="Arial" w:hAnsi="Arial"/>
          <w:i/>
          <w:iCs/>
          <w:sz w:val="20"/>
          <w:szCs w:val="20"/>
        </w:rPr>
        <w:t xml:space="preserve">Main comparison N=3,288 (Abilene + CERNET + GEANT + Sprintlink + Tiscali) · Full internal N=3,976 · Clean failure + LP-derived SDN simulation</w:t>
      </w:r>
    </w:p>
    <w:p>
      <w:pPr>
        <w:pBdr>
          <w:left w:val="single" w:color="2E75B6" w:sz="8" w:space="8"/>
        </w:pBdr>
        <w:spacing w:after="60" w:before="60"/>
        <w:ind w:left="720"/>
      </w:pPr>
      <w:r>
        <w:rPr>
          <w:rFonts w:ascii="Arial" w:cs="Arial" w:eastAsia="Arial" w:hAnsi="Arial"/>
          <w:i/>
          <w:iCs/>
          <w:sz w:val="17"/>
          <w:szCs w:val="17"/>
        </w:rPr>
        <w:t xml:space="preserve">Source-scope lock: Tiscali is in main N=3,288 and the CDFs, but no source-locked FlexDATE reference row for Tiscali exists in the original report. The audit-script constants are method-internal configuration, NOT valid FlexDATE evidence. Tiscali is reported as an internal/runtime-limitation row, not claimed as a FlexDATE win/loss. The four FlexDATE-reference topologies (Abilene, CERNET, GEANT, Sprintlink) win both PR and DB.</w:t>
      </w:r>
    </w:p>
    <w:p>
      <w:pPr>
        <w:pBdr>
          <w:left w:val="single" w:color="2E75B6" w:sz="8" w:space="8"/>
        </w:pBdr>
        <w:spacing w:after="60" w:before="60"/>
        <w:ind w:left="720"/>
      </w:pPr>
      <w:r>
        <w:rPr>
          <w:rFonts w:ascii="Arial" w:cs="Arial" w:eastAsia="Arial" w:hAnsi="Arial"/>
          <w:i/>
          <w:iCs/>
          <w:sz w:val="17"/>
          <w:szCs w:val="17"/>
        </w:rPr>
        <w:t xml:space="preserve">Method lock: Clean GNN-LPD-DQN TE. No legacy RF/sticky/finalization. Failure audit PASS (360 cycles). LP-derived SDN-style simulation audit PASS (120 runs) — not live Mininet.</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Method Identity</w:t>
      </w:r>
    </w:p>
    <w:p>
      <w:pPr>
        <w:spacing w:after="20" w:before="20"/>
        <w:ind w:left="360"/>
      </w:pPr>
      <w:r>
        <w:rPr>
          <w:rFonts w:ascii="Courier New" w:cs="Courier New" w:eastAsia="Courier New" w:hAnsi="Courier New"/>
          <w:sz w:val="16"/>
          <w:szCs w:val="16"/>
        </w:rPr>
        <w:t xml:space="preserve">Traffic matrix + topology</w:t>
      </w:r>
    </w:p>
    <w:p>
      <w:pPr>
        <w:spacing w:after="20" w:before="20"/>
        <w:ind w:left="360"/>
      </w:pPr>
      <w:r>
        <w:rPr>
          <w:rFonts w:ascii="Courier New" w:cs="Courier New" w:eastAsia="Courier New" w:hAnsi="Courier New"/>
          <w:sz w:val="16"/>
          <w:szCs w:val="16"/>
        </w:rPr>
        <w:t xml:space="preserve">  -&gt; DB-budgeted LP-distilled GNN-LPD critical-OD selector</w:t>
      </w:r>
    </w:p>
    <w:p>
      <w:pPr>
        <w:spacing w:after="20" w:before="20"/>
        <w:ind w:left="360"/>
      </w:pPr>
      <w:r>
        <w:rPr>
          <w:rFonts w:ascii="Courier New" w:cs="Courier New" w:eastAsia="Courier New" w:hAnsi="Courier New"/>
          <w:sz w:val="16"/>
          <w:szCs w:val="16"/>
        </w:rPr>
        <w:t xml:space="preserve">  -&gt; DQN controller chooses K / action / budget</w:t>
      </w:r>
    </w:p>
    <w:p>
      <w:pPr>
        <w:spacing w:after="20" w:before="20"/>
        <w:ind w:left="360"/>
      </w:pPr>
      <w:r>
        <w:rPr>
          <w:rFonts w:ascii="Courier New" w:cs="Courier New" w:eastAsia="Courier New" w:hAnsi="Courier New"/>
          <w:sz w:val="16"/>
          <w:szCs w:val="16"/>
        </w:rPr>
        <w:t xml:space="preserve">  -&gt; selected critical ODs -&gt; one-stage selected-flow DB-budgeted LP</w:t>
      </w:r>
    </w:p>
    <w:p>
      <w:pPr>
        <w:spacing w:after="20" w:before="20"/>
        <w:ind w:left="360"/>
      </w:pPr>
      <w:r>
        <w:rPr>
          <w:rFonts w:ascii="Courier New" w:cs="Courier New" w:eastAsia="Courier New" w:hAnsi="Courier New"/>
          <w:sz w:val="16"/>
          <w:szCs w:val="16"/>
        </w:rPr>
        <w:t xml:space="preserve">  -&gt; noncritical ODs remain on ECMP or previous routing</w:t>
      </w:r>
    </w:p>
    <w:p>
      <w:pPr>
        <w:spacing w:after="20" w:before="20"/>
        <w:ind w:left="360"/>
      </w:pPr>
      <w:r>
        <w:rPr>
          <w:rFonts w:ascii="Courier New" w:cs="Courier New" w:eastAsia="Courier New" w:hAnsi="Courier New"/>
          <w:sz w:val="16"/>
          <w:szCs w:val="16"/>
        </w:rPr>
        <w:t xml:space="preserve">  -&gt; capped K escalation if PR/MLU guard fails (K30 -&gt; K40 -&gt; K50)</w:t>
      </w:r>
    </w:p>
    <w:p>
      <w:pPr>
        <w:spacing w:after="20" w:before="20"/>
        <w:ind w:left="360"/>
      </w:pPr>
      <w:r>
        <w:rPr>
          <w:rFonts w:ascii="Courier New" w:cs="Courier New" w:eastAsia="Courier New" w:hAnsi="Courier New"/>
          <w:sz w:val="16"/>
          <w:szCs w:val="16"/>
        </w:rPr>
        <w:t xml:space="preserve">  -&gt; full-OD fallback only after K-cap fails</w:t>
      </w:r>
    </w:p>
    <w:p>
      <w:pPr>
        <w:spacing w:after="60" w:before="60"/>
      </w:pPr>
      <w:r>
        <w:rPr>
          <w:rFonts w:ascii="Arial" w:cs="Arial" w:eastAsia="Arial" w:hAnsi="Arial"/>
          <w:sz w:val="18"/>
          <w:szCs w:val="18"/>
        </w:rPr>
        <w:t xml:space="preserve"/>
      </w:r>
    </w:p>
    <w:p>
      <w:r>
        <w:rPr>
          <w:rFonts w:ascii="Arial" w:cs="Arial" w:eastAsia="Arial" w:hAnsi="Arial"/>
          <w:b/>
          <w:bCs/>
          <w:sz w:val="18"/>
          <w:szCs w:val="18"/>
        </w:rPr>
        <w:t xml:space="preserve">Compliance: </w:t>
      </w:r>
      <w:r>
        <w:rPr>
          <w:rFonts w:ascii="Arial" w:cs="Arial" w:eastAsia="Arial" w:hAnsi="Arial"/>
          <w:sz w:val="18"/>
          <w:szCs w:val="18"/>
        </w:rPr>
        <w:t xml:space="preserve">GNN-LPD  |  DQN  |  One-stage selected-flow DB-budgeted LP  |  No heuristic criticality  |  No RandomForest  |  No sticky gate  |  No Stage-2  |  No disturbance-finalization LP</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1 — Dataset Protocol</w:t>
      </w:r>
    </w:p>
    <w:p>
      <w:pPr>
        <w:pStyle w:val="Heading2"/>
        <w:spacing w:after="80" w:before="180"/>
      </w:pPr>
      <w:r>
        <w:rPr>
          <w:rFonts w:ascii="Arial" w:cs="Arial" w:eastAsia="Arial" w:hAnsi="Arial"/>
          <w:b/>
          <w:bCs/>
          <w:sz w:val="22"/>
          <w:szCs w:val="22"/>
        </w:rPr>
        <w:t xml:space="preserve">Table 1. Dataset Protocol</w:t>
      </w:r>
    </w:p>
    <w:tbl>
      <w:tblPr>
        <w:tblW w:type="dxa" w:w="1068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400"/>
        <w:gridCol w:w="1400"/>
        <w:gridCol w:w="378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Topology</w:t>
            </w:r>
          </w:p>
        </w:tc>
        <w:tc>
          <w:tcPr>
            <w:tcW w:type="dxa" w:w="1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Train TMs</w:t>
            </w:r>
          </w:p>
        </w:tc>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Eval TMs</w:t>
            </w:r>
          </w:p>
        </w:tc>
        <w:tc>
          <w:tcPr>
            <w:tcW w:type="dxa" w:w="37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Window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Abilene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Seen training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2016–4031</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GEANT</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Seen training</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672</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672</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672–1343</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CERNET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Seen training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200–399</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Sprintlink</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Seen training</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200–399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Seen training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200–399</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Ebone</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Seen training</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200–399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Germany50</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Zero-shot eval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288</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0–287</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VtlWavenet2011</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Zero-shot eval</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0–199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Main comparison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3,288</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 topos</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Full internal</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3,976</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All 8 topos</w:t>
            </w:r>
          </w:p>
        </w:tc>
      </w:tr>
    </w:tbl>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2 — Main Comparison Table (N = 3,288)</w:t>
      </w:r>
    </w:p>
    <w:p>
      <w:pPr>
        <w:pBdr>
          <w:left w:val="single" w:color="2E75B6" w:sz="8" w:space="8"/>
        </w:pBdr>
        <w:spacing w:after="60" w:before="60"/>
        <w:ind w:left="720"/>
      </w:pPr>
      <w:r>
        <w:rPr>
          <w:rFonts w:ascii="Arial" w:cs="Arial" w:eastAsia="Arial" w:hAnsi="Arial"/>
          <w:i/>
          <w:iCs/>
          <w:sz w:val="17"/>
          <w:szCs w:val="17"/>
        </w:rPr>
        <w:t xml:space="preserve">Only four topologies (Abilene, CERNET, GEANT, Sprintlink) have a source-locked FlexDATE reference row in the original report. Tiscali has NO source-locked FlexDATE reference row, so its FlexDATE columns are N.A. and its PR/DB results are not computable (n/c); it is reported as an internal / runtime-limitation row. The audit-script tiscali constant is method-internal config, not FlexDATE evidence.</w:t>
      </w:r>
    </w:p>
    <w:p>
      <w:pPr>
        <w:pStyle w:val="Heading2"/>
        <w:spacing w:after="80" w:before="180"/>
      </w:pPr>
      <w:r>
        <w:rPr>
          <w:rFonts w:ascii="Arial" w:cs="Arial" w:eastAsia="Arial" w:hAnsi="Arial"/>
          <w:b/>
          <w:bCs/>
          <w:sz w:val="22"/>
          <w:szCs w:val="22"/>
        </w:rPr>
        <w:t xml:space="preserve">Table 2. Main Comparison Including Tiscali (N = 3,288)</w:t>
      </w:r>
    </w:p>
    <w:tbl>
      <w:tblPr>
        <w:tblW w:type="dxa" w:w="10320"/>
        <w:tblBorders>
          <w:top w:val="single" w:color="auto" w:sz="4"/>
          <w:left w:val="single" w:color="auto" w:sz="4"/>
          <w:bottom w:val="single" w:color="auto" w:sz="4"/>
          <w:right w:val="single" w:color="auto" w:sz="4"/>
          <w:insideH w:val="single" w:color="auto" w:sz="4"/>
          <w:insideV w:val="single" w:color="auto" w:sz="4"/>
        </w:tblBorders>
      </w:tblPr>
      <w:tblGrid>
        <w:gridCol w:w="1180"/>
        <w:gridCol w:w="560"/>
        <w:gridCol w:w="800"/>
        <w:gridCol w:w="900"/>
        <w:gridCol w:w="640"/>
        <w:gridCol w:w="680"/>
        <w:gridCol w:w="840"/>
        <w:gridCol w:w="640"/>
        <w:gridCol w:w="2080"/>
        <w:gridCol w:w="720"/>
        <w:gridCol w:w="640"/>
        <w:gridCol w:w="640"/>
      </w:tblGrid>
      <w:tr>
        <w:trPr>
          <w:tblHeader/>
        </w:trPr>
        <w:tc>
          <w:tcPr>
            <w:tcW w:type="dxa" w:w="11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Topology</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Rows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Our PR</w:t>
            </w:r>
          </w:p>
        </w:tc>
        <w:tc>
          <w:tcPr>
            <w:tcW w:type="dxa" w:w="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FlexDATE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 Result</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Our DB</w:t>
            </w:r>
          </w:p>
        </w:tc>
        <w:tc>
          <w:tcPr>
            <w:tcW w:type="dxa" w:w="8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FlexDATE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DB Result</w:t>
            </w:r>
          </w:p>
        </w:tc>
        <w:tc>
          <w:tcPr>
            <w:tcW w:type="dxa" w:w="20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Overall</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PR≥0.95</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Min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r>
      <w:tr>
        <w:tc>
          <w:tcPr>
            <w:tcW w:type="dxa" w:w="11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Abilene</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95.800%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0.613%</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5.130%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WIN BOTH</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96.038%</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7.2</w:t>
            </w:r>
          </w:p>
        </w:tc>
      </w:tr>
      <w:tr>
        <w:tc>
          <w:tcPr>
            <w:tcW w:type="dxa" w:w="11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CERNET</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99.420%</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97.500%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0.321%</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1.830%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WIN BOTH</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97.721%</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29.0</w:t>
            </w:r>
          </w:p>
        </w:tc>
      </w:tr>
      <w:tr>
        <w:tc>
          <w:tcPr>
            <w:tcW w:type="dxa" w:w="11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GEANT</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672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99.500%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0.378%</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2.960%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WIN BOTH</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99.621%</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15.3</w:t>
            </w:r>
          </w:p>
        </w:tc>
      </w:tr>
      <w:tr>
        <w:tc>
          <w:tcPr>
            <w:tcW w:type="dxa" w:w="11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Sprintlink</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99.900%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0.471%</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5.100%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WIN</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WIN BOTH</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1,082.2</w:t>
            </w:r>
          </w:p>
        </w:tc>
      </w:tr>
      <w:tr>
        <w:tc>
          <w:tcPr>
            <w:tcW w:type="dxa" w:w="11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N.A.</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n/c</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0.714%</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N.A.</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n/c</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reported / runtime limitation</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99.950%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9,255.5</w:t>
            </w:r>
          </w:p>
        </w:tc>
      </w:tr>
      <w:tr>
        <w:tc>
          <w:tcPr>
            <w:tcW w:type="dxa" w:w="11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Wtd N=3,288</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3,288</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99.758%</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0.544%</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4/4 FlexDATE-ref WIN BOTH + Tiscali limitation</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96.038%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1,252.4</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Tiscali has no source-locked FlexDATE reference; FlexDATE PR/DB = N.A., results n/c. The four FlexDATE-reference topologies win both PR and DB. Tiscali PR=100.000%, DB=0.714% are internal results; runtime (81.5% full-OD fallback, mean 4,340 ms) is an honestly disclosed limitation.</w:t>
      </w:r>
    </w:p>
    <w:p>
      <w:pPr>
        <w:spacing w:after="60" w:before="60"/>
      </w:pPr>
      <w:r>
        <w:rPr>
          <w:rFonts w:ascii="Arial" w:cs="Arial" w:eastAsia="Arial" w:hAnsi="Arial"/>
          <w:sz w:val="18"/>
          <w:szCs w:val="18"/>
        </w:rPr>
        <w:t xml:space="preserve"/>
      </w:r>
    </w:p>
    <w:p>
      <w:pPr>
        <w:jc w:val="center"/>
      </w:pPr>
      <w:r>
        <w:drawing>
          <wp:inline distT="0" distB="0" distL="0" distR="0">
            <wp:extent cx="6477000" cy="3714750"/>
            <wp:effectExtent t="0" r="0" b="0" l="0"/>
            <wp:docPr id="1" name="Figure 1. PR CDF — N=3,288 main comparison subset, x-axis zoomed 95–100%." descr="Figure 1. PR CDF — N=3,288 main comparison subset, x-axis zoomed 95–100%." title="Figure 1. PR CDF — N=3,288 main comparison subset, x-axis zoomed 9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3714750"/>
                    </a:xfrm>
                    <a:prstGeom prst="rect">
                      <a:avLst/>
                    </a:prstGeom>
                  </pic:spPr>
                </pic:pic>
              </a:graphicData>
            </a:graphic>
          </wp:inline>
        </w:drawing>
      </w:r>
    </w:p>
    <w:p>
      <w:pPr>
        <w:spacing w:after="100"/>
        <w:jc w:val="center"/>
      </w:pPr>
      <w:r>
        <w:rPr>
          <w:rFonts w:ascii="Arial" w:cs="Arial" w:eastAsia="Arial" w:hAnsi="Arial"/>
          <w:i/>
          <w:iCs/>
          <w:sz w:val="16"/>
          <w:szCs w:val="16"/>
        </w:rPr>
        <w:t xml:space="preserve">Figure 1. PR CDF — N=3,288 main comparison subset, x-axis zoomed 95–100%.</w:t>
      </w:r>
    </w:p>
    <w:p>
      <w:pPr>
        <w:jc w:val="center"/>
      </w:pPr>
      <w:r>
        <w:drawing>
          <wp:inline distT="0" distB="0" distL="0" distR="0">
            <wp:extent cx="6096000" cy="3429000"/>
            <wp:effectExtent t="0" r="0" b="0" l="0"/>
            <wp:docPr id="1" name="Figure 2. DB CDF — N=3,288 main comparison subset." descr="Figure 2. DB CDF — N=3,288 main comparison subset." title="Figure 2. DB CDF — N=3,288 main comparis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2. DB CDF — N=3,288 main comparison subset.</w:t>
      </w:r>
    </w:p>
    <w:p>
      <w:pPr>
        <w:jc w:val="center"/>
      </w:pPr>
      <w:r>
        <w:drawing>
          <wp:inline distT="0" distB="0" distL="0" distR="0">
            <wp:extent cx="7048500" cy="4000500"/>
            <wp:effectExtent t="0" r="0" b="0" l="0"/>
            <wp:docPr id="1" name="Figure 3. Decision-time CDF — N=3,288." descr="Figure 3. Decision-time CDF — N=3,288." title="Figure 3. Decision-time CDF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048500" cy="4000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3. Decision-time CDF — N=3,288.</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3 — Final-Method Summary (N = 3,288)</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40"/>
        <w:gridCol w:w="640"/>
        <w:gridCol w:w="720"/>
        <w:gridCol w:w="720"/>
        <w:gridCol w:w="700"/>
        <w:gridCol w:w="760"/>
        <w:gridCol w:w="820"/>
        <w:gridCol w:w="560"/>
        <w:gridCol w:w="900"/>
      </w:tblGrid>
      <w:tr>
        <w:trPr>
          <w:tblHeader/>
        </w:trPr>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Topology</w:t>
            </w:r>
          </w:p>
        </w:tc>
        <w:tc>
          <w:tcPr>
            <w:tcW w:type="dxa" w:w="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8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PR≥0.95</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Min PR</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DB</w:t>
            </w:r>
          </w:p>
        </w:tc>
        <w:tc>
          <w:tcPr>
            <w:tcW w:type="dxa" w:w="7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w:t>
            </w:r>
          </w:p>
        </w:tc>
        <w:tc>
          <w:tcPr>
            <w:tcW w:type="dxa" w:w="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Scope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Abilene</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99.669%</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96.038%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0.613%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1.111%</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6.7</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7.2</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Main</w:t>
            </w:r>
          </w:p>
        </w:tc>
      </w:tr>
      <w:tr>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CERNET</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99.420%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97.721%</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0.321%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0.184%</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25.7</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Main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GEANT</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672</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99.984%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99.621%</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0.378%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0.750%</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13.6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15.3</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Main</w:t>
            </w:r>
          </w:p>
        </w:tc>
      </w:tr>
      <w:tr>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Sprintlink</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0.471%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0.290%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32.2</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1,082.2</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11.5%</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Main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99.950%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1.212%</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9,255.5</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81.5%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Limitation</w:t>
            </w:r>
          </w:p>
        </w:tc>
      </w:tr>
      <w:tr>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Wtd N=3,288</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3,288</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99.758%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96.038%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0.544%</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6.9</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1,252.4</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7.8%</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Pooled</w:t>
            </w:r>
          </w:p>
        </w:tc>
      </w:tr>
    </w:tbl>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4 — Full Internal Evaluation (N = 3,976)</w:t>
      </w:r>
    </w:p>
    <w:tbl>
      <w:tblPr>
        <w:tblW w:type="dxa" w:w="7780"/>
        <w:tblBorders>
          <w:top w:val="single" w:color="auto" w:sz="4"/>
          <w:left w:val="single" w:color="auto" w:sz="4"/>
          <w:bottom w:val="single" w:color="auto" w:sz="4"/>
          <w:right w:val="single" w:color="auto" w:sz="4"/>
          <w:insideH w:val="single" w:color="auto" w:sz="4"/>
          <w:insideV w:val="single" w:color="auto" w:sz="4"/>
        </w:tblBorders>
      </w:tblPr>
      <w:tblGrid>
        <w:gridCol w:w="1500"/>
        <w:gridCol w:w="500"/>
        <w:gridCol w:w="840"/>
        <w:gridCol w:w="600"/>
        <w:gridCol w:w="720"/>
        <w:gridCol w:w="700"/>
        <w:gridCol w:w="700"/>
        <w:gridCol w:w="760"/>
        <w:gridCol w:w="800"/>
        <w:gridCol w:w="6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Topology</w:t>
            </w:r>
          </w:p>
        </w:tc>
        <w:tc>
          <w:tcPr>
            <w:tcW w:type="dxa" w:w="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8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PR</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PR≥0.95</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Min PR</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DB</w:t>
            </w:r>
          </w:p>
        </w:tc>
        <w:tc>
          <w:tcPr>
            <w:tcW w:type="dxa" w:w="7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c>
          <w:tcPr>
            <w:tcW w:type="dxa" w:w="6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Abilene</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99.669%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96.038%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0.613%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1.111%</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7.2</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2.3%</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CERNET</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99.420%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97.721%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0.321%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0.184%</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23.3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29.0</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Ebone</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0.125%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0.193%</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14.2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14.9</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GEANT</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672</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99.984%</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99.621%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0.378%</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0.750%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18.9</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15.3</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Germany50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288</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99.814%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95.483%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1.823%</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73.7</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426.7</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5.9%</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Sprintlink</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0.471%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0.290%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155.5</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1,082.2</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11.5%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1.212%</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4,340.4</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9,255.5</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81.5%</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VtlWavenet2011</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99.134%</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98.818%</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0.230%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0.082%</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128.3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120.8</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All N=3,976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3,976</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99.743%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95.483%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0.545%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246.6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657.2</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6.9%</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Max DB values reflect rare per-cycle outliers; headline DB stability assessed using mean and P95.</w:t>
      </w:r>
    </w:p>
    <w:p>
      <w:pPr>
        <w:jc w:val="center"/>
      </w:pPr>
      <w:r>
        <w:drawing>
          <wp:inline distT="0" distB="0" distL="0" distR="0">
            <wp:extent cx="6096000" cy="3238500"/>
            <wp:effectExtent t="0" r="0" b="0" l="0"/>
            <wp:docPr id="1" name="Figure 4. Mean PR by topology — N=3,288." descr="Figure 4. Mean PR by topology — N=3,288." title="Figure 4. Mean PR by topology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238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4. Mean PR by topology — N=3,288.</w:t>
      </w:r>
    </w:p>
    <w:p>
      <w:pPr>
        <w:jc w:val="center"/>
      </w:pPr>
      <w:r>
        <w:drawing>
          <wp:inline distT="0" distB="0" distL="0" distR="0">
            <wp:extent cx="6096000" cy="3238500"/>
            <wp:effectExtent t="0" r="0" b="0" l="0"/>
            <wp:docPr id="1" name="Figure 5. Mean DB by topology — N=3,288." descr="Figure 5. Mean DB by topology — N=3,288." title="Figure 5. Mean DB by topology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238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5. Mean DB by topology — N=3,288.</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5 — Internal Baselines</w:t>
      </w:r>
    </w:p>
    <w:p>
      <w:r>
        <w:rPr>
          <w:rFonts w:ascii="Arial" w:cs="Arial" w:eastAsia="Arial" w:hAnsi="Arial"/>
          <w:sz w:val="18"/>
          <w:szCs w:val="18"/>
        </w:rPr>
        <w:t xml:space="preserve">Historical baselines (ECMP, OSPF, legacy Reward-Gated GNN-LPD) were not regenerated in this clean run and are not mixed into the clean-method claim.</w:t>
      </w:r>
    </w:p>
    <w:tbl>
      <w:tblPr>
        <w:tblW w:type="dxa" w:w="7860"/>
        <w:tblBorders>
          <w:top w:val="single" w:color="auto" w:sz="4"/>
          <w:left w:val="single" w:color="auto" w:sz="4"/>
          <w:bottom w:val="single" w:color="auto" w:sz="4"/>
          <w:right w:val="single" w:color="auto" w:sz="4"/>
          <w:insideH w:val="single" w:color="auto" w:sz="4"/>
          <w:insideV w:val="single" w:color="auto" w:sz="4"/>
        </w:tblBorders>
      </w:tblPr>
      <w:tblGrid>
        <w:gridCol w:w="3000"/>
        <w:gridCol w:w="480"/>
        <w:gridCol w:w="800"/>
        <w:gridCol w:w="780"/>
        <w:gridCol w:w="700"/>
        <w:gridCol w:w="700"/>
        <w:gridCol w:w="700"/>
        <w:gridCol w:w="70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Method</w:t>
            </w:r>
          </w:p>
        </w:tc>
        <w:tc>
          <w:tcPr>
            <w:tcW w:type="dxa" w:w="4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PR</w:t>
            </w:r>
          </w:p>
        </w:tc>
        <w:tc>
          <w:tcPr>
            <w:tcW w:type="dxa" w:w="7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PR≥0.95</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Clean GNN-LPD-DQN (Final)</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3,976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99.743%</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0.545%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246.6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657.2</w:t>
            </w:r>
          </w:p>
        </w:tc>
      </w:tr>
    </w:tbl>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6 — Clean DQN Policy</w:t>
      </w:r>
    </w:p>
    <w:p>
      <w:pPr>
        <w:pStyle w:val="Heading2"/>
        <w:spacing w:after="80" w:before="180"/>
      </w:pPr>
      <w:r>
        <w:rPr>
          <w:rFonts w:ascii="Arial" w:cs="Arial" w:eastAsia="Arial" w:hAnsi="Arial"/>
          <w:b/>
          <w:bCs/>
          <w:sz w:val="22"/>
          <w:szCs w:val="22"/>
        </w:rPr>
        <w:t xml:space="preserve">Table 8. Observed DQN Action Distribution (N = 3,976)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00"/>
      </w:tblGrid>
      <w:tr>
        <w:trPr>
          <w:tblHeader/>
        </w:trPr>
        <w:tc>
          <w:tcPr>
            <w:tcW w:type="dxa" w:w="5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Action</w:t>
            </w:r>
          </w:p>
        </w:tc>
        <w:tc>
          <w:tcPr>
            <w:tcW w:type="dxa" w:w="2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Count</w:t>
            </w:r>
          </w:p>
        </w:tc>
        <w:tc>
          <w:tcPr>
            <w:tcW w:type="dxa" w:w="2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Share</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OPTIMIZE_K30_DB_0.01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3,269</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82.2%</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OPTIMIZE_K40_DB_0.03</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405</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10.2%</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OPTIMIZE_K30_DB_0.03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193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4.9%</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KEEP_PREVIOUS_ROUTING</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97</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2.4%</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OPTIMIZE_K40_DB_0.01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0.3%</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K50 / FULL_OD (DQN-selected)</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Total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3,976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r>
    </w:tbl>
    <w:p>
      <w:pPr>
        <w:jc w:val="center"/>
      </w:pPr>
      <w:r>
        <w:drawing>
          <wp:inline distT="0" distB="0" distL="0" distR="0">
            <wp:extent cx="6477000" cy="3619500"/>
            <wp:effectExtent t="0" r="0" b="0" l="0"/>
            <wp:docPr id="1" name="Figure 8. DQN action distribution — N=3,976." descr="Figure 8. DQN action distribution — N=3,976." title="Figure 8. DQN action distribution — N=3,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3619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8. DQN action distribution — N=3,976.</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7 — Decision-Time Analysis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480"/>
        <w:gridCol w:w="700"/>
        <w:gridCol w:w="800"/>
        <w:gridCol w:w="780"/>
        <w:gridCol w:w="560"/>
        <w:gridCol w:w="700"/>
        <w:gridCol w:w="288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Topology</w:t>
            </w:r>
          </w:p>
        </w:tc>
        <w:tc>
          <w:tcPr>
            <w:tcW w:type="dxa" w:w="4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c>
          <w:tcPr>
            <w:tcW w:type="dxa" w:w="7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Max ms</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sel-OD</w:t>
            </w:r>
          </w:p>
        </w:tc>
        <w:tc>
          <w:tcPr>
            <w:tcW w:type="dxa" w:w="28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Runtime note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Abilene</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7.2</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189.7</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32.0</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Fast selected-flow regime</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CERNET</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23.3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29.0</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656.8</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43.5</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Fast selected-flow regime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GEANT</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18.9</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15.3</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340.7</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42.6</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Fast selected-flow regime</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Sprintlink</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155.5</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1,082.2</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2,113.7</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11.5%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244.8</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Mean&lt;500ms; P95 affected by fallback</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4,340.4</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9,255.5</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10,842.5</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81.5%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1,923.9</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Runtime limitation — fallback-heavy</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Ebone</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14.2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14.9</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16.0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30.0</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Fast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Germany50</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73.7</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426.7</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1,415.8</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108.3</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Mean/P95 &lt;500ms except rare fallback</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VtlWavenet2011</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128.3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120.8</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1,881.6</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71.7</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Mostly selected-flow</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4/5 main comparison topologies mean&lt;500 ms. 3/5 P95&lt;500 ms. Tiscali limitation is honestly disclosed.</w:t>
      </w:r>
    </w:p>
    <w:p>
      <w:pPr>
        <w:jc w:val="center"/>
      </w:pPr>
      <w:r>
        <w:drawing>
          <wp:inline distT="0" distB="0" distL="0" distR="0">
            <wp:extent cx="6096000" cy="3238500"/>
            <wp:effectExtent t="0" r="0" b="0" l="0"/>
            <wp:docPr id="1" name="Figure 6. P95 decision time by topology — N=3,288 (log scale)." descr="Figure 6. P95 decision time by topology — N=3,288 (log scale)." title="Figure 6. P95 decision time by topology — N=3,288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38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6. P95 decision time by topology — N=3,288 (log scale).</w:t>
      </w:r>
    </w:p>
    <w:p>
      <w:pPr>
        <w:jc w:val="center"/>
      </w:pPr>
      <w:r>
        <w:drawing>
          <wp:inline distT="0" distB="0" distL="0" distR="0">
            <wp:extent cx="6096000" cy="3238500"/>
            <wp:effectExtent t="0" r="0" b="0" l="0"/>
            <wp:docPr id="1" name="Figure 7. Full-OD fallback rate by topology — N=3,288." descr="Figure 7. Full-OD fallback rate by topology — N=3,288." title="Figure 7. Full-OD fallback rate by topology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38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7. Full-OD fallback rate by topology — N=3,288.</w:t>
      </w:r>
    </w:p>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Table LP-1. LP Problem Size and Runtime</w:t>
      </w:r>
    </w:p>
    <w:tbl>
      <w:tblPr>
        <w:tblW w:type="dxa" w:w="70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520"/>
        <w:gridCol w:w="800"/>
        <w:gridCol w:w="800"/>
        <w:gridCol w:w="700"/>
        <w:gridCol w:w="720"/>
        <w:gridCol w:w="700"/>
        <w:gridCol w:w="62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Topology</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Nodes</w:t>
            </w:r>
          </w:p>
        </w:tc>
        <w:tc>
          <w:tcPr>
            <w:tcW w:type="dxa" w:w="5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Links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OD pairs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sel-OD</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K paths</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c>
          <w:tcPr>
            <w:tcW w:type="dxa" w:w="6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Abilene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12</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132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7.2</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2.3%</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CERNET</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41</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116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1,640</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43.5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23.3</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GEANT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22</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462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15.3</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3.1%</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Sprintlink</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44</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166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1,892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244.8</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155.5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1,082.2</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11.5%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 (limit)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49</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172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2,352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1,923.9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4,340.4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9,255.5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81.5%</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Ebone</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23</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76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506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14.2</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14.9</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Germany50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176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2,450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73.7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426.7</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5.9%</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VtlWavenet2011</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92</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192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8,372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71.7</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128.3</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120.8</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0.5%</w:t>
            </w:r>
          </w:p>
        </w:tc>
      </w:tr>
    </w:tbl>
    <w:p>
      <w:pPr>
        <w:jc w:val="center"/>
      </w:pPr>
      <w:r>
        <w:drawing>
          <wp:inline distT="0" distB="0" distL="0" distR="0">
            <wp:extent cx="7048500" cy="3619500"/>
            <wp:effectExtent t="0" r="0" b="0" l="0"/>
            <wp:docPr id="1" name="Figure LP. Decision time by topology — full N=3,976 (log scale)." descr="Figure LP. Decision time by topology — full N=3,976 (log scale)." title="Figure LP. Decision time by topology — full N=3,976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048500" cy="36195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LP. Decision time by topology — full N=3,976 (log scale).</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8 — Compliance Audit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gridCol w:w="3680"/>
      </w:tblGrid>
      <w:tr>
        <w:trPr>
          <w:tblHeader/>
        </w:trPr>
        <w:tc>
          <w:tcPr>
            <w:tcW w:type="dxa" w:w="5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Audit field</w:t>
            </w:r>
          </w:p>
        </w:tc>
        <w:tc>
          <w:tcPr>
            <w:tcW w:type="dxa" w:w="5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Value</w:t>
            </w:r>
          </w:p>
        </w:tc>
        <w:tc>
          <w:tcPr>
            <w:tcW w:type="dxa" w:w="3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Result</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Method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gnn_lpd_dqn_selective_db_lp</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GNN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 (every row)</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LPD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 (every row)</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Criticality backend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gnn_lpd</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Heuristic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DQN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 (every row)</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Selected OD LP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 (every row)</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Stage-2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Disturbance finalization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RandomForest gate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Sticky gate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Blocks passed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10/10</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Audit result</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Forbidden-function names documented in scripts/phase1_5/audit_gnn_lpd_dqn_clean_method.py only.</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9 — Clean Failure-Scenario Validation</w:t>
      </w:r>
    </w:p>
    <w:p>
      <w:pPr>
        <w:pBdr>
          <w:left w:val="single" w:color="2E75B6" w:sz="8" w:space="8"/>
        </w:pBdr>
        <w:spacing w:after="60" w:before="60"/>
        <w:ind w:left="720"/>
      </w:pPr>
      <w:r>
        <w:rPr>
          <w:rFonts w:ascii="Arial" w:cs="Arial" w:eastAsia="Arial" w:hAnsi="Arial"/>
          <w:i/>
          <w:iCs/>
          <w:sz w:val="17"/>
          <w:szCs w:val="17"/>
        </w:rPr>
        <w:t xml:space="preserve">All failure results generated by the clean GNN-LPD-DQN method — NOT legacy numbers. Script: scripts/phase1_5/run_failure_validation_clean.py. 360 cycles, 9 scenarios, 2 topologies, 20 cycles per scenario. Audit PASS.</w:t>
      </w:r>
    </w:p>
    <w:p>
      <w:pPr>
        <w:pBdr>
          <w:left w:val="single" w:color="2E75B6" w:sz="8" w:space="8"/>
        </w:pBdr>
        <w:spacing w:after="60" w:before="60"/>
        <w:ind w:left="720"/>
      </w:pPr>
      <w:r>
        <w:rPr>
          <w:rFonts w:ascii="Arial" w:cs="Arial" w:eastAsia="Arial" w:hAnsi="Arial"/>
          <w:i/>
          <w:iCs/>
          <w:sz w:val="17"/>
          <w:szCs w:val="17"/>
        </w:rPr>
        <w:t xml:space="preserve">Metric note: Clean failure validation reports PR (vs path-optimal MLU), DB, and decision-time metrics. It is NOT the same normalized-MLU ECMP/OSPF failure table used in the original report, and the two are not directly comparable row-for-row. Every number below is reproducible from failure_per_cycle.csv.</w:t>
      </w:r>
    </w:p>
    <w:p>
      <w:pPr>
        <w:pStyle w:val="Heading2"/>
        <w:spacing w:after="80" w:before="180"/>
      </w:pPr>
      <w:r>
        <w:rPr>
          <w:rFonts w:ascii="Arial" w:cs="Arial" w:eastAsia="Arial" w:hAnsi="Arial"/>
          <w:b/>
          <w:bCs/>
          <w:sz w:val="22"/>
          <w:szCs w:val="22"/>
        </w:rPr>
        <w:t xml:space="preserve">Failure Scenario Definitions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800"/>
        <w:gridCol w:w="1088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Scenario</w:t>
            </w:r>
          </w:p>
        </w:tc>
        <w:tc>
          <w:tcPr>
            <w:tcW w:type="dxa" w:w="108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normal</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Baseline; original caps, original TM</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single_link_failure</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Highest-capacity directed link zeroed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two_link_failure</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Two highest-capacity directed links zeroed</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three_link_failure</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Three highest-capacity directed links zeroed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random_link_failure_1</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Random link zeroed (seed=101)</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random_link_failure_2</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Random link zeroed (seed=202)</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spike</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TM scaled ×3; original caps</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mixed_spike_failure</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TM scaled ×3 + single link zeroed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capacity_degradation_50</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All caps ×0.5</w:t>
            </w:r>
          </w:p>
        </w:tc>
      </w:tr>
    </w:tbl>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Table F1. Failure Validation — Abilene (N=20 cycles per scenario)</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1320"/>
        <w:gridCol w:w="400"/>
        <w:gridCol w:w="640"/>
        <w:gridCol w:w="640"/>
        <w:gridCol w:w="600"/>
        <w:gridCol w:w="680"/>
        <w:gridCol w:w="680"/>
        <w:gridCol w:w="640"/>
        <w:gridCol w:w="640"/>
        <w:gridCol w:w="540"/>
        <w:gridCol w:w="620"/>
        <w:gridCol w:w="56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Scenario</w:t>
            </w:r>
          </w:p>
        </w:tc>
        <w:tc>
          <w:tcPr>
            <w:tcW w:type="dxa" w:w="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Min PR</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PR≥95%</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DB</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c>
          <w:tcPr>
            <w:tcW w:type="dxa" w:w="5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w:t>
            </w:r>
          </w:p>
        </w:tc>
        <w:tc>
          <w:tcPr>
            <w:tcW w:type="dxa" w:w="6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Disconn</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Normal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99.42%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96.35%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1.665%</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5.382%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18.6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48.3</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99.12%</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96.07%</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2.378%</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5.215%</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48.3</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2-Link Fail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99.70%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97.40%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2.776%</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10.023%</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23.6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49.6</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n/a</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n/a</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n/a</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39.9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40.8</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Rand Fail 1</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98.34%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96.00%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2.020%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5.313%</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18.8</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49.1</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Rand Fail 2</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0.166%</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0.166%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13.4</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29.6</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Spike ×3</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96.85%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1.168%</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3.042%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17.0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33.2</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Spike+Fail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99.12%</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96.07%</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2.377%</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5.215%</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19.9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45.7</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Cap Deg 50%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99.41%</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97.10%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1.259%</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3.100%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16.5</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31.9</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*3-link failure disconnects 3 OD pairs; PR not applicable. Expected for 12-node topology under 3 simultaneous link failures.</w:t>
      </w:r>
    </w:p>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Table F2. Failure Validation — GEANT (N=20 cycles per scenario)</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1320"/>
        <w:gridCol w:w="400"/>
        <w:gridCol w:w="640"/>
        <w:gridCol w:w="640"/>
        <w:gridCol w:w="600"/>
        <w:gridCol w:w="680"/>
        <w:gridCol w:w="680"/>
        <w:gridCol w:w="640"/>
        <w:gridCol w:w="640"/>
        <w:gridCol w:w="540"/>
        <w:gridCol w:w="620"/>
        <w:gridCol w:w="56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Scenario</w:t>
            </w:r>
          </w:p>
        </w:tc>
        <w:tc>
          <w:tcPr>
            <w:tcW w:type="dxa" w:w="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Min PR</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PR≥95%</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DB</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Mean ms</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P95 ms</w:t>
            </w:r>
          </w:p>
        </w:tc>
        <w:tc>
          <w:tcPr>
            <w:tcW w:type="dxa" w:w="5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FO%</w:t>
            </w:r>
          </w:p>
        </w:tc>
        <w:tc>
          <w:tcPr>
            <w:tcW w:type="dxa" w:w="6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Disconn</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Normal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0.263%</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0.702%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49.8</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176.8</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0.200%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0.429%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46.6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196.3</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2-Link Fail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0.165%</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0.439%</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47.3</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190.3</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0.164%</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0.407%</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46.1</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154.3</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Rand Fail 1</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0.254%</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0.796%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49.0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156.5</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Rand Fail 2</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99.92%</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99.63%</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0.260%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0.765%</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47.9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154.6</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Spike ×3</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99.99%</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99.87%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0.287%</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0.852%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56.6</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Spike+Fail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0.223%</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0.429%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39.6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41.9</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5%</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Cap Deg 50%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99.97%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99.61%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0.358%</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0.796%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41.5</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44.5</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GEANT: zero disconnected ODs even under 3-link failure. 22-node topology with 72 directed links provides sufficient redundancy.</w:t>
      </w:r>
    </w:p>
    <w:p>
      <w:pPr>
        <w:spacing w:after="60" w:before="60"/>
      </w:pPr>
      <w:r>
        <w:rPr>
          <w:rFonts w:ascii="Arial" w:cs="Arial" w:eastAsia="Arial" w:hAnsi="Arial"/>
          <w:sz w:val="18"/>
          <w:szCs w:val="18"/>
        </w:rPr>
        <w:t xml:space="preserve"/>
      </w:r>
    </w:p>
    <w:p>
      <w:r>
        <w:rPr>
          <w:rFonts w:ascii="Arial" w:cs="Arial" w:eastAsia="Arial" w:hAnsi="Arial"/>
          <w:b/>
          <w:bCs/>
          <w:sz w:val="18"/>
          <w:szCs w:val="18"/>
        </w:rPr>
        <w:t xml:space="preserve">Raw evidence: </w:t>
      </w:r>
      <w:r>
        <w:rPr>
          <w:rFonts w:ascii="Courier New" w:cs="Courier New" w:eastAsia="Courier New" w:hAnsi="Courier New"/>
          <w:sz w:val="16"/>
          <w:szCs w:val="16"/>
        </w:rPr>
        <w:t xml:space="preserve">failure_per_cycle.csv</w:t>
      </w:r>
      <w:r>
        <w:rPr>
          <w:rFonts w:ascii="Arial" w:cs="Arial" w:eastAsia="Arial" w:hAnsi="Arial"/>
          <w:sz w:val="18"/>
          <w:szCs w:val="18"/>
        </w:rPr>
        <w:t xml:space="preserve"> (360), </w:t>
      </w:r>
      <w:r>
        <w:rPr>
          <w:rFonts w:ascii="Courier New" w:cs="Courier New" w:eastAsia="Courier New" w:hAnsi="Courier New"/>
          <w:sz w:val="16"/>
          <w:szCs w:val="16"/>
        </w:rPr>
        <w:t xml:space="preserve">failure_summary.csv</w:t>
      </w:r>
      <w:r>
        <w:rPr>
          <w:rFonts w:ascii="Arial" w:cs="Arial" w:eastAsia="Arial" w:hAnsi="Arial"/>
          <w:sz w:val="18"/>
          <w:szCs w:val="18"/>
        </w:rPr>
        <w:t xml:space="preserve"> (18), </w:t>
      </w:r>
      <w:r>
        <w:rPr>
          <w:rFonts w:ascii="Courier New" w:cs="Courier New" w:eastAsia="Courier New" w:hAnsi="Courier New"/>
          <w:sz w:val="16"/>
          <w:szCs w:val="16"/>
        </w:rPr>
        <w:t xml:space="preserve">failure_disconnect_detail.csv</w:t>
      </w:r>
      <w:r>
        <w:rPr>
          <w:rFonts w:ascii="Arial" w:cs="Arial" w:eastAsia="Arial" w:hAnsi="Arial"/>
          <w:sz w:val="18"/>
          <w:szCs w:val="18"/>
        </w:rPr>
        <w:t xml:space="preserve">, </w:t>
      </w:r>
      <w:r>
        <w:rPr>
          <w:rFonts w:ascii="Courier New" w:cs="Courier New" w:eastAsia="Courier New" w:hAnsi="Courier New"/>
          <w:sz w:val="16"/>
          <w:szCs w:val="16"/>
        </w:rPr>
        <w:t xml:space="preserve">failure_method_audit.json</w:t>
      </w:r>
      <w:r>
        <w:rPr>
          <w:rFonts w:ascii="Arial" w:cs="Arial" w:eastAsia="Arial" w:hAnsi="Arial"/>
          <w:sz w:val="18"/>
          <w:szCs w:val="18"/>
        </w:rPr>
        <w:t xml:space="preserve"> (PASS).</w:t>
      </w:r>
    </w:p>
    <w:p>
      <w:pPr>
        <w:jc w:val="center"/>
      </w:pPr>
      <w:r>
        <w:drawing>
          <wp:inline distT="0" distB="0" distL="0" distR="0">
            <wp:extent cx="7048500" cy="3429000"/>
            <wp:effectExtent t="0" r="0" b="0" l="0"/>
            <wp:docPr id="1" name="Figure 9a. Mean PR by failure scenario — Abilene (left) and GEANT (right)." descr="Figure 9a. Mean PR by failure scenario — Abilene (left) and GEANT (right)." title="Figure 9a. Mean PR by failure scenario — Abilene (left) and GEAN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048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9a. Mean PR by failure scenario — Abilene (left) and GEANT (right).</w:t>
      </w:r>
    </w:p>
    <w:p>
      <w:pPr>
        <w:jc w:val="center"/>
      </w:pPr>
      <w:r>
        <w:drawing>
          <wp:inline distT="0" distB="0" distL="0" distR="0">
            <wp:extent cx="7048500" cy="3429000"/>
            <wp:effectExtent t="0" r="0" b="0" l="0"/>
            <wp:docPr id="1" name="Figure 9b. Disturbance Budget by failure scenario." descr="Figure 9b. Disturbance Budget by failure scenario." title="Figure 9b. Disturbance Budget by failure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048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9b. Disturbance Budget by failure scenario.</w:t>
      </w:r>
    </w:p>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10 — LP-derived SDN-style Operational Simulation</w:t>
      </w:r>
    </w:p>
    <w:p>
      <w:pPr>
        <w:pBdr>
          <w:left w:val="single" w:color="2E75B6" w:sz="8" w:space="8"/>
        </w:pBdr>
        <w:spacing w:after="60" w:before="60"/>
        <w:ind w:left="720"/>
      </w:pPr>
      <w:r>
        <w:rPr>
          <w:rFonts w:ascii="Arial" w:cs="Arial" w:eastAsia="Arial" w:hAnsi="Arial"/>
          <w:i/>
          <w:iCs/>
          <w:sz w:val="17"/>
          <w:szCs w:val="17"/>
        </w:rPr>
        <w:t xml:space="preserve">All operational and failure-validation results in this section are generated by the clean GNN-LPD-DQN method and are not copied from the legacy report.</w:t>
      </w:r>
    </w:p>
    <w:p>
      <w:pPr>
        <w:pBdr>
          <w:left w:val="single" w:color="2E75B6" w:sz="8" w:space="8"/>
        </w:pBdr>
        <w:spacing w:after="60" w:before="60"/>
        <w:ind w:left="720"/>
      </w:pPr>
      <w:r>
        <w:rPr>
          <w:rFonts w:ascii="Arial" w:cs="Arial" w:eastAsia="Arial" w:hAnsi="Arial"/>
          <w:i/>
          <w:iCs/>
          <w:sz w:val="17"/>
          <w:szCs w:val="17"/>
        </w:rPr>
        <w:t xml:space="preserve">Mode disclosure: This section is an LP-derived SDN-style operational simulation, NOT a live Mininet emulation. Mininet requires Linux + Open vSwitch, not available on the macOS evaluation machine. All forwarding-plane metrics are derived analytically from the clean GNN-LPD-DQN LP solution outputs using topology-calibrated models — they are not packet-level measurements. The script exposes --mode mininet for real packet-level Mininet measurements on a Linux/OVS host, which would replace this table with hardware-measured values.</w:t>
      </w:r>
    </w:p>
    <w:p>
      <w:pPr>
        <w:spacing w:after="60" w:before="60"/>
      </w:pPr>
      <w:r>
        <w:rPr>
          <w:rFonts w:ascii="Arial" w:cs="Arial" w:eastAsia="Arial" w:hAnsi="Arial"/>
          <w:sz w:val="18"/>
          <w:szCs w:val="18"/>
        </w:rPr>
        <w:t xml:space="preserve"/>
      </w:r>
    </w:p>
    <w:p>
      <w:r>
        <w:rPr>
          <w:rFonts w:ascii="Arial" w:cs="Arial" w:eastAsia="Arial" w:hAnsi="Arial"/>
          <w:b/>
          <w:bCs/>
          <w:sz w:val="18"/>
          <w:szCs w:val="18"/>
        </w:rPr>
        <w:t xml:space="preserve">Script: </w:t>
      </w:r>
      <w:r>
        <w:rPr>
          <w:rFonts w:ascii="Courier New" w:cs="Courier New" w:eastAsia="Courier New" w:hAnsi="Courier New"/>
          <w:sz w:val="16"/>
          <w:szCs w:val="16"/>
        </w:rPr>
        <w:t xml:space="preserve">scripts/phase1_5/run_sdn_mininet_clean.py</w:t>
      </w:r>
    </w:p>
    <w:p>
      <w:r>
        <w:rPr>
          <w:rFonts w:ascii="Arial" w:cs="Arial" w:eastAsia="Arial" w:hAnsi="Arial"/>
          <w:b/>
          <w:bCs/>
          <w:sz w:val="18"/>
          <w:szCs w:val="18"/>
        </w:rPr>
        <w:t xml:space="preserve">Output: </w:t>
      </w:r>
      <w:r>
        <w:rPr>
          <w:rFonts w:ascii="Courier New" w:cs="Courier New" w:eastAsia="Courier New" w:hAnsi="Courier New"/>
          <w:sz w:val="16"/>
          <w:szCs w:val="16"/>
        </w:rPr>
        <w:t xml:space="preserve">results/gnn_lpd_dqn_selective_db_lp/sdn_mininet_clean/</w:t>
      </w:r>
    </w:p>
    <w:p>
      <w:r>
        <w:rPr>
          <w:rFonts w:ascii="Arial" w:cs="Arial" w:eastAsia="Arial" w:hAnsi="Arial"/>
          <w:b/>
          <w:bCs/>
          <w:sz w:val="18"/>
          <w:szCs w:val="18"/>
        </w:rPr>
        <w:t xml:space="preserve">Mode: </w:t>
      </w:r>
      <w:r>
        <w:rPr>
          <w:rFonts w:ascii="Arial" w:cs="Arial" w:eastAsia="Arial" w:hAnsi="Arial"/>
          <w:sz w:val="18"/>
          <w:szCs w:val="18"/>
        </w:rPr>
        <w:t xml:space="preserve">LP-derived simulation (</w:t>
      </w:r>
      <w:r>
        <w:rPr>
          <w:rFonts w:ascii="Courier New" w:cs="Courier New" w:eastAsia="Courier New" w:hAnsi="Courier New"/>
          <w:sz w:val="16"/>
          <w:szCs w:val="16"/>
        </w:rPr>
        <w:t xml:space="preserve">--mode simulate</w:t>
      </w:r>
      <w:r>
        <w:rPr>
          <w:rFonts w:ascii="Arial" w:cs="Arial" w:eastAsia="Arial" w:hAnsi="Arial"/>
          <w:sz w:val="18"/>
          <w:szCs w:val="18"/>
        </w:rPr>
        <w:t xml:space="preserve">); </w:t>
      </w:r>
      <w:r>
        <w:rPr>
          <w:rFonts w:ascii="Courier New" w:cs="Courier New" w:eastAsia="Courier New" w:hAnsi="Courier New"/>
          <w:sz w:val="16"/>
          <w:szCs w:val="16"/>
        </w:rPr>
        <w:t xml:space="preserve">--mode mininet</w:t>
      </w:r>
      <w:r>
        <w:rPr>
          <w:rFonts w:ascii="Arial" w:cs="Arial" w:eastAsia="Arial" w:hAnsi="Arial"/>
          <w:sz w:val="18"/>
          <w:szCs w:val="18"/>
        </w:rPr>
        <w:t xml:space="preserve"> available on Linux + OVS</w:t>
      </w:r>
    </w:p>
    <w:p>
      <w:r>
        <w:rPr>
          <w:rFonts w:ascii="Arial" w:cs="Arial" w:eastAsia="Arial" w:hAnsi="Arial"/>
          <w:b/>
          <w:bCs/>
          <w:sz w:val="18"/>
          <w:szCs w:val="18"/>
        </w:rPr>
        <w:t xml:space="preserve">Audit: </w:t>
      </w:r>
      <w:r>
        <w:rPr>
          <w:rFonts w:ascii="Arial" w:cs="Arial" w:eastAsia="Arial" w:hAnsi="Arial"/>
          <w:sz w:val="18"/>
          <w:szCs w:val="18"/>
        </w:rPr>
        <w:t xml:space="preserve">PASS — 120 runs, 2 topologies, 6 scenarios, 10 runs per scenario</w:t>
      </w:r>
    </w:p>
    <w:p>
      <w:pPr>
        <w:spacing w:after="60" w:before="60"/>
      </w:pPr>
      <w:r>
        <w:rPr>
          <w:rFonts w:ascii="Arial" w:cs="Arial" w:eastAsia="Arial" w:hAnsi="Arial"/>
          <w:sz w:val="18"/>
          <w:szCs w:val="18"/>
        </w:rPr>
        <w:t xml:space="preserve"/>
      </w:r>
    </w:p>
    <w:p>
      <w:r>
        <w:rPr>
          <w:rFonts w:ascii="Arial" w:cs="Arial" w:eastAsia="Arial" w:hAnsi="Arial"/>
          <w:sz w:val="18"/>
          <w:szCs w:val="18"/>
        </w:rPr>
        <w:t xml:space="preserve">Metric derivation (analytic, from LP solution): Throughput = demand delivered at optimal MLU × nominal link speed (65% utilisation baseline). Packet loss = overflow fraction when MLU &gt; 1.0 (observed 0%). RTT = baseline propagation + load-dependent queueing delay. Jitter = path-delay spread across k-disjoint paths. Recovery = controller decision time (GNN + DQN + LP + install). These are model-derived estimates, not measured packets. Every value is reproducible from sdn_per_run.csv.</w:t>
      </w:r>
    </w:p>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Simulation Scenario Definitions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800"/>
        <w:gridCol w:w="1088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Scenario</w:t>
            </w:r>
          </w:p>
        </w:tc>
        <w:tc>
          <w:tcPr>
            <w:tcW w:type="dxa" w:w="108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normal</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Baseline; original link capacities, original TM</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single_link_failure</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Highest-capacity directed link zeroed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two_link_failure</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Two highest-capacity directed links zeroed</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capacity_degradation_50</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All link capacities scaled ×0.5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spike_x3</w:t>
            </w:r>
          </w:p>
        </w:tc>
        <w:tc>
          <w:tcPr>
            <w:tcW w:type="dxa" w:w="10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Traffic matrix scaled ×3; original caps</w:t>
            </w:r>
          </w:p>
        </w:tc>
      </w:tr>
      <w:tr>
        <w:tc>
          <w:tcPr>
            <w:tcW w:type="dxa" w:w="2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mixed_spike_failure</w:t>
            </w:r>
          </w:p>
        </w:tc>
        <w:tc>
          <w:tcPr>
            <w:tcW w:type="dxa" w:w="10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TM scaled ×3 + single link zeroed</w:t>
            </w:r>
          </w:p>
        </w:tc>
      </w:tr>
    </w:tbl>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Table SDN-1. LP-derived SDN-style results — Abilene (N=10 runs per scenario)</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320"/>
        <w:gridCol w:w="440"/>
        <w:gridCol w:w="980"/>
        <w:gridCol w:w="700"/>
        <w:gridCol w:w="680"/>
        <w:gridCol w:w="680"/>
        <w:gridCol w:w="960"/>
        <w:gridCol w:w="960"/>
        <w:gridCol w:w="820"/>
        <w:gridCol w:w="580"/>
        <w:gridCol w:w="64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Scenario</w:t>
            </w:r>
          </w:p>
        </w:tc>
        <w:tc>
          <w:tcPr>
            <w:tcW w:type="dxa" w:w="4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9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Throughput</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Loss</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RTT</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Jitter</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Recovery ms</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Decision ms</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Flow rules</w:t>
            </w:r>
          </w:p>
        </w:tc>
        <w:tc>
          <w:tcPr>
            <w:tcW w:type="dxa" w:w="5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Disconn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Normal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46.8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46.8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1,043</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1-Link 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42.0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2.5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45.1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45.1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1,043</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2-Link Fail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41.5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41.5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1,043</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Cap Deg 50%</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42.0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2.5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43.6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43.6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1,043</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Spike ×3</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42.0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43.5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43.5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1,043</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Spike+Fail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42.0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2.5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48.4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48.4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1,043</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bl>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Table SDN-2. LP-derived SDN-style results — GEANT (N=10 runs per scenario)</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320"/>
        <w:gridCol w:w="440"/>
        <w:gridCol w:w="980"/>
        <w:gridCol w:w="700"/>
        <w:gridCol w:w="680"/>
        <w:gridCol w:w="680"/>
        <w:gridCol w:w="960"/>
        <w:gridCol w:w="960"/>
        <w:gridCol w:w="820"/>
        <w:gridCol w:w="580"/>
        <w:gridCol w:w="64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Scenario</w:t>
            </w:r>
          </w:p>
        </w:tc>
        <w:tc>
          <w:tcPr>
            <w:tcW w:type="dxa" w:w="4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N</w:t>
            </w:r>
          </w:p>
        </w:tc>
        <w:tc>
          <w:tcPr>
            <w:tcW w:type="dxa" w:w="9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Throughput</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Loss</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RTT</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Jitter</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Recovery ms</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Decision ms</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Flow rules</w:t>
            </w:r>
          </w:p>
        </w:tc>
        <w:tc>
          <w:tcPr>
            <w:tcW w:type="dxa" w:w="5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Disconn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Normal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38.0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4.0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292.2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292.2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3,535</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1-Link 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38.0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281.1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281.1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3,535</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2-Link Fail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38.0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4.0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277.3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277.3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3,535</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Cap Deg 50%</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38.0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295.9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295.9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3,535</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Spike ×3</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38.0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4.0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291.8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291.8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3,535</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Spike+Fail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38.4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4.0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279.9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279.9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3,535</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bl>
    <w:p>
      <w:pPr>
        <w:spacing w:after="80" w:before="40"/>
        <w:ind w:left="360"/>
      </w:pPr>
      <w:r>
        <w:rPr>
          <w:rFonts w:ascii="Arial" w:cs="Arial" w:eastAsia="Arial" w:hAnsi="Arial"/>
          <w:b/>
          <w:bCs/>
          <w:sz w:val="16"/>
          <w:szCs w:val="16"/>
        </w:rPr>
        <w:t xml:space="preserve">Note: </w:t>
      </w:r>
      <w:r>
        <w:rPr>
          <w:rFonts w:ascii="Arial" w:cs="Arial" w:eastAsia="Arial" w:hAnsi="Arial"/>
          <w:i/>
          <w:iCs/>
          <w:sz w:val="16"/>
          <w:szCs w:val="16"/>
        </w:rPr>
        <w:t xml:space="preserve">GEANT: zero packet loss and zero disconnected ODs even under mixed spike+failure. Recovery time 277–296 ms (LP solve dominated). Model-derived estimates; live Mininet via --mode mininet.</w:t>
      </w:r>
    </w:p>
    <w:p>
      <w:pPr>
        <w:spacing w:after="60" w:before="60"/>
      </w:pPr>
      <w:r>
        <w:rPr>
          <w:rFonts w:ascii="Arial" w:cs="Arial" w:eastAsia="Arial" w:hAnsi="Arial"/>
          <w:sz w:val="18"/>
          <w:szCs w:val="18"/>
        </w:rPr>
        <w:t xml:space="preserve"/>
      </w:r>
    </w:p>
    <w:p>
      <w:r>
        <w:rPr>
          <w:rFonts w:ascii="Arial" w:cs="Arial" w:eastAsia="Arial" w:hAnsi="Arial"/>
          <w:b/>
          <w:bCs/>
          <w:sz w:val="18"/>
          <w:szCs w:val="18"/>
        </w:rPr>
        <w:t xml:space="preserve">Key findings (LP-derived): </w:t>
      </w:r>
      <w:r>
        <w:rPr>
          <w:rFonts w:ascii="Arial" w:cs="Arial" w:eastAsia="Arial" w:hAnsi="Arial"/>
          <w:sz w:val="18"/>
          <w:szCs w:val="18"/>
        </w:rPr>
        <w:t xml:space="preserve">6,500 Mbps throughput and 0% packet loss across all 6 scenarios on both topologies. RTT 42.0 ms (Abilene), 38.0–38.4 ms (GEANT). Recovery time 41.5–48.4 ms (Abilene), 277.3–295.9 ms (GEANT). No disconnected ODs. Audit PASS on all 120 runs. These are model-derived estimates, not live Mininet measurements.</w:t>
      </w:r>
    </w:p>
    <w:p>
      <w:pPr>
        <w:spacing w:after="60" w:before="60"/>
      </w:pPr>
      <w:r>
        <w:rPr>
          <w:rFonts w:ascii="Arial" w:cs="Arial" w:eastAsia="Arial" w:hAnsi="Arial"/>
          <w:sz w:val="18"/>
          <w:szCs w:val="18"/>
        </w:rPr>
        <w:t xml:space="preserve"/>
      </w:r>
    </w:p>
    <w:p>
      <w:r>
        <w:rPr>
          <w:rFonts w:ascii="Arial" w:cs="Arial" w:eastAsia="Arial" w:hAnsi="Arial"/>
          <w:b/>
          <w:bCs/>
          <w:sz w:val="18"/>
          <w:szCs w:val="18"/>
        </w:rPr>
        <w:t xml:space="preserve">Raw evidence: </w:t>
      </w:r>
      <w:r>
        <w:rPr>
          <w:rFonts w:ascii="Courier New" w:cs="Courier New" w:eastAsia="Courier New" w:hAnsi="Courier New"/>
          <w:sz w:val="16"/>
          <w:szCs w:val="16"/>
        </w:rPr>
        <w:t xml:space="preserve">sdn_per_run.csv</w:t>
      </w:r>
      <w:r>
        <w:rPr>
          <w:rFonts w:ascii="Arial" w:cs="Arial" w:eastAsia="Arial" w:hAnsi="Arial"/>
          <w:sz w:val="18"/>
          <w:szCs w:val="18"/>
        </w:rPr>
        <w:t xml:space="preserve"> (120), </w:t>
      </w:r>
      <w:r>
        <w:rPr>
          <w:rFonts w:ascii="Courier New" w:cs="Courier New" w:eastAsia="Courier New" w:hAnsi="Courier New"/>
          <w:sz w:val="16"/>
          <w:szCs w:val="16"/>
        </w:rPr>
        <w:t xml:space="preserve">sdn_summary.csv</w:t>
      </w:r>
      <w:r>
        <w:rPr>
          <w:rFonts w:ascii="Arial" w:cs="Arial" w:eastAsia="Arial" w:hAnsi="Arial"/>
          <w:sz w:val="18"/>
          <w:szCs w:val="18"/>
        </w:rPr>
        <w:t xml:space="preserve"> (12), </w:t>
      </w:r>
      <w:r>
        <w:rPr>
          <w:rFonts w:ascii="Courier New" w:cs="Courier New" w:eastAsia="Courier New" w:hAnsi="Courier New"/>
          <w:sz w:val="16"/>
          <w:szCs w:val="16"/>
        </w:rPr>
        <w:t xml:space="preserve">sdn_method_audit.json</w:t>
      </w:r>
      <w:r>
        <w:rPr>
          <w:rFonts w:ascii="Arial" w:cs="Arial" w:eastAsia="Arial" w:hAnsi="Arial"/>
          <w:sz w:val="18"/>
          <w:szCs w:val="18"/>
        </w:rPr>
        <w:t xml:space="preserve"> (PASS, mode=simulate).</w:t>
      </w:r>
    </w:p>
    <w:p>
      <w:pPr>
        <w:jc w:val="center"/>
      </w:pPr>
      <w:r>
        <w:drawing>
          <wp:inline distT="0" distB="0" distL="0" distR="0">
            <wp:extent cx="6667500" cy="3429000"/>
            <wp:effectExtent t="0" r="0" b="0" l="0"/>
            <wp:docPr id="1" name="Figure SDN-1. Throughput by scenario — Abilene (left) and GEANT (right)." descr="Figure SDN-1. Throughput by scenario — Abilene (left) and GEANT (right)." title="Figure SDN-1. Throughput by scenario — Abilene (left) and GEAN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SDN-1. Throughput by scenario — Abilene (left) and GEANT (right).</w:t>
      </w:r>
    </w:p>
    <w:p>
      <w:pPr>
        <w:jc w:val="center"/>
      </w:pPr>
      <w:r>
        <w:drawing>
          <wp:inline distT="0" distB="0" distL="0" distR="0">
            <wp:extent cx="6667500" cy="3429000"/>
            <wp:effectExtent t="0" r="0" b="0" l="0"/>
            <wp:docPr id="1" name="Figure SDN-2. Packet loss by scenario (0% all scenarios)." descr="Figure SDN-2. Packet loss by scenario (0% all scenarios)." title="Figure SDN-2. Packet loss by scenario (0% all s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SDN-2. Packet loss by scenario (0% all scenarios).</w:t>
      </w:r>
    </w:p>
    <w:p>
      <w:pPr>
        <w:jc w:val="center"/>
      </w:pPr>
      <w:r>
        <w:drawing>
          <wp:inline distT="0" distB="0" distL="0" distR="0">
            <wp:extent cx="6667500" cy="3429000"/>
            <wp:effectExtent t="0" r="0" b="0" l="0"/>
            <wp:docPr id="1" name="Figure SDN-3. Round-trip time by scenario." descr="Figure SDN-3. Round-trip time by scenario." title="Figure SDN-3. Round-trip time by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SDN-3. Round-trip time by scenario.</w:t>
      </w:r>
    </w:p>
    <w:p>
      <w:pPr>
        <w:jc w:val="center"/>
      </w:pPr>
      <w:r>
        <w:drawing>
          <wp:inline distT="0" distB="0" distL="0" distR="0">
            <wp:extent cx="6667500" cy="3429000"/>
            <wp:effectExtent t="0" r="0" b="0" l="0"/>
            <wp:docPr id="1" name="Figure SDN-4. Jitter by scenario." descr="Figure SDN-4. Jitter by scenario." title="Figure SDN-4. Jitter by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SDN-4. Jitter by scenario.</w:t>
      </w:r>
    </w:p>
    <w:p>
      <w:pPr>
        <w:jc w:val="center"/>
      </w:pPr>
      <w:r>
        <w:drawing>
          <wp:inline distT="0" distB="0" distL="0" distR="0">
            <wp:extent cx="6667500" cy="3429000"/>
            <wp:effectExtent t="0" r="0" b="0" l="0"/>
            <wp:docPr id="1" name="Figure SDN-5. Recovery time (log scale) by scenario." descr="Figure SDN-5. Recovery time (log scale) by scenario." title="Figure SDN-5. Recovery time (log scale) by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SDN-5. Recovery time (log scale) by scenario.</w:t>
      </w:r>
    </w:p>
    <w:p>
      <w:pPr>
        <w:jc w:val="center"/>
      </w:pPr>
      <w:r>
        <w:drawing>
          <wp:inline distT="0" distB="0" distL="0" distR="0">
            <wp:extent cx="6667500" cy="3429000"/>
            <wp:effectExtent t="0" r="0" b="0" l="0"/>
            <wp:docPr id="1" name="Figure SDN-6. Controller decision time by scenario." descr="Figure SDN-6. Controller decision time by scenario." title="Figure SDN-6. Controller decision time by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0" cy="3429000"/>
                    </a:xfrm>
                    <a:prstGeom prst="rect">
                      <a:avLst/>
                    </a:prstGeom>
                  </pic:spPr>
                </pic:pic>
              </a:graphicData>
            </a:graphic>
          </wp:inline>
        </w:drawing>
      </w:r>
    </w:p>
    <w:p>
      <w:pPr>
        <w:spacing w:after="100"/>
        <w:jc w:val="center"/>
      </w:pPr>
      <w:r>
        <w:rPr>
          <w:rFonts w:ascii="Arial" w:cs="Arial" w:eastAsia="Arial" w:hAnsi="Arial"/>
          <w:i/>
          <w:iCs/>
          <w:sz w:val="16"/>
          <w:szCs w:val="16"/>
        </w:rPr>
        <w:t xml:space="preserve">Figure SDN-6. Controller decision time by scenario.</w:t>
      </w:r>
    </w:p>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SDN Method Audit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000"/>
        <w:gridCol w:w="9680"/>
      </w:tblGrid>
      <w:tr>
        <w:trPr>
          <w:tblHeader/>
        </w:trPr>
        <w:tc>
          <w:tcPr>
            <w:tcW w:type="dxa" w:w="4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Audit flag</w:t>
            </w:r>
          </w:p>
        </w:tc>
        <w:tc>
          <w:tcPr>
            <w:tcW w:type="dxa" w:w="9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Value</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gnn_used</w:t>
            </w:r>
          </w:p>
        </w:tc>
        <w:tc>
          <w:tcPr>
            <w:tcW w:type="dxa" w:w="9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 (all 120 runs)</w:t>
            </w:r>
          </w:p>
        </w:tc>
      </w:tr>
      <w:tr>
        <w:tc>
          <w:tcPr>
            <w:tcW w:type="dxa" w:w="4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lpd_used</w:t>
            </w:r>
          </w:p>
        </w:tc>
        <w:tc>
          <w:tcPr>
            <w:tcW w:type="dxa" w:w="9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 (all 120 runs)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dqn_used</w:t>
            </w:r>
          </w:p>
        </w:tc>
        <w:tc>
          <w:tcPr>
            <w:tcW w:type="dxa" w:w="9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1 (all 120 runs)</w:t>
            </w:r>
          </w:p>
        </w:tc>
      </w:tr>
      <w:tr>
        <w:tc>
          <w:tcPr>
            <w:tcW w:type="dxa" w:w="4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heuristic_used</w:t>
            </w:r>
          </w:p>
        </w:tc>
        <w:tc>
          <w:tcPr>
            <w:tcW w:type="dxa" w:w="9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 (all 120 runs)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random_forest_gate_used</w:t>
            </w:r>
          </w:p>
        </w:tc>
        <w:tc>
          <w:tcPr>
            <w:tcW w:type="dxa" w:w="9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 (all 120 runs)</w:t>
            </w:r>
          </w:p>
        </w:tc>
      </w:tr>
      <w:tr>
        <w:tc>
          <w:tcPr>
            <w:tcW w:type="dxa" w:w="4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sticky_gate_used</w:t>
            </w:r>
          </w:p>
        </w:tc>
        <w:tc>
          <w:tcPr>
            <w:tcW w:type="dxa" w:w="9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 (all 120 runs)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stage2_used</w:t>
            </w:r>
          </w:p>
        </w:tc>
        <w:tc>
          <w:tcPr>
            <w:tcW w:type="dxa" w:w="9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 (all 120 runs)</w:t>
            </w:r>
          </w:p>
        </w:tc>
      </w:tr>
      <w:tr>
        <w:tc>
          <w:tcPr>
            <w:tcW w:type="dxa" w:w="4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disturbance_finalization_used</w:t>
            </w:r>
          </w:p>
        </w:tc>
        <w:tc>
          <w:tcPr>
            <w:tcW w:type="dxa" w:w="9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0 (all 120 runs)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criticality_backend</w:t>
            </w:r>
          </w:p>
        </w:tc>
        <w:tc>
          <w:tcPr>
            <w:tcW w:type="dxa" w:w="9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gnn_lpd (all 120 runs)</w:t>
            </w:r>
          </w:p>
        </w:tc>
      </w:tr>
      <w:tr>
        <w:tc>
          <w:tcPr>
            <w:tcW w:type="dxa" w:w="4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audit_result</w:t>
            </w:r>
          </w:p>
        </w:tc>
        <w:tc>
          <w:tcPr>
            <w:tcW w:type="dxa" w:w="9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mode</w:t>
            </w:r>
          </w:p>
        </w:tc>
        <w:tc>
          <w:tcPr>
            <w:tcW w:type="dxa" w:w="9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simulate (LP-derived) — --mode mininet available for Linux/OVS hardware validation</w:t>
            </w:r>
          </w:p>
        </w:tc>
      </w:tr>
    </w:tbl>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11 — Reproducibility Metadata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600"/>
        <w:gridCol w:w="10080"/>
      </w:tblGrid>
      <w:tr>
        <w:trPr>
          <w:tblHeader/>
        </w:trPr>
        <w:tc>
          <w:tcPr>
            <w:tcW w:type="dxa" w:w="3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Parameter</w:t>
            </w:r>
          </w:p>
        </w:tc>
        <w:tc>
          <w:tcPr>
            <w:tcW w:type="dxa" w:w="100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Value</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Main method script</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scripts/phase1_5/gnn_lpd_dqn_selective_db_lp.py</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Label script</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scripts/phase1_5/build_dbbudget_oracle_labels.py</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Audit script</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scripts/phase1_5/audit_gnn_lpd_dqn_clean_method.py</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Failure validation script</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scripts/phase1_5/run_failure_validation_clean.py</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SDN validation script</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scripts/phase1_5/run_sdn_mininet_clean.py</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GNN checkpoint</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results/gnn_lpd_dqn_selective_db_lp/models/gnn_dbbudget_selector.pt</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DQN checkpoint</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results/gnn_lpd_dqn_selective_db_lp/dqn_best.pt</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Label file</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results/.../labels/oracle_labels.csv (279,360 rows)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Evaluation per-cycle file</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results/.../final_N3976/per_cycle.csv (3,976 rows)</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Main comparison subset</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3,288 (Abilene + CERNET + GEANT + Sprintlink + Tiscali)</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Clean audit result</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PASSED — 10/10 blocks</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Failure validation result</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PASSED — 360 cycles, 2 topologies, 9 scenarios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SDN validation result</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PASSED — 120 runs, 2 topologies, 6 scenarios (LP-derived; not live Mininet)</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Solver</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PuLP with HiGHS preferred / CBC fallback</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 val prec@K</w:t>
            </w:r>
          </w:p>
        </w:tc>
        <w:tc>
          <w:tcPr>
            <w:tcW w:type="dxa" w:w="10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0.7474 (25 epochs, 6 topologies)</w:t>
            </w:r>
          </w:p>
        </w:tc>
      </w:tr>
      <w:tr>
        <w:tc>
          <w:tcPr>
            <w:tcW w:type="dxa" w:w="3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DQN val PR</w:t>
            </w:r>
          </w:p>
        </w:tc>
        <w:tc>
          <w:tcPr>
            <w:tcW w:type="dxa" w:w="10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1.0000 (200 episodes)</w:t>
            </w:r>
          </w:p>
        </w:tc>
      </w:tr>
    </w:tbl>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Reproducibility Checklist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gridCol w:w="368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Step</w:t>
            </w:r>
          </w:p>
        </w:tc>
        <w:tc>
          <w:tcPr>
            <w:tcW w:type="dxa" w:w="6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Script / file</w:t>
            </w:r>
          </w:p>
        </w:tc>
        <w:tc>
          <w:tcPr>
            <w:tcW w:type="dxa" w:w="3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Status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Oracle label generation</w:t>
            </w:r>
          </w:p>
        </w:tc>
        <w:tc>
          <w:tcPr>
            <w:tcW w:type="dxa" w:w="6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build_dbbudget_oracle_labels.py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Done</w:t>
            </w:r>
          </w:p>
        </w:tc>
      </w:tr>
      <w:tr>
        <w:tc>
          <w:tcPr>
            <w:tcW w:type="dxa" w:w="3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GNN training</w:t>
            </w:r>
          </w:p>
        </w:tc>
        <w:tc>
          <w:tcPr>
            <w:tcW w:type="dxa" w:w="6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train_gnn_dbbudget_selector.py</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Done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Pathopt precompute</w:t>
            </w:r>
          </w:p>
        </w:tc>
        <w:tc>
          <w:tcPr>
            <w:tcW w:type="dxa" w:w="6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gnn_lpd_dqn_selective_db_lp.py --mode precompute</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Done</w:t>
            </w:r>
          </w:p>
        </w:tc>
      </w:tr>
      <w:tr>
        <w:tc>
          <w:tcPr>
            <w:tcW w:type="dxa" w:w="3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DQN training</w:t>
            </w:r>
          </w:p>
        </w:tc>
        <w:tc>
          <w:tcPr>
            <w:tcW w:type="dxa" w:w="6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gnn_lpd_dqn_selective_db_lp.py --mode train</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Done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Full evaluation</w:t>
            </w:r>
          </w:p>
        </w:tc>
        <w:tc>
          <w:tcPr>
            <w:tcW w:type="dxa" w:w="6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gnn_lpd_dqn_selective_db_lp.py --mode eval</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Done</w:t>
            </w:r>
          </w:p>
        </w:tc>
      </w:tr>
      <w:tr>
        <w:tc>
          <w:tcPr>
            <w:tcW w:type="dxa" w:w="3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Clean audit</w:t>
            </w:r>
          </w:p>
        </w:tc>
        <w:tc>
          <w:tcPr>
            <w:tcW w:type="dxa" w:w="6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audit_gnn_lpd_dqn_clean_method.py</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10/10 PASS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Failure validation</w:t>
            </w:r>
          </w:p>
        </w:tc>
        <w:tc>
          <w:tcPr>
            <w:tcW w:type="dxa" w:w="6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run_failure_validation_clean.py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360 cycles PASS</w:t>
            </w:r>
          </w:p>
        </w:tc>
      </w:tr>
      <w:tr>
        <w:tc>
          <w:tcPr>
            <w:tcW w:type="dxa" w:w="3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SDN validation</w:t>
            </w:r>
          </w:p>
        </w:tc>
        <w:tc>
          <w:tcPr>
            <w:tcW w:type="dxa" w:w="6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run_sdn_mininet_clean.py</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120 runs PASS (LP-derived)</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LP solver module</w:t>
            </w:r>
          </w:p>
        </w:tc>
        <w:tc>
          <w:tcPr>
            <w:tcW w:type="dxa" w:w="6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te/lp_solver.py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Exists</w:t>
            </w:r>
          </w:p>
        </w:tc>
      </w:tr>
      <w:tr>
        <w:tc>
          <w:tcPr>
            <w:tcW w:type="dxa" w:w="3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GNN inference module</w:t>
            </w:r>
          </w:p>
        </w:tc>
        <w:tc>
          <w:tcPr>
            <w:tcW w:type="dxa" w:w="6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scripts/phase1_5/gnn_lp_inference.py</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Exists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GNN training script</w:t>
            </w:r>
          </w:p>
        </w:tc>
        <w:tc>
          <w:tcPr>
            <w:tcW w:type="dxa" w:w="6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scripts/phase1_5/train_gnn_dbbudget_selector.py</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Exists</w:t>
            </w:r>
          </w:p>
        </w:tc>
      </w:tr>
    </w:tbl>
    <w:p>
      <w:pPr>
        <w:spacing w:after="60" w:before="60"/>
      </w:pPr>
      <w:r>
        <w:rPr>
          <w:rFonts w:ascii="Arial" w:cs="Arial" w:eastAsia="Arial" w:hAnsi="Arial"/>
          <w:sz w:val="18"/>
          <w:szCs w:val="18"/>
        </w:rPr>
        <w:t xml:space="preserve"/>
      </w:r>
    </w:p>
    <w:p>
      <w:pPr>
        <w:pStyle w:val="Heading1"/>
        <w:spacing w:after="120" w:before="240"/>
      </w:pPr>
      <w:r>
        <w:rPr>
          <w:rFonts w:ascii="Arial" w:cs="Arial" w:eastAsia="Arial" w:hAnsi="Arial"/>
          <w:b/>
          <w:bCs/>
          <w:sz w:val="28"/>
          <w:szCs w:val="28"/>
        </w:rPr>
        <w:t xml:space="preserve">Section 12 — Claim Boundary</w:t>
      </w:r>
    </w:p>
    <w:p>
      <w:pPr>
        <w:pBdr>
          <w:left w:val="single" w:color="2E75B6" w:sz="8" w:space="8"/>
        </w:pBdr>
        <w:spacing w:after="60" w:before="60"/>
        <w:ind w:left="720"/>
      </w:pPr>
      <w:r>
        <w:rPr>
          <w:rFonts w:ascii="Arial" w:cs="Arial" w:eastAsia="Arial" w:hAnsi="Arial"/>
          <w:i/>
          <w:iCs/>
          <w:sz w:val="17"/>
          <w:szCs w:val="17"/>
        </w:rPr>
        <w:t xml:space="preserve">Tiscali is included in N=3,288 and the CDFs but is NOT claimed as a FlexDATE win/loss row, because no source-locked FlexDATE reference row for Tiscali exists in the original report. The audit-script tiscali constant is method-internal config, not valid FlexDATE evidence. Only the four FlexDATE-reference topologies (Abilene, CERNET, GEANT, Sprintlink) are claimed as FlexDATE wins, and all four win both PR and DB. Tiscali PR=100.000%, DB=0.714% are internal results; runtime is an honestly disclosed limitation. Full N=3,976 reported separately. Clean method passes compliance audit. Clean failure validation (PR/DB/decision-time metrics, not normalized-MLU ECMP/OSPF) PASS. LP-derived SDN-style simulation (not live Mininet) PASS. All results are clean reruns — not copied from the legacy report.</w:t>
      </w:r>
    </w:p>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Final Safe Claims</w:t>
      </w:r>
    </w:p>
    <w:p>
      <w:r>
        <w:rPr>
          <w:rFonts w:ascii="Arial" w:cs="Arial" w:eastAsia="Arial" w:hAnsi="Arial"/>
          <w:sz w:val="18"/>
          <w:szCs w:val="18"/>
        </w:rPr>
        <w:t xml:space="preserve">On the main N=3,288 subset, the clean GNN-LPD-DQN method wins both PR and DB on the four FlexDATE-reference topologies vs FlexDATE. Tiscali is included but not claimed as a FlexDATE win/loss (no source-locked reference exists); its PR=100.000%, DB=0.714% are internal results. On the full N=3,976 protocol: Mean PR=99.743%, Mean DB=0.545%, Mean decision time=246.6 ms, P95=657.2 ms. Under failure scenarios: PR≥95% on all non-disconnecting scenarios (audit PASS). Under the LP-derived SDN-style simulation: 6,500 Mbps throughput, 0% packet loss, zero disconnected ODs, RTT 38–42 ms across all six scenarios (audit PASS, not live Mininet).</w:t>
      </w:r>
    </w:p>
    <w:p>
      <w:pPr>
        <w:spacing w:after="60" w:before="60"/>
      </w:pPr>
      <w:r>
        <w:rPr>
          <w:rFonts w:ascii="Arial" w:cs="Arial" w:eastAsia="Arial" w:hAnsi="Arial"/>
          <w:sz w:val="18"/>
          <w:szCs w:val="18"/>
        </w:rPr>
        <w:t xml:space="preserve"/>
      </w:r>
    </w:p>
    <w:p>
      <w:pPr>
        <w:pStyle w:val="Heading2"/>
        <w:spacing w:after="80" w:before="180"/>
      </w:pPr>
      <w:r>
        <w:rPr>
          <w:rFonts w:ascii="Arial" w:cs="Arial" w:eastAsia="Arial" w:hAnsi="Arial"/>
          <w:b/>
          <w:bCs/>
          <w:sz w:val="22"/>
          <w:szCs w:val="22"/>
        </w:rPr>
        <w:t xml:space="preserve">Final Checks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480"/>
        <w:gridCol w:w="6200"/>
      </w:tblGrid>
      <w:tr>
        <w:trPr>
          <w:tblHeader/>
        </w:trPr>
        <w:tc>
          <w:tcPr>
            <w:tcW w:type="dxa" w:w="74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Check</w:t>
            </w:r>
          </w:p>
        </w:tc>
        <w:tc>
          <w:tcPr>
            <w:tcW w:type="dxa" w:w="6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7"/>
                <w:szCs w:val="17"/>
              </w:rPr>
              <w:t xml:space="preserve">Result</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Main comparison N=3,288</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 (2016+200+672+200+200)</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Table 2 Tiscali FlexDATE PR/DB = N.A., PR/DB Result = n/c</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Table 2 Tiscali Overall = reported / runtime limitation</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No 5/5 WIN BOTH claim anywhere</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 — replaced with 4/4 + Tiscali limitation</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Tiscali not claimed as FlexDATE win/loss</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 — no source-locked reference</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Audit-script tiscali constant not cited as FlexDATE evidence</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 — removed</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No text says N=3,088</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Runtime: 4/5 mean&lt;500ms, 3/5 P95&lt;500ms</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Full internal N=3,976 unchanged</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Section 9 failure from clean rerun</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 — audit PASS 360 cycles</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Section 9 stated as PR/DB metrics, not normalized-MLU ECMP/OSPF</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Section 10 renamed LP-derived SDN-style Operational Simulation</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 — not live Mininet</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Section 10 from clean rerun</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 — audit PASS 120 runs 6 scenarios</w:t>
            </w:r>
          </w:p>
        </w:tc>
      </w:tr>
      <w:tr>
        <w:tc>
          <w:tcPr>
            <w:tcW w:type="dxa" w:w="7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All Section 9 + 10 numbers reproducible from CSVs</w:t>
            </w:r>
          </w:p>
        </w:tc>
        <w:tc>
          <w:tcPr>
            <w:tcW w:type="dxa" w:w="6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pPr>
              <w:jc w:val="left"/>
            </w:pPr>
            <w:r>
              <w:rPr>
                <w:rFonts w:ascii="Arial" w:cs="Arial" w:eastAsia="Arial" w:hAnsi="Arial"/>
                <w:sz w:val="17"/>
                <w:szCs w:val="17"/>
              </w:rPr>
              <w:t xml:space="preserve">Confirmed — recomputed and matched</w:t>
            </w:r>
          </w:p>
        </w:tc>
      </w:tr>
      <w:tr>
        <w:tc>
          <w:tcPr>
            <w:tcW w:type="dxa" w:w="7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run_failure_validation_clean.py + run_sdn_mininet_clean.py exist</w:t>
            </w:r>
          </w:p>
        </w:tc>
        <w:tc>
          <w:tcPr>
            <w:tcW w:type="dxa" w:w="6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sz w:val="17"/>
                <w:szCs w:val="17"/>
              </w:rPr>
              <w:t xml:space="preserve">Confirmed</w:t>
            </w:r>
          </w:p>
        </w:tc>
      </w:tr>
    </w:tbl>
    <w:sectPr>
      <w:headerReference w:type="default" r:id="rId7"/>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of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i/>
        <w:iCs/>
        <w:sz w:val="16"/>
        <w:szCs w:val="16"/>
      </w:rPr>
      <w:t xml:space="preserve">Clean GNN-LPD-DQN TE Report  |  N=3,288 main subset  |  Failure PASS  |  LP-derived SDN PASS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4"/>
      </w:pBdr>
      <w:spacing w:after="120" w:before="300"/>
      <w:outlineLvl w:val="0"/>
    </w:pPr>
    <w:rPr>
      <w:rFonts w:ascii="Arial" w:cs="Arial" w:eastAsia="Arial" w:hAnsi="Arial"/>
      <w:b/>
      <w:bCs/>
      <w:color w:val="2E75B6"/>
      <w:sz w:val="32"/>
      <w:szCs w:val="32"/>
    </w:rPr>
  </w:style>
  <w:style w:type="paragraph" w:styleId="Heading2">
    <w:name w:val="Heading 2"/>
    <w:basedOn w:val="Normal"/>
    <w:next w:val="Normal"/>
    <w:qFormat/>
    <w:pPr>
      <w:spacing w:after="80" w:before="16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185fe9375c26bbd0fc4640d3d4ea8dddce0323.png"/><Relationship Id="rId10" Type="http://schemas.openxmlformats.org/officeDocument/2006/relationships/image" Target="media/1bcb6613c978735c63eaab6b2d6d0035056e4ec2.png"/><Relationship Id="rId11" Type="http://schemas.openxmlformats.org/officeDocument/2006/relationships/image" Target="media/3535f66189d2027088e41fa8baf59f095778e5fb.png"/><Relationship Id="rId12" Type="http://schemas.openxmlformats.org/officeDocument/2006/relationships/image" Target="media/fada6889527cacf77364bcd01189bb1a20c21a27.png"/><Relationship Id="rId13" Type="http://schemas.openxmlformats.org/officeDocument/2006/relationships/image" Target="media/fdb3698455210f314416907f3b04c5faa9211355.png"/><Relationship Id="rId14" Type="http://schemas.openxmlformats.org/officeDocument/2006/relationships/image" Target="media/9d270ebac6eb4a82d70a8be5ec4c1fbbabcab42e.png"/><Relationship Id="rId15" Type="http://schemas.openxmlformats.org/officeDocument/2006/relationships/image" Target="media/34371f7985179aa450a8578bc55dabfc09babcb9.png"/><Relationship Id="rId16" Type="http://schemas.openxmlformats.org/officeDocument/2006/relationships/image" Target="media/f2d758838ad55130c7988d366d6b4d2ade0e1038.png"/><Relationship Id="rId17" Type="http://schemas.openxmlformats.org/officeDocument/2006/relationships/image" Target="media/c2d53b043d2afd1ffb4919ea71a776496902bb77.png"/><Relationship Id="rId18" Type="http://schemas.openxmlformats.org/officeDocument/2006/relationships/image" Target="media/895ad8cec48bab296220a93714975cb7f3c1e7a8.png"/><Relationship Id="rId19" Type="http://schemas.openxmlformats.org/officeDocument/2006/relationships/image" Target="media/fcb7bf4ed133a50d5ec85685b788169ddec0f45f.png"/><Relationship Id="rId20" Type="http://schemas.openxmlformats.org/officeDocument/2006/relationships/image" Target="media/32e80fef1992d8f28574fa94a68d38d16fd4f38d.png"/><Relationship Id="rId21" Type="http://schemas.openxmlformats.org/officeDocument/2006/relationships/image" Target="media/0f3b465eb2912e778811300ec482d4ff972270eb.png"/><Relationship Id="rId22" Type="http://schemas.openxmlformats.org/officeDocument/2006/relationships/image" Target="media/7a70e187ff9d4c1aae558132645bac3612aa00ff.png"/><Relationship Id="rId23" Type="http://schemas.openxmlformats.org/officeDocument/2006/relationships/image" Target="media/1533d4cd8843fdb03325b6005a60eb066a9d4b91.png"/><Relationship Id="rId24" Type="http://schemas.openxmlformats.org/officeDocument/2006/relationships/image" Target="media/4a1ec572fdae63d4d7fbf7d223812017fe5b44f1.png"/><Relationship Id="rId25" Type="http://schemas.openxmlformats.org/officeDocument/2006/relationships/image" Target="media/71ce0caf8d3f2419d7c6f648e1bbb640d94a7721.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2026-06-18T05:24:30.934Z</dcterms:created>
  <dcterms:modified xsi:type="dcterms:W3CDTF">2026-06-18T05:24:30.940Z</dcterms:modified>
</cp:coreProperties>
</file>

<file path=docProps/custom.xml><?xml version="1.0" encoding="utf-8"?>
<Properties xmlns="http://schemas.openxmlformats.org/officeDocument/2006/custom-properties" xmlns:vt="http://schemas.openxmlformats.org/officeDocument/2006/docPropsVTypes"/>
</file>