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sz w:val="38"/>
          <w:szCs w:val="38"/>
        </w:rPr>
        <w:t xml:space="preserve">Phase 1.5 Clean GNN-LPD-DQN Traffic Engineering Report</w:t>
      </w:r>
    </w:p>
    <w:p>
      <w:pPr>
        <w:spacing w:after="480" w:before="40"/>
        <w:jc w:val="center"/>
      </w:pPr>
      <w:r>
        <w:rPr>
          <w:rFonts w:ascii="Arial" w:cs="Arial" w:eastAsia="Arial" w:hAnsi="Arial"/>
          <w:i/>
          <w:iCs/>
          <w:sz w:val="19"/>
          <w:szCs w:val="19"/>
        </w:rPr>
        <w:t xml:space="preserve">Main comparison N=3,288 (Abilene + CERNET + GEANT + Sprintlink + Tiscali) · Full internal N=3,976 · Clean failure validation · Original SDN/Mininet live operational metrics</w:t>
      </w:r>
    </w:p>
    <w:p>
      <w:pPr>
        <w:pBdr>
          <w:left w:val="single" w:color="2E75B6" w:sz="8" w:space="8"/>
        </w:pBdr>
        <w:spacing w:after="50" w:before="50"/>
        <w:ind w:left="540"/>
      </w:pPr>
      <w:r>
        <w:rPr>
          <w:rFonts w:ascii="Arial" w:cs="Arial" w:eastAsia="Arial" w:hAnsi="Arial"/>
          <w:i/>
          <w:iCs/>
          <w:sz w:val="16"/>
          <w:szCs w:val="16"/>
        </w:rPr>
        <w:t xml:space="preserve">Source-scope lock: Tiscali is in main N=3,288 and the CDFs, but no source-locked FlexDATE reference row for Tiscali exists in the original report. Tiscali FlexDATE PR/DB = N.A., results n/c; reported as internal/runtime-limitation row, not a FlexDATE win/loss. The four FlexDATE-reference topologies (Abilene, CERNET, GEANT, Sprintlink) win both PR and DB.</w:t>
      </w:r>
    </w:p>
    <w:p>
      <w:pPr>
        <w:pBdr>
          <w:left w:val="single" w:color="2E75B6" w:sz="8" w:space="8"/>
        </w:pBdr>
        <w:spacing w:after="50" w:before="50"/>
        <w:ind w:left="540"/>
      </w:pPr>
      <w:r>
        <w:rPr>
          <w:rFonts w:ascii="Arial" w:cs="Arial" w:eastAsia="Arial" w:hAnsi="Arial"/>
          <w:i/>
          <w:iCs/>
          <w:sz w:val="16"/>
          <w:szCs w:val="16"/>
        </w:rPr>
        <w:t xml:space="preserve">Method lock: Clean GNN-LPD-DQN Traffic Engineering. No legacy RF/sticky/finalization. Failure audit PASS (360 cycles). Section 10 preserves the original SDN/Mininet live operational metrics (Table 13); the LP-derived SDN simulation is supplementary (Appendix A).</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1 — Dataset Protocol</w:t>
      </w:r>
    </w:p>
    <w:p>
      <w:pPr>
        <w:pStyle w:val="Heading2"/>
        <w:spacing w:after="70" w:before="160"/>
      </w:pPr>
      <w:r>
        <w:rPr>
          <w:rFonts w:ascii="Arial" w:cs="Arial" w:eastAsia="Arial" w:hAnsi="Arial"/>
          <w:b/>
          <w:bCs/>
          <w:sz w:val="21"/>
          <w:szCs w:val="21"/>
        </w:rPr>
        <w:t xml:space="preserve">Table 1. Dataset Protocol</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400"/>
        <w:gridCol w:w="1400"/>
        <w:gridCol w:w="37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Topology</w:t>
            </w:r>
          </w:p>
        </w:tc>
        <w:tc>
          <w:tcPr>
            <w:tcW w:type="dxa" w:w="1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Role</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Train TMs</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Eval TMs</w:t>
            </w:r>
          </w:p>
        </w:tc>
        <w:tc>
          <w:tcPr>
            <w:tcW w:type="dxa" w:w="37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Window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Seen training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2,016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2,016</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2016–4031</w:t>
            </w:r>
          </w:p>
        </w:tc>
      </w:tr>
      <w:tr>
        <w:tc>
          <w:tcPr>
            <w:tcW w:type="dxa" w:w="2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19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Seen training</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672</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672</w:t>
            </w:r>
          </w:p>
        </w:tc>
        <w:tc>
          <w:tcPr>
            <w:tcW w:type="dxa" w:w="3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672–1343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CERNET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Seen training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200–399</w:t>
            </w:r>
          </w:p>
        </w:tc>
      </w:tr>
      <w:tr>
        <w:tc>
          <w:tcPr>
            <w:tcW w:type="dxa" w:w="2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Sprintlink</w:t>
            </w:r>
          </w:p>
        </w:tc>
        <w:tc>
          <w:tcPr>
            <w:tcW w:type="dxa" w:w="19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Seen training</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3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200–399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Tiscali</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Seen training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200–399</w:t>
            </w:r>
          </w:p>
        </w:tc>
      </w:tr>
      <w:tr>
        <w:tc>
          <w:tcPr>
            <w:tcW w:type="dxa" w:w="2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Ebone</w:t>
            </w:r>
          </w:p>
        </w:tc>
        <w:tc>
          <w:tcPr>
            <w:tcW w:type="dxa" w:w="19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Seen training</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3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200–399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Germany50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Zero-shot eval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288</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0–287</w:t>
            </w:r>
          </w:p>
        </w:tc>
      </w:tr>
      <w:tr>
        <w:tc>
          <w:tcPr>
            <w:tcW w:type="dxa" w:w="2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VtlWavenet2011</w:t>
            </w:r>
          </w:p>
        </w:tc>
        <w:tc>
          <w:tcPr>
            <w:tcW w:type="dxa" w:w="19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Zero-shot eval</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3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0–199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Main comparison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3,288</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 topos</w:t>
            </w:r>
          </w:p>
        </w:tc>
      </w:tr>
      <w:tr>
        <w:tc>
          <w:tcPr>
            <w:tcW w:type="dxa" w:w="2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Full internal</w:t>
            </w:r>
          </w:p>
        </w:tc>
        <w:tc>
          <w:tcPr>
            <w:tcW w:type="dxa" w:w="19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3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All 8 topos</w:t>
            </w:r>
          </w:p>
        </w:tc>
      </w:tr>
    </w:tbl>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2 — Main Comparison Table (N = 3,288)</w:t>
      </w:r>
    </w:p>
    <w:p>
      <w:pPr>
        <w:pBdr>
          <w:left w:val="single" w:color="2E75B6" w:sz="8" w:space="8"/>
        </w:pBdr>
        <w:spacing w:after="50" w:before="50"/>
        <w:ind w:left="540"/>
      </w:pPr>
      <w:r>
        <w:rPr>
          <w:rFonts w:ascii="Arial" w:cs="Arial" w:eastAsia="Arial" w:hAnsi="Arial"/>
          <w:i/>
          <w:iCs/>
          <w:sz w:val="16"/>
          <w:szCs w:val="16"/>
        </w:rPr>
        <w:t xml:space="preserve">Only four topologies (Abilene, CERNET, GEANT, Sprintlink) have a source-locked FlexDATE reference row. Tiscali has NO source-locked FlexDATE reference row, so FlexDATE columns are N.A. and results n/c; reported as internal/runtime-limitation row.</w:t>
      </w:r>
    </w:p>
    <w:p>
      <w:pPr>
        <w:pStyle w:val="Heading2"/>
        <w:spacing w:after="70" w:before="160"/>
      </w:pPr>
      <w:r>
        <w:rPr>
          <w:rFonts w:ascii="Arial" w:cs="Arial" w:eastAsia="Arial" w:hAnsi="Arial"/>
          <w:b/>
          <w:bCs/>
          <w:sz w:val="21"/>
          <w:szCs w:val="21"/>
        </w:rPr>
        <w:t xml:space="preserve">Table 2. Main Comparison Including Tiscali (N = 3,288)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20"/>
        <w:gridCol w:w="760"/>
        <w:gridCol w:w="800"/>
        <w:gridCol w:w="860"/>
        <w:gridCol w:w="560"/>
        <w:gridCol w:w="680"/>
        <w:gridCol w:w="820"/>
        <w:gridCol w:w="560"/>
        <w:gridCol w:w="1920"/>
        <w:gridCol w:w="720"/>
        <w:gridCol w:w="640"/>
        <w:gridCol w:w="640"/>
      </w:tblGrid>
      <w:tr>
        <w:trPr>
          <w:tblHeader/>
          <w:cantSplit/>
        </w:trPr>
        <w:tc>
          <w:tcPr>
            <w:tcW w:type="dxa" w:w="1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Topology</w:t>
            </w:r>
          </w:p>
        </w:tc>
        <w:tc>
          <w:tcPr>
            <w:tcW w:type="dxa" w:w="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Rows</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Our PR</w:t>
            </w:r>
          </w:p>
        </w:tc>
        <w:tc>
          <w:tcPr>
            <w:tcW w:type="dxa" w:w="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FlexDATE PR</w:t>
            </w:r>
          </w:p>
        </w:tc>
        <w:tc>
          <w:tcPr>
            <w:tcW w:type="dxa" w:w="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 Res</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Our DB</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FlexDATE DB</w:t>
            </w:r>
          </w:p>
        </w:tc>
        <w:tc>
          <w:tcPr>
            <w:tcW w:type="dxa" w:w="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DB Res</w:t>
            </w:r>
          </w:p>
        </w:tc>
        <w:tc>
          <w:tcPr>
            <w:tcW w:type="dxa" w:w="19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Overall</w:t>
            </w:r>
          </w:p>
        </w:tc>
        <w:tc>
          <w:tcPr>
            <w:tcW w:type="dxa" w:w="7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PR≥0.95</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Min PR</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r>
      <w:tr>
        <w:trPr>
          <w:cantSplit/>
        </w:trPr>
        <w:tc>
          <w:tcPr>
            <w:tcW w:type="dxa" w:w="1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2,016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99.669%</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95.800%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WIN</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0.613%</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5.130%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WIN</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WIN BOTH</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96.038%</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7.2</w:t>
            </w:r>
          </w:p>
        </w:tc>
      </w:tr>
      <w:tr>
        <w:trPr>
          <w:cantSplit/>
        </w:trPr>
        <w:tc>
          <w:tcPr>
            <w:tcW w:type="dxa" w:w="11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CERNET</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99.420%</w:t>
            </w:r>
          </w:p>
        </w:tc>
        <w:tc>
          <w:tcPr>
            <w:tcW w:type="dxa" w:w="8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97.500%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WIN</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0.321%</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1.830%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WIN</w:t>
            </w:r>
          </w:p>
        </w:tc>
        <w:tc>
          <w:tcPr>
            <w:tcW w:type="dxa" w:w="1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WIN BOTH</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97.721%</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29.0</w:t>
            </w:r>
          </w:p>
        </w:tc>
      </w:tr>
      <w:tr>
        <w:trPr>
          <w:cantSplit/>
        </w:trPr>
        <w:tc>
          <w:tcPr>
            <w:tcW w:type="dxa" w:w="1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672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99.984%</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99.500%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WIN</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0.378%</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2.960%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WIN</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WIN BOTH</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99.621%</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15.3</w:t>
            </w:r>
          </w:p>
        </w:tc>
      </w:tr>
      <w:tr>
        <w:trPr>
          <w:cantSplit/>
        </w:trPr>
        <w:tc>
          <w:tcPr>
            <w:tcW w:type="dxa" w:w="11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Sprintlink</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8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99.900%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WIN</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0.471%</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5.100%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WIN</w:t>
            </w:r>
          </w:p>
        </w:tc>
        <w:tc>
          <w:tcPr>
            <w:tcW w:type="dxa" w:w="1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WIN BOTH</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1,082.2</w:t>
            </w:r>
          </w:p>
        </w:tc>
      </w:tr>
      <w:tr>
        <w:trPr>
          <w:cantSplit/>
        </w:trPr>
        <w:tc>
          <w:tcPr>
            <w:tcW w:type="dxa" w:w="1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Tiscali</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N.A.</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n/c</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0.714%</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N.A.</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n/c</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reported / runtime limitation</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99.950%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9,255.5</w:t>
            </w:r>
          </w:p>
        </w:tc>
      </w:tr>
      <w:tr>
        <w:trPr>
          <w:cantSplit/>
        </w:trPr>
        <w:tc>
          <w:tcPr>
            <w:tcW w:type="dxa" w:w="11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Wtd N=3,288</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3,288</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99.758%</w:t>
            </w:r>
          </w:p>
        </w:tc>
        <w:tc>
          <w:tcPr>
            <w:tcW w:type="dxa" w:w="8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0.544%</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1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4/4 FlexDATE-ref WIN BOTH + Tiscali limitation</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96.038%</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1,252.4</w:t>
            </w:r>
          </w:p>
        </w:tc>
      </w:tr>
    </w:tbl>
    <w:p>
      <w:pPr>
        <w:spacing w:after="70" w:before="30"/>
        <w:ind w:left="300"/>
      </w:pPr>
      <w:r>
        <w:rPr>
          <w:rFonts w:ascii="Arial" w:cs="Arial" w:eastAsia="Arial" w:hAnsi="Arial"/>
          <w:b/>
          <w:bCs/>
          <w:sz w:val="15"/>
          <w:szCs w:val="15"/>
        </w:rPr>
        <w:t xml:space="preserve">Note: </w:t>
      </w:r>
      <w:r>
        <w:rPr>
          <w:rFonts w:ascii="Arial" w:cs="Arial" w:eastAsia="Arial" w:hAnsi="Arial"/>
          <w:i/>
          <w:iCs/>
          <w:sz w:val="15"/>
          <w:szCs w:val="15"/>
        </w:rPr>
        <w:t xml:space="preserve">Tiscali has no source-locked FlexDATE reference; FlexDATE PR/DB = N.A., results n/c. The four FlexDATE-reference topologies win both PR and DB. Tiscali PR=100.000%, DB=0.714% are internal results; runtime (81.5% full-OD fallback) is an honestly disclosed limitation.</w:t>
      </w:r>
    </w:p>
    <w:p>
      <w:pPr>
        <w:jc w:val="center"/>
      </w:pPr>
      <w:r>
        <w:drawing>
          <wp:inline distT="0" distB="0" distL="0" distR="0">
            <wp:extent cx="6286500" cy="3619500"/>
            <wp:effectExtent t="0" r="0" b="0" l="0"/>
            <wp:docPr id="1" name="Figure 1. PR CDF — N=3,288 main comparison subset, zoomed 95–100%." descr="Figure 1. PR CDF — N=3,288 main comparison subset, zoomed 95–100%." title="Figure 1. PR CDF — N=3,288 main comparison subset, zoomed 9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619500"/>
                    </a:xfrm>
                    <a:prstGeom prst="rect">
                      <a:avLst/>
                    </a:prstGeom>
                  </pic:spPr>
                </pic:pic>
              </a:graphicData>
            </a:graphic>
          </wp:inline>
        </w:drawing>
      </w:r>
    </w:p>
    <w:p>
      <w:pPr>
        <w:spacing w:after="90"/>
        <w:jc w:val="center"/>
      </w:pPr>
      <w:r>
        <w:rPr>
          <w:rFonts w:ascii="Arial" w:cs="Arial" w:eastAsia="Arial" w:hAnsi="Arial"/>
          <w:i/>
          <w:iCs/>
          <w:sz w:val="15"/>
          <w:szCs w:val="15"/>
        </w:rPr>
        <w:t xml:space="preserve">Figure 1. PR CDF — N=3,288 main comparison subset, zoomed 95–100%.</w:t>
      </w:r>
    </w:p>
    <w:p>
      <w:pPr>
        <w:jc w:val="center"/>
      </w:pPr>
      <w:r>
        <w:drawing>
          <wp:inline distT="0" distB="0" distL="0" distR="0">
            <wp:extent cx="5905500" cy="3333750"/>
            <wp:effectExtent t="0" r="0" b="0" l="0"/>
            <wp:docPr id="1" name="Figure 2. DB CDF — N=3,288 main comparison subset." descr="Figure 2. DB CDF — N=3,288 main comparison subset." title="Figure 2. DB CDF — N=3,288 main comparison sub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33750"/>
                    </a:xfrm>
                    <a:prstGeom prst="rect">
                      <a:avLst/>
                    </a:prstGeom>
                  </pic:spPr>
                </pic:pic>
              </a:graphicData>
            </a:graphic>
          </wp:inline>
        </w:drawing>
      </w:r>
    </w:p>
    <w:p>
      <w:pPr>
        <w:spacing w:after="90"/>
        <w:jc w:val="center"/>
      </w:pPr>
      <w:r>
        <w:rPr>
          <w:rFonts w:ascii="Arial" w:cs="Arial" w:eastAsia="Arial" w:hAnsi="Arial"/>
          <w:i/>
          <w:iCs/>
          <w:sz w:val="15"/>
          <w:szCs w:val="15"/>
        </w:rPr>
        <w:t xml:space="preserve">Figure 2. DB CDF — N=3,288 main comparison subset.</w:t>
      </w:r>
    </w:p>
    <w:p>
      <w:pPr>
        <w:jc w:val="center"/>
      </w:pPr>
      <w:r>
        <w:drawing>
          <wp:inline distT="0" distB="0" distL="0" distR="0">
            <wp:extent cx="6858000" cy="3905250"/>
            <wp:effectExtent t="0" r="0" b="0" l="0"/>
            <wp:docPr id="1" name="Figure 3. Decision-time CDF — N=3,288." descr="Figure 3. Decision-time CDF — N=3,288." title="Figure 3. Decision-time CDF — N=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0" cy="3905250"/>
                    </a:xfrm>
                    <a:prstGeom prst="rect">
                      <a:avLst/>
                    </a:prstGeom>
                  </pic:spPr>
                </pic:pic>
              </a:graphicData>
            </a:graphic>
          </wp:inline>
        </w:drawing>
      </w:r>
    </w:p>
    <w:p>
      <w:pPr>
        <w:spacing w:after="90"/>
        <w:jc w:val="center"/>
      </w:pPr>
      <w:r>
        <w:rPr>
          <w:rFonts w:ascii="Arial" w:cs="Arial" w:eastAsia="Arial" w:hAnsi="Arial"/>
          <w:i/>
          <w:iCs/>
          <w:sz w:val="15"/>
          <w:szCs w:val="15"/>
        </w:rPr>
        <w:t xml:space="preserve">Figure 3. Decision-time CDF — N=3,288.</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3 — Final-Method Summary (N = 3,288)</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840"/>
        <w:gridCol w:w="640"/>
        <w:gridCol w:w="720"/>
        <w:gridCol w:w="720"/>
        <w:gridCol w:w="700"/>
        <w:gridCol w:w="760"/>
        <w:gridCol w:w="820"/>
        <w:gridCol w:w="560"/>
        <w:gridCol w:w="9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Topology</w:t>
            </w:r>
          </w:p>
        </w:tc>
        <w:tc>
          <w:tcPr>
            <w:tcW w:type="dxa" w:w="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8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PR</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PR≥0.95</w:t>
            </w:r>
          </w:p>
        </w:tc>
        <w:tc>
          <w:tcPr>
            <w:tcW w:type="dxa" w:w="7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Min PR</w:t>
            </w:r>
          </w:p>
        </w:tc>
        <w:tc>
          <w:tcPr>
            <w:tcW w:type="dxa" w:w="7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DB</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DB</w:t>
            </w:r>
          </w:p>
        </w:tc>
        <w:tc>
          <w:tcPr>
            <w:tcW w:type="dxa" w:w="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c>
          <w:tcPr>
            <w:tcW w:type="dxa" w:w="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FO%</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Scope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2,016</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99.669%</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96.038%</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0.613%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1.111%</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7.1</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7.2</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Main</w:t>
            </w:r>
          </w:p>
        </w:tc>
      </w:tr>
      <w:tr>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CERNET</w:t>
            </w:r>
          </w:p>
        </w:tc>
        <w:tc>
          <w:tcPr>
            <w:tcW w:type="dxa" w:w="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99.420%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97.721%</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0.321%</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0.184%</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23.3</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29.0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w:t>
            </w:r>
          </w:p>
        </w:tc>
        <w:tc>
          <w:tcPr>
            <w:tcW w:type="dxa" w:w="9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Main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672</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99.984%</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99.621%</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0.378%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0.750%</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18.9</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15.3</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Main</w:t>
            </w:r>
          </w:p>
        </w:tc>
      </w:tr>
      <w:tr>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Sprintlink</w:t>
            </w:r>
          </w:p>
        </w:tc>
        <w:tc>
          <w:tcPr>
            <w:tcW w:type="dxa" w:w="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0.471%</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0.290%</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155.5</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1,082.2</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11.5%</w:t>
            </w:r>
          </w:p>
        </w:tc>
        <w:tc>
          <w:tcPr>
            <w:tcW w:type="dxa" w:w="9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Main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Tiscali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99.950%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0.714%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1.212%</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4,340.4</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9,255.5</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Limitation</w:t>
            </w:r>
          </w:p>
        </w:tc>
      </w:tr>
      <w:tr>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Wtd N=3,288</w:t>
            </w:r>
          </w:p>
        </w:tc>
        <w:tc>
          <w:tcPr>
            <w:tcW w:type="dxa" w:w="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3,288</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99.758%</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96.038%</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0.544%</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283.1</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1,252.4</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7.8%</w:t>
            </w:r>
          </w:p>
        </w:tc>
        <w:tc>
          <w:tcPr>
            <w:tcW w:type="dxa" w:w="9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Pooled</w:t>
            </w:r>
          </w:p>
        </w:tc>
      </w:tr>
    </w:tbl>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4 — Full Internal Evaluation (N = 3,976)</w:t>
      </w:r>
    </w:p>
    <w:tbl>
      <w:tblPr>
        <w:tblW w:type="dxa" w:w="7780"/>
        <w:tblBorders>
          <w:top w:val="single" w:color="auto" w:sz="4"/>
          <w:left w:val="single" w:color="auto" w:sz="4"/>
          <w:bottom w:val="single" w:color="auto" w:sz="4"/>
          <w:right w:val="single" w:color="auto" w:sz="4"/>
          <w:insideH w:val="single" w:color="auto" w:sz="4"/>
          <w:insideV w:val="single" w:color="auto" w:sz="4"/>
        </w:tblBorders>
      </w:tblPr>
      <w:tblGrid>
        <w:gridCol w:w="1500"/>
        <w:gridCol w:w="500"/>
        <w:gridCol w:w="840"/>
        <w:gridCol w:w="600"/>
        <w:gridCol w:w="720"/>
        <w:gridCol w:w="700"/>
        <w:gridCol w:w="700"/>
        <w:gridCol w:w="760"/>
        <w:gridCol w:w="800"/>
        <w:gridCol w:w="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Topology</w:t>
            </w:r>
          </w:p>
        </w:tc>
        <w:tc>
          <w:tcPr>
            <w:tcW w:type="dxa" w:w="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8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PR</w:t>
            </w:r>
          </w:p>
        </w:tc>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PR≥0.95</w:t>
            </w:r>
          </w:p>
        </w:tc>
        <w:tc>
          <w:tcPr>
            <w:tcW w:type="dxa" w:w="7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Min PR</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DB</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DB</w:t>
            </w:r>
          </w:p>
        </w:tc>
        <w:tc>
          <w:tcPr>
            <w:tcW w:type="dxa" w:w="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c>
          <w:tcPr>
            <w:tcW w:type="dxa" w:w="6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2,016</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99.669%</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96.038%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0.613%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1.111%</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7.2</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2.3%</w:t>
            </w:r>
          </w:p>
        </w:tc>
      </w:tr>
      <w:tr>
        <w:tc>
          <w:tcPr>
            <w:tcW w:type="dxa" w:w="1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CERNET</w:t>
            </w:r>
          </w:p>
        </w:tc>
        <w:tc>
          <w:tcPr>
            <w:tcW w:type="dxa" w:w="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99.420%</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97.721%</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0.321%</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0.184%</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23.3</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29.0</w:t>
            </w:r>
          </w:p>
        </w:tc>
        <w:tc>
          <w:tcPr>
            <w:tcW w:type="dxa" w:w="6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Ebone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0.125%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0.193%</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14.2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14.9</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w:t>
            </w:r>
          </w:p>
        </w:tc>
      </w:tr>
      <w:tr>
        <w:tc>
          <w:tcPr>
            <w:tcW w:type="dxa" w:w="1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672</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99.984%</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99.621%</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0.378%</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0.750%</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18.9</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15.3</w:t>
            </w:r>
          </w:p>
        </w:tc>
        <w:tc>
          <w:tcPr>
            <w:tcW w:type="dxa" w:w="6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Germany50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288</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99.814%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95.483%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1.061%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1.823%</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73.7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426.7</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5.9%</w:t>
            </w:r>
          </w:p>
        </w:tc>
      </w:tr>
      <w:tr>
        <w:tc>
          <w:tcPr>
            <w:tcW w:type="dxa" w:w="1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Sprintlink</w:t>
            </w:r>
          </w:p>
        </w:tc>
        <w:tc>
          <w:tcPr>
            <w:tcW w:type="dxa" w:w="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0.471%</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0.290%</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155.5</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1,082.2</w:t>
            </w:r>
          </w:p>
        </w:tc>
        <w:tc>
          <w:tcPr>
            <w:tcW w:type="dxa" w:w="6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11.5%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Tiscali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0.714%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1.212%</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4,340.4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9,255.5</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81.5%</w:t>
            </w:r>
          </w:p>
        </w:tc>
      </w:tr>
      <w:tr>
        <w:tc>
          <w:tcPr>
            <w:tcW w:type="dxa" w:w="1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VtlWavenet2011</w:t>
            </w:r>
          </w:p>
        </w:tc>
        <w:tc>
          <w:tcPr>
            <w:tcW w:type="dxa" w:w="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99.134%</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98.818%</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0.230%</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0.082%</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128.3</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120.8</w:t>
            </w:r>
          </w:p>
        </w:tc>
        <w:tc>
          <w:tcPr>
            <w:tcW w:type="dxa" w:w="6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All N=3,976</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99.743%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95.483%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0.545%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246.6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657.2</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6.9%</w:t>
            </w:r>
          </w:p>
        </w:tc>
      </w:tr>
    </w:tbl>
    <w:p>
      <w:pPr>
        <w:spacing w:after="70" w:before="30"/>
        <w:ind w:left="300"/>
      </w:pPr>
      <w:r>
        <w:rPr>
          <w:rFonts w:ascii="Arial" w:cs="Arial" w:eastAsia="Arial" w:hAnsi="Arial"/>
          <w:b/>
          <w:bCs/>
          <w:sz w:val="15"/>
          <w:szCs w:val="15"/>
        </w:rPr>
        <w:t xml:space="preserve">Note: </w:t>
      </w:r>
      <w:r>
        <w:rPr>
          <w:rFonts w:ascii="Arial" w:cs="Arial" w:eastAsia="Arial" w:hAnsi="Arial"/>
          <w:i/>
          <w:iCs/>
          <w:sz w:val="15"/>
          <w:szCs w:val="15"/>
        </w:rPr>
        <w:t xml:space="preserve">Max DB values reflect rare per-cycle outliers; headline DB stability assessed using mean and P95.</w:t>
      </w:r>
    </w:p>
    <w:p>
      <w:pPr>
        <w:jc w:val="center"/>
      </w:pPr>
      <w:r>
        <w:drawing>
          <wp:inline distT="0" distB="0" distL="0" distR="0">
            <wp:extent cx="5905500" cy="3143250"/>
            <wp:effectExtent t="0" r="0" b="0" l="0"/>
            <wp:docPr id="1" name="Figure 4. Mean PR by topology — N=3,288." descr="Figure 4. Mean PR by topology — N=3,288." title="Figure 4. Mean PR by topology — N=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43250"/>
                    </a:xfrm>
                    <a:prstGeom prst="rect">
                      <a:avLst/>
                    </a:prstGeom>
                  </pic:spPr>
                </pic:pic>
              </a:graphicData>
            </a:graphic>
          </wp:inline>
        </w:drawing>
      </w:r>
    </w:p>
    <w:p>
      <w:pPr>
        <w:spacing w:after="90"/>
        <w:jc w:val="center"/>
      </w:pPr>
      <w:r>
        <w:rPr>
          <w:rFonts w:ascii="Arial" w:cs="Arial" w:eastAsia="Arial" w:hAnsi="Arial"/>
          <w:i/>
          <w:iCs/>
          <w:sz w:val="15"/>
          <w:szCs w:val="15"/>
        </w:rPr>
        <w:t xml:space="preserve">Figure 4. Mean PR by topology — N=3,288.</w:t>
      </w:r>
    </w:p>
    <w:p>
      <w:pPr>
        <w:jc w:val="center"/>
      </w:pPr>
      <w:r>
        <w:drawing>
          <wp:inline distT="0" distB="0" distL="0" distR="0">
            <wp:extent cx="5905500" cy="3143250"/>
            <wp:effectExtent t="0" r="0" b="0" l="0"/>
            <wp:docPr id="1" name="Figure 5. Mean DB by topology — N=3,288." descr="Figure 5. Mean DB by topology — N=3,288." title="Figure 5. Mean DB by topology — N=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43250"/>
                    </a:xfrm>
                    <a:prstGeom prst="rect">
                      <a:avLst/>
                    </a:prstGeom>
                  </pic:spPr>
                </pic:pic>
              </a:graphicData>
            </a:graphic>
          </wp:inline>
        </w:drawing>
      </w:r>
    </w:p>
    <w:p>
      <w:pPr>
        <w:spacing w:after="90"/>
        <w:jc w:val="center"/>
      </w:pPr>
      <w:r>
        <w:rPr>
          <w:rFonts w:ascii="Arial" w:cs="Arial" w:eastAsia="Arial" w:hAnsi="Arial"/>
          <w:i/>
          <w:iCs/>
          <w:sz w:val="15"/>
          <w:szCs w:val="15"/>
        </w:rPr>
        <w:t xml:space="preserve">Figure 5. Mean DB by topology — N=3,288.</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5 — Internal Baselines, K-Sensitivity, and Final-Method Contrast</w:t>
      </w:r>
    </w:p>
    <w:p>
      <w:r>
        <w:rPr>
          <w:rFonts w:ascii="Arial" w:cs="Arial" w:eastAsia="Arial" w:hAnsi="Arial"/>
          <w:sz w:val="18"/>
          <w:szCs w:val="18"/>
        </w:rPr>
        <w:t xml:space="preserve">Historical baselines (ECMP, OSPF, Top-K, Bottleneck, GNN-only, LPD-only, legacy Reward-Gated GNN-LPD) were not regenerated in this clean run and are not mixed into the final clean-method claim.</w:t>
      </w:r>
    </w:p>
    <w:p>
      <w:pPr>
        <w:pStyle w:val="Heading2"/>
        <w:spacing w:after="70" w:before="160"/>
      </w:pPr>
      <w:r>
        <w:rPr>
          <w:rFonts w:ascii="Arial" w:cs="Arial" w:eastAsia="Arial" w:hAnsi="Arial"/>
          <w:b/>
          <w:bCs/>
          <w:sz w:val="21"/>
          <w:szCs w:val="21"/>
        </w:rPr>
        <w:t xml:space="preserve">Table 5. Internal baseline / final clean method (N = 3,976)</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000"/>
        <w:gridCol w:w="680"/>
        <w:gridCol w:w="800"/>
        <w:gridCol w:w="780"/>
        <w:gridCol w:w="700"/>
        <w:gridCol w:w="700"/>
        <w:gridCol w:w="700"/>
        <w:gridCol w:w="70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Method</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PR</w:t>
            </w:r>
          </w:p>
        </w:tc>
        <w:tc>
          <w:tcPr>
            <w:tcW w:type="dxa" w:w="7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PR≥0.95</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DB</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DB</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5"/>
                <w:szCs w:val="15"/>
              </w:rPr>
              <w:t xml:space="preserve">Clean GNN-LPD-DQN selected-flow DB-budgeted LP (final)</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5"/>
                <w:szCs w:val="15"/>
              </w:rPr>
              <w:t xml:space="preserve">3,976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5"/>
                <w:szCs w:val="15"/>
              </w:rPr>
              <w:t xml:space="preserve">99.743%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5"/>
                <w:szCs w:val="15"/>
              </w:rPr>
              <w:t xml:space="preserve">100.000%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5"/>
                <w:szCs w:val="15"/>
              </w:rPr>
              <w:t xml:space="preserve">0.545%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5"/>
                <w:szCs w:val="15"/>
              </w:rPr>
              <w:t xml:space="preserve">1.000%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5"/>
                <w:szCs w:val="15"/>
              </w:rPr>
              <w:t xml:space="preserve">246.6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5"/>
                <w:szCs w:val="15"/>
              </w:rPr>
              <w:t xml:space="preserve">657.2</w:t>
            </w:r>
          </w:p>
        </w:tc>
      </w:tr>
    </w:tbl>
    <w:p>
      <w:pPr>
        <w:spacing w:after="50" w:before="50"/>
      </w:pPr>
      <w:r>
        <w:rPr>
          <w:rFonts w:ascii="Arial" w:cs="Arial" w:eastAsia="Arial" w:hAnsi="Arial"/>
          <w:sz w:val="18"/>
          <w:szCs w:val="18"/>
        </w:rPr>
        <w:t xml:space="preserve"/>
      </w:r>
    </w:p>
    <w:p>
      <w:r>
        <w:rPr>
          <w:rFonts w:ascii="Arial" w:cs="Arial" w:eastAsia="Arial" w:hAnsi="Arial"/>
          <w:sz w:val="18"/>
          <w:szCs w:val="18"/>
        </w:rPr>
        <w:t xml:space="preserve">Tables 6 and 7 retain the original fixed-K GNN+LPD sensitivity rows for context, but the final-method row is updated to the current clean GNN-LPD-DQN method evaluated on the full N=3,976 protocol. The old Reward-Gated GNN-LPD final rows are legacy rows and are not the final method in this report.</w:t>
      </w:r>
    </w:p>
    <w:p>
      <w:pPr>
        <w:pStyle w:val="Heading2"/>
        <w:spacing w:after="70" w:before="160"/>
      </w:pPr>
      <w:r>
        <w:rPr>
          <w:rFonts w:ascii="Arial" w:cs="Arial" w:eastAsia="Arial" w:hAnsi="Arial"/>
          <w:b/>
          <w:bCs/>
          <w:sz w:val="21"/>
          <w:szCs w:val="21"/>
        </w:rPr>
        <w:t xml:space="preserve">Table 6. Internal K-sensitivity rows (N=3976; not direct FlexDATE claim)</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400"/>
        <w:gridCol w:w="720"/>
        <w:gridCol w:w="820"/>
        <w:gridCol w:w="820"/>
        <w:gridCol w:w="820"/>
        <w:gridCol w:w="820"/>
        <w:gridCol w:w="820"/>
        <w:gridCol w:w="640"/>
        <w:gridCol w:w="640"/>
      </w:tblGrid>
      <w:tr>
        <w:trPr>
          <w:tblHeader/>
        </w:trPr>
        <w:tc>
          <w:tcPr>
            <w:tcW w:type="dxa" w:w="4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Method/Budget</w:t>
            </w:r>
          </w:p>
        </w:tc>
        <w:tc>
          <w:tcPr>
            <w:tcW w:type="dxa" w:w="7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PR</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PR≥0.90</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PR≥0.95</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DB</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DB</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r>
      <w:tr>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GNN+LPD fixed K10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87.222%</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53.295%</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39.336%</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10.928%</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29.134%</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64.2</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424.5</w:t>
            </w:r>
          </w:p>
        </w:tc>
      </w:tr>
      <w:tr>
        <w:tc>
          <w:tcPr>
            <w:tcW w:type="dxa" w:w="4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GNN+LPD fixed K20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94.294%</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81.665%</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65.116%</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14.284%</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36.248%</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68.0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457.5</w:t>
            </w:r>
          </w:p>
        </w:tc>
      </w:tr>
      <w:tr>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GNN+LPD fixed K30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98.377%</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97.485%</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92.178%</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18.488%</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48.224%</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73.7</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422.2</w:t>
            </w:r>
          </w:p>
        </w:tc>
      </w:tr>
      <w:tr>
        <w:tc>
          <w:tcPr>
            <w:tcW w:type="dxa" w:w="4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GNN+LPD fixed K40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99.075%</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99.346%</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95.020%</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20.529%</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52.123%</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144.6</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604.8</w:t>
            </w:r>
          </w:p>
        </w:tc>
      </w:tr>
      <w:tr>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GNN+LPD fixed K50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99.310%</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99.774%</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95.674%</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22.987%</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52.244%</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74.6</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406.9</w:t>
            </w:r>
          </w:p>
        </w:tc>
      </w:tr>
      <w:tr>
        <w:tc>
          <w:tcPr>
            <w:tcW w:type="dxa" w:w="4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Clean GNN-LPD-DQN Traffic Engineering (final clean method, adaptive DQN K30/K40/K50, no sticky/RF/Stage-2)</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3976</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99.743%</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100.000%</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100.000%</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0.545%</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1.000%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246.6</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657.2</w:t>
            </w:r>
          </w:p>
        </w:tc>
      </w:tr>
    </w:tbl>
    <w:p>
      <w:pPr>
        <w:pStyle w:val="Heading2"/>
        <w:spacing w:after="70" w:before="160"/>
      </w:pPr>
      <w:r>
        <w:rPr>
          <w:rFonts w:ascii="Arial" w:cs="Arial" w:eastAsia="Arial" w:hAnsi="Arial"/>
          <w:b/>
          <w:bCs/>
          <w:sz w:val="21"/>
          <w:szCs w:val="21"/>
        </w:rPr>
        <w:t xml:space="preserve">Table 7. Gate/final-method contrast with scope separated</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400"/>
        <w:gridCol w:w="720"/>
        <w:gridCol w:w="820"/>
        <w:gridCol w:w="820"/>
        <w:gridCol w:w="820"/>
        <w:gridCol w:w="820"/>
        <w:gridCol w:w="820"/>
        <w:gridCol w:w="640"/>
        <w:gridCol w:w="640"/>
      </w:tblGrid>
      <w:tr>
        <w:trPr>
          <w:tblHeader/>
        </w:trPr>
        <w:tc>
          <w:tcPr>
            <w:tcW w:type="dxa" w:w="4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Method/Budget</w:t>
            </w:r>
          </w:p>
        </w:tc>
        <w:tc>
          <w:tcPr>
            <w:tcW w:type="dxa" w:w="7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PR</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PR≥0.90</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PR≥0.95</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DB</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DB</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r>
      <w:tr>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GNN+LPD fixed K30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98.377%</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97.485%</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92.178%</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18.488%</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48.224%</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73.7</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422.2</w:t>
            </w:r>
          </w:p>
        </w:tc>
      </w:tr>
      <w:tr>
        <w:tc>
          <w:tcPr>
            <w:tcW w:type="dxa" w:w="4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GNN+LPD fixed K40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99.075%</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99.346%</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95.020%</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20.529%</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52.123%</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144.6</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604.8</w:t>
            </w:r>
          </w:p>
        </w:tc>
      </w:tr>
      <w:tr>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GNN+LPD fixed K50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99.310%</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99.774%</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95.674%</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22.987%</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52.244%</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74.6</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406.9</w:t>
            </w:r>
          </w:p>
        </w:tc>
      </w:tr>
      <w:tr>
        <w:tc>
          <w:tcPr>
            <w:tcW w:type="dxa" w:w="4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Clean GNN-LPD-DQN Traffic Engineering (final clean method)</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3976</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99.743%</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100.000%</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100.000%</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0.545%</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1.000%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246.6</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657.2</w:t>
            </w:r>
          </w:p>
        </w:tc>
      </w:tr>
    </w:tbl>
    <w:p>
      <w:pPr>
        <w:spacing w:after="70" w:before="30"/>
        <w:ind w:left="300"/>
      </w:pPr>
      <w:r>
        <w:rPr>
          <w:rFonts w:ascii="Arial" w:cs="Arial" w:eastAsia="Arial" w:hAnsi="Arial"/>
          <w:b/>
          <w:bCs/>
          <w:sz w:val="15"/>
          <w:szCs w:val="15"/>
        </w:rPr>
        <w:t xml:space="preserve">Note: </w:t>
      </w:r>
      <w:r>
        <w:rPr>
          <w:rFonts w:ascii="Arial" w:cs="Arial" w:eastAsia="Arial" w:hAnsi="Arial"/>
          <w:i/>
          <w:iCs/>
          <w:sz w:val="15"/>
          <w:szCs w:val="15"/>
        </w:rPr>
        <w:t xml:space="preserve">The final-method row in Tables 6 and 7 is Clean GNN-LPD-DQN Traffic Engineering. Legacy Reward-Gated GNN-LPD final rows appear only in Appendix B (historical legacy) and are not the final method.</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6 — Clean DQN Policy</w:t>
      </w:r>
    </w:p>
    <w:p>
      <w:pPr>
        <w:pStyle w:val="Heading2"/>
        <w:spacing w:after="70" w:before="160"/>
      </w:pPr>
      <w:r>
        <w:rPr>
          <w:rFonts w:ascii="Arial" w:cs="Arial" w:eastAsia="Arial" w:hAnsi="Arial"/>
          <w:b/>
          <w:bCs/>
          <w:sz w:val="21"/>
          <w:szCs w:val="21"/>
        </w:rPr>
        <w:t xml:space="preserve">Table 8. Observed DQN Action Distribution (N = 3,976)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00"/>
      </w:tblGrid>
      <w:tr>
        <w:trPr>
          <w:tblHeader/>
        </w:trPr>
        <w:tc>
          <w:tcPr>
            <w:tcW w:type="dxa" w:w="5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Action</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Count</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Share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OPTIMIZE_K30_DB_0.01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3,269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82.2%</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OPTIMIZE_K40_DB_0.03</w:t>
            </w:r>
          </w:p>
        </w:tc>
        <w:tc>
          <w:tcPr>
            <w:tcW w:type="dxa" w:w="2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405</w:t>
            </w:r>
          </w:p>
        </w:tc>
        <w:tc>
          <w:tcPr>
            <w:tcW w:type="dxa" w:w="2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10.2%</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OPTIMIZE_K30_DB_0.03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193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4.9%</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KEEP_PREVIOUS_ROUTING</w:t>
            </w:r>
          </w:p>
        </w:tc>
        <w:tc>
          <w:tcPr>
            <w:tcW w:type="dxa" w:w="2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97</w:t>
            </w:r>
          </w:p>
        </w:tc>
        <w:tc>
          <w:tcPr>
            <w:tcW w:type="dxa" w:w="2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2.4%</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OPTIMIZE_K40_DB_0.01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0.3%</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K50 / FULL_OD (DQN-selected)</w:t>
            </w:r>
          </w:p>
        </w:tc>
        <w:tc>
          <w:tcPr>
            <w:tcW w:type="dxa" w:w="2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2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Total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r>
    </w:tbl>
    <w:p>
      <w:pPr>
        <w:jc w:val="center"/>
      </w:pPr>
      <w:r>
        <w:drawing>
          <wp:inline distT="0" distB="0" distL="0" distR="0">
            <wp:extent cx="6286500" cy="3524250"/>
            <wp:effectExtent t="0" r="0" b="0" l="0"/>
            <wp:docPr id="1" name="Figure 8. DQN action distribution — N=3,976." descr="Figure 8. DQN action distribution — N=3,976." title="Figure 8. DQN action distribution — N=3,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3524250"/>
                    </a:xfrm>
                    <a:prstGeom prst="rect">
                      <a:avLst/>
                    </a:prstGeom>
                  </pic:spPr>
                </pic:pic>
              </a:graphicData>
            </a:graphic>
          </wp:inline>
        </w:drawing>
      </w:r>
    </w:p>
    <w:p>
      <w:pPr>
        <w:spacing w:after="90"/>
        <w:jc w:val="center"/>
      </w:pPr>
      <w:r>
        <w:rPr>
          <w:rFonts w:ascii="Arial" w:cs="Arial" w:eastAsia="Arial" w:hAnsi="Arial"/>
          <w:i/>
          <w:iCs/>
          <w:sz w:val="15"/>
          <w:szCs w:val="15"/>
        </w:rPr>
        <w:t xml:space="preserve">Figure 8. DQN action distribution — N=3,976.</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7 — Decision-Time Analysis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480"/>
        <w:gridCol w:w="700"/>
        <w:gridCol w:w="800"/>
        <w:gridCol w:w="780"/>
        <w:gridCol w:w="560"/>
        <w:gridCol w:w="700"/>
        <w:gridCol w:w="288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Topology</w:t>
            </w:r>
          </w:p>
        </w:tc>
        <w:tc>
          <w:tcPr>
            <w:tcW w:type="dxa" w:w="4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c>
          <w:tcPr>
            <w:tcW w:type="dxa" w:w="7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Max ms</w:t>
            </w:r>
          </w:p>
        </w:tc>
        <w:tc>
          <w:tcPr>
            <w:tcW w:type="dxa" w:w="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FO%</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sel-OD</w:t>
            </w:r>
          </w:p>
        </w:tc>
        <w:tc>
          <w:tcPr>
            <w:tcW w:type="dxa" w:w="28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Runtime note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2,016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189.7</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32.0</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Fast selected-flow regime</w:t>
            </w:r>
          </w:p>
        </w:tc>
      </w:tr>
      <w:tr>
        <w:tc>
          <w:tcPr>
            <w:tcW w:type="dxa" w:w="1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CERNET</w:t>
            </w:r>
          </w:p>
        </w:tc>
        <w:tc>
          <w:tcPr>
            <w:tcW w:type="dxa" w:w="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23.3</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29.0</w:t>
            </w:r>
          </w:p>
        </w:tc>
        <w:tc>
          <w:tcPr>
            <w:tcW w:type="dxa" w:w="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656.8</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43.5</w:t>
            </w:r>
          </w:p>
        </w:tc>
        <w:tc>
          <w:tcPr>
            <w:tcW w:type="dxa" w:w="28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Fast selected-flow regime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672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340.7</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42.6</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Fast selected-flow regime</w:t>
            </w:r>
          </w:p>
        </w:tc>
      </w:tr>
      <w:tr>
        <w:tc>
          <w:tcPr>
            <w:tcW w:type="dxa" w:w="1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Sprintlink</w:t>
            </w:r>
          </w:p>
        </w:tc>
        <w:tc>
          <w:tcPr>
            <w:tcW w:type="dxa" w:w="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155.5</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1,082.2</w:t>
            </w:r>
          </w:p>
        </w:tc>
        <w:tc>
          <w:tcPr>
            <w:tcW w:type="dxa" w:w="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2,113.7</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11.5%</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244.8</w:t>
            </w:r>
          </w:p>
        </w:tc>
        <w:tc>
          <w:tcPr>
            <w:tcW w:type="dxa" w:w="28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Mean&lt;500ms; P95 affected by fallback</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Tiscali</w:t>
            </w:r>
          </w:p>
        </w:tc>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4,340.4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9,255.5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10,842.5</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81.5%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1,923.9</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Runtime limitation — fallback-heavy</w:t>
            </w:r>
          </w:p>
        </w:tc>
      </w:tr>
      <w:tr>
        <w:tc>
          <w:tcPr>
            <w:tcW w:type="dxa" w:w="1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Ebone</w:t>
            </w:r>
          </w:p>
        </w:tc>
        <w:tc>
          <w:tcPr>
            <w:tcW w:type="dxa" w:w="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14.2</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14.9</w:t>
            </w:r>
          </w:p>
        </w:tc>
        <w:tc>
          <w:tcPr>
            <w:tcW w:type="dxa" w:w="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16.0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30.0</w:t>
            </w:r>
          </w:p>
        </w:tc>
        <w:tc>
          <w:tcPr>
            <w:tcW w:type="dxa" w:w="28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Fast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Germany50</w:t>
            </w:r>
          </w:p>
        </w:tc>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288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73.7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426.7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1,415.8</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108.3</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Mean/P95 &lt;500ms except rare fallback</w:t>
            </w:r>
          </w:p>
        </w:tc>
      </w:tr>
      <w:tr>
        <w:tc>
          <w:tcPr>
            <w:tcW w:type="dxa" w:w="1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VtlWavenet2011</w:t>
            </w:r>
          </w:p>
        </w:tc>
        <w:tc>
          <w:tcPr>
            <w:tcW w:type="dxa" w:w="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128.3</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120.8</w:t>
            </w:r>
          </w:p>
        </w:tc>
        <w:tc>
          <w:tcPr>
            <w:tcW w:type="dxa" w:w="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1,881.6</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0.5%</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71.7</w:t>
            </w:r>
          </w:p>
        </w:tc>
        <w:tc>
          <w:tcPr>
            <w:tcW w:type="dxa" w:w="28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Mostly selected-flow</w:t>
            </w:r>
          </w:p>
        </w:tc>
      </w:tr>
    </w:tbl>
    <w:p>
      <w:pPr>
        <w:spacing w:after="70" w:before="30"/>
        <w:ind w:left="300"/>
      </w:pPr>
      <w:r>
        <w:rPr>
          <w:rFonts w:ascii="Arial" w:cs="Arial" w:eastAsia="Arial" w:hAnsi="Arial"/>
          <w:b/>
          <w:bCs/>
          <w:sz w:val="15"/>
          <w:szCs w:val="15"/>
        </w:rPr>
        <w:t xml:space="preserve">Note: </w:t>
      </w:r>
      <w:r>
        <w:rPr>
          <w:rFonts w:ascii="Arial" w:cs="Arial" w:eastAsia="Arial" w:hAnsi="Arial"/>
          <w:i/>
          <w:iCs/>
          <w:sz w:val="15"/>
          <w:szCs w:val="15"/>
        </w:rPr>
        <w:t xml:space="preserve">4/5 main comparison topologies mean&lt;500 ms. 3/5 P95&lt;500 ms. Tiscali limitation honestly disclosed.</w:t>
      </w:r>
    </w:p>
    <w:p>
      <w:pPr>
        <w:jc w:val="center"/>
      </w:pPr>
      <w:r>
        <w:drawing>
          <wp:inline distT="0" distB="0" distL="0" distR="0">
            <wp:extent cx="5905500" cy="3143250"/>
            <wp:effectExtent t="0" r="0" b="0" l="0"/>
            <wp:docPr id="1" name="Figure 6. P95 decision time by topology — N=3,288 (log scale)." descr="Figure 6. P95 decision time by topology — N=3,288 (log scale)." title="Figure 6. P95 decision time by topology — N=3,288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143250"/>
                    </a:xfrm>
                    <a:prstGeom prst="rect">
                      <a:avLst/>
                    </a:prstGeom>
                  </pic:spPr>
                </pic:pic>
              </a:graphicData>
            </a:graphic>
          </wp:inline>
        </w:drawing>
      </w:r>
    </w:p>
    <w:p>
      <w:pPr>
        <w:spacing w:after="90"/>
        <w:jc w:val="center"/>
      </w:pPr>
      <w:r>
        <w:rPr>
          <w:rFonts w:ascii="Arial" w:cs="Arial" w:eastAsia="Arial" w:hAnsi="Arial"/>
          <w:i/>
          <w:iCs/>
          <w:sz w:val="15"/>
          <w:szCs w:val="15"/>
        </w:rPr>
        <w:t xml:space="preserve">Figure 6. P95 decision time by topology — N=3,288 (log scale).</w:t>
      </w:r>
    </w:p>
    <w:p>
      <w:pPr>
        <w:jc w:val="center"/>
      </w:pPr>
      <w:r>
        <w:drawing>
          <wp:inline distT="0" distB="0" distL="0" distR="0">
            <wp:extent cx="5905500" cy="3143250"/>
            <wp:effectExtent t="0" r="0" b="0" l="0"/>
            <wp:docPr id="1" name="Figure 7. Full-OD fallback rate by topology — N=3,288." descr="Figure 7. Full-OD fallback rate by topology — N=3,288." title="Figure 7. Full-OD fallback rate by topology — N=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143250"/>
                    </a:xfrm>
                    <a:prstGeom prst="rect">
                      <a:avLst/>
                    </a:prstGeom>
                  </pic:spPr>
                </pic:pic>
              </a:graphicData>
            </a:graphic>
          </wp:inline>
        </w:drawing>
      </w:r>
    </w:p>
    <w:p>
      <w:pPr>
        <w:spacing w:after="90"/>
        <w:jc w:val="center"/>
      </w:pPr>
      <w:r>
        <w:rPr>
          <w:rFonts w:ascii="Arial" w:cs="Arial" w:eastAsia="Arial" w:hAnsi="Arial"/>
          <w:i/>
          <w:iCs/>
          <w:sz w:val="15"/>
          <w:szCs w:val="15"/>
        </w:rPr>
        <w:t xml:space="preserve">Figure 7. Full-OD fallback rate by topology — N=3,288.</w:t>
      </w:r>
    </w:p>
    <w:p>
      <w:pPr>
        <w:pStyle w:val="Heading2"/>
        <w:spacing w:after="70" w:before="160"/>
      </w:pPr>
      <w:r>
        <w:rPr>
          <w:rFonts w:ascii="Arial" w:cs="Arial" w:eastAsia="Arial" w:hAnsi="Arial"/>
          <w:b/>
          <w:bCs/>
          <w:sz w:val="21"/>
          <w:szCs w:val="21"/>
        </w:rPr>
        <w:t xml:space="preserve">Table LP-1. LP Problem Size and Runtime</w:t>
      </w:r>
    </w:p>
    <w:tbl>
      <w:tblPr>
        <w:tblW w:type="dxa" w:w="70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520"/>
        <w:gridCol w:w="800"/>
        <w:gridCol w:w="800"/>
        <w:gridCol w:w="700"/>
        <w:gridCol w:w="720"/>
        <w:gridCol w:w="700"/>
        <w:gridCol w:w="62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Topology</w:t>
            </w:r>
          </w:p>
        </w:tc>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Nodes</w:t>
            </w:r>
          </w:p>
        </w:tc>
        <w:tc>
          <w:tcPr>
            <w:tcW w:type="dxa" w:w="5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Links</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OD pairs</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sel-OD</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K paths</w:t>
            </w:r>
          </w:p>
        </w:tc>
        <w:tc>
          <w:tcPr>
            <w:tcW w:type="dxa" w:w="7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c>
          <w:tcPr>
            <w:tcW w:type="dxa" w:w="6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12</w:t>
            </w:r>
          </w:p>
        </w:tc>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132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7.2</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2.3%</w:t>
            </w:r>
          </w:p>
        </w:tc>
      </w:tr>
      <w:tr>
        <w:tc>
          <w:tcPr>
            <w:tcW w:type="dxa" w:w="1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CERNET</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41</w:t>
            </w:r>
          </w:p>
        </w:tc>
        <w:tc>
          <w:tcPr>
            <w:tcW w:type="dxa" w:w="5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116</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1,640</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43.5</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8</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23.3</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29.0</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22</w:t>
            </w:r>
          </w:p>
        </w:tc>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462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15.3</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3.1%</w:t>
            </w:r>
          </w:p>
        </w:tc>
      </w:tr>
      <w:tr>
        <w:tc>
          <w:tcPr>
            <w:tcW w:type="dxa" w:w="1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Sprintlink</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44</w:t>
            </w:r>
          </w:p>
        </w:tc>
        <w:tc>
          <w:tcPr>
            <w:tcW w:type="dxa" w:w="5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166</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1,892</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244.8</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8</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155.5</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1,082.2</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11.5%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Tiscali (limit)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49</w:t>
            </w:r>
          </w:p>
        </w:tc>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2,352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1,923.9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4,340.4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9,255.5</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81.5%</w:t>
            </w:r>
          </w:p>
        </w:tc>
      </w:tr>
      <w:tr>
        <w:tc>
          <w:tcPr>
            <w:tcW w:type="dxa" w:w="1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Ebone</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w:t>
            </w:r>
          </w:p>
        </w:tc>
        <w:tc>
          <w:tcPr>
            <w:tcW w:type="dxa" w:w="5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76</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506</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30.0</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8</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14.2</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14.9</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Germany50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50</w:t>
            </w:r>
          </w:p>
        </w:tc>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2,450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73.7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426.7</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5.9%</w:t>
            </w:r>
          </w:p>
        </w:tc>
      </w:tr>
      <w:tr>
        <w:tc>
          <w:tcPr>
            <w:tcW w:type="dxa" w:w="1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VtlWavenet2011</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92</w:t>
            </w:r>
          </w:p>
        </w:tc>
        <w:tc>
          <w:tcPr>
            <w:tcW w:type="dxa" w:w="5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192</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8,372</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71.7</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8</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128.3</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120.8</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0.5%</w:t>
            </w:r>
          </w:p>
        </w:tc>
      </w:tr>
    </w:tbl>
    <w:p>
      <w:pPr>
        <w:jc w:val="center"/>
      </w:pPr>
      <w:r>
        <w:drawing>
          <wp:inline distT="0" distB="0" distL="0" distR="0">
            <wp:extent cx="6858000" cy="3524250"/>
            <wp:effectExtent t="0" r="0" b="0" l="0"/>
            <wp:docPr id="1" name="Figure LP. Decision time by topology — full N=3,976 (log scale)." descr="Figure LP. Decision time by topology — full N=3,976 (log scale)." title="Figure LP. Decision time by topology — full N=3,976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858000" cy="3524250"/>
                    </a:xfrm>
                    <a:prstGeom prst="rect">
                      <a:avLst/>
                    </a:prstGeom>
                  </pic:spPr>
                </pic:pic>
              </a:graphicData>
            </a:graphic>
          </wp:inline>
        </w:drawing>
      </w:r>
    </w:p>
    <w:p>
      <w:pPr>
        <w:spacing w:after="90"/>
        <w:jc w:val="center"/>
      </w:pPr>
      <w:r>
        <w:rPr>
          <w:rFonts w:ascii="Arial" w:cs="Arial" w:eastAsia="Arial" w:hAnsi="Arial"/>
          <w:i/>
          <w:iCs/>
          <w:sz w:val="15"/>
          <w:szCs w:val="15"/>
        </w:rPr>
        <w:t xml:space="preserve">Figure LP. Decision time by topology — full N=3,976 (log scale).</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8 — Compliance Audit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gridCol w:w="3680"/>
      </w:tblGrid>
      <w:tr>
        <w:trPr>
          <w:tblHeader/>
        </w:trPr>
        <w:tc>
          <w:tcPr>
            <w:tcW w:type="dxa" w:w="5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Audit field</w:t>
            </w:r>
          </w:p>
        </w:tc>
        <w:tc>
          <w:tcPr>
            <w:tcW w:type="dxa" w:w="5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Value</w:t>
            </w:r>
          </w:p>
        </w:tc>
        <w:tc>
          <w:tcPr>
            <w:tcW w:type="dxa" w:w="3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Result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Method</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gnn_lpd_dqn_selective_db_lp</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GNN used</w:t>
            </w:r>
          </w:p>
        </w:tc>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 (every row)</w:t>
            </w:r>
          </w:p>
        </w:tc>
        <w:tc>
          <w:tcPr>
            <w:tcW w:type="dxa" w:w="3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LPD used</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 (every row)</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Criticality backend</w:t>
            </w:r>
          </w:p>
        </w:tc>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gnn_lpd</w:t>
            </w:r>
          </w:p>
        </w:tc>
        <w:tc>
          <w:tcPr>
            <w:tcW w:type="dxa" w:w="3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Heuristic used</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DQN used</w:t>
            </w:r>
          </w:p>
        </w:tc>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 (every row)</w:t>
            </w:r>
          </w:p>
        </w:tc>
        <w:tc>
          <w:tcPr>
            <w:tcW w:type="dxa" w:w="3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Selected OD LP used</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 (every row)</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Stage-2 used</w:t>
            </w:r>
          </w:p>
        </w:tc>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3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Disturbance finalization used</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RandomForest gate used</w:t>
            </w:r>
          </w:p>
        </w:tc>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3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Sticky gate used</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Blocks passed</w:t>
            </w:r>
          </w:p>
        </w:tc>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10/10</w:t>
            </w:r>
          </w:p>
        </w:tc>
        <w:tc>
          <w:tcPr>
            <w:tcW w:type="dxa" w:w="3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Audit result</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bl>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9 — Clean Failure-Scenario Validation</w:t>
      </w:r>
    </w:p>
    <w:p>
      <w:pPr>
        <w:pBdr>
          <w:left w:val="single" w:color="2E75B6" w:sz="8" w:space="8"/>
        </w:pBdr>
        <w:spacing w:after="50" w:before="50"/>
        <w:ind w:left="540"/>
      </w:pPr>
      <w:r>
        <w:rPr>
          <w:rFonts w:ascii="Arial" w:cs="Arial" w:eastAsia="Arial" w:hAnsi="Arial"/>
          <w:i/>
          <w:iCs/>
          <w:sz w:val="16"/>
          <w:szCs w:val="16"/>
        </w:rPr>
        <w:t xml:space="preserve">All failure results generated by the clean GNN-LPD-DQN method — NOT legacy. 360 cycles, 9 scenarios, 2 topologies, 20 cycles each. Audit PASS.</w:t>
      </w:r>
    </w:p>
    <w:p>
      <w:pPr>
        <w:pBdr>
          <w:left w:val="single" w:color="2E75B6" w:sz="8" w:space="8"/>
        </w:pBdr>
        <w:spacing w:after="50" w:before="50"/>
        <w:ind w:left="540"/>
      </w:pPr>
      <w:r>
        <w:rPr>
          <w:rFonts w:ascii="Arial" w:cs="Arial" w:eastAsia="Arial" w:hAnsi="Arial"/>
          <w:i/>
          <w:iCs/>
          <w:sz w:val="16"/>
          <w:szCs w:val="16"/>
        </w:rPr>
        <w:t xml:space="preserve">Metric note: Clean failure validation reports PR (vs path-optimal MLU), DB, and decision-time metrics. It is NOT the normalized-MLU ECMP/OSPF failure table of the original report. Every number is reproducible from failure_per_cycle.csv.</w:t>
      </w:r>
    </w:p>
    <w:p>
      <w:pPr>
        <w:pStyle w:val="Heading2"/>
        <w:spacing w:after="70" w:before="160"/>
      </w:pPr>
      <w:r>
        <w:rPr>
          <w:rFonts w:ascii="Arial" w:cs="Arial" w:eastAsia="Arial" w:hAnsi="Arial"/>
          <w:b/>
          <w:bCs/>
          <w:sz w:val="21"/>
          <w:szCs w:val="21"/>
        </w:rPr>
        <w:t xml:space="preserve">Table F1. Failure Validation — Abilene (N=20 cycles per scenario)</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320"/>
        <w:gridCol w:w="400"/>
        <w:gridCol w:w="640"/>
        <w:gridCol w:w="640"/>
        <w:gridCol w:w="600"/>
        <w:gridCol w:w="680"/>
        <w:gridCol w:w="680"/>
        <w:gridCol w:w="640"/>
        <w:gridCol w:w="640"/>
        <w:gridCol w:w="540"/>
        <w:gridCol w:w="620"/>
        <w:gridCol w:w="560"/>
      </w:tblGrid>
      <w:tr>
        <w:trPr>
          <w:tblHeader/>
        </w:trPr>
        <w:tc>
          <w:tcPr>
            <w:tcW w:type="dxa" w:w="13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Scenario</w:t>
            </w:r>
          </w:p>
        </w:tc>
        <w:tc>
          <w:tcPr>
            <w:tcW w:type="dxa" w:w="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PR</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Min PR</w:t>
            </w:r>
          </w:p>
        </w:tc>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PR≥95%</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DB</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DB</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c>
          <w:tcPr>
            <w:tcW w:type="dxa" w:w="5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FO%</w:t>
            </w:r>
          </w:p>
        </w:tc>
        <w:tc>
          <w:tcPr>
            <w:tcW w:type="dxa" w:w="6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Disconn</w:t>
            </w:r>
          </w:p>
        </w:tc>
        <w:tc>
          <w:tcPr>
            <w:tcW w:type="dxa" w:w="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Audit</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Normal</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99.42%</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96.35%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1.665%</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5.382%</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18.6</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48.3</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1-Link Fail</w:t>
            </w:r>
          </w:p>
        </w:tc>
        <w:tc>
          <w:tcPr>
            <w:tcW w:type="dxa" w:w="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99.12%</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96.07%</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2.378%</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5.215%</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20.8</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48.3</w:t>
            </w:r>
          </w:p>
        </w:tc>
        <w:tc>
          <w:tcPr>
            <w:tcW w:type="dxa" w:w="5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40%</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2-Link Fail</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99.70%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97.40%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2.776%</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10.023%</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23.6</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49.6</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35%</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3-Link Fail*</w:t>
            </w:r>
          </w:p>
        </w:tc>
        <w:tc>
          <w:tcPr>
            <w:tcW w:type="dxa" w:w="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n/a</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n/a</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n/a</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39.9</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40.8</w:t>
            </w:r>
          </w:p>
        </w:tc>
        <w:tc>
          <w:tcPr>
            <w:tcW w:type="dxa" w:w="5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Rand Fail 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98.34%</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96.00%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2.020%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5.313%</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18.8</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49.1</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25%</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Rand Fail 2</w:t>
            </w:r>
          </w:p>
        </w:tc>
        <w:tc>
          <w:tcPr>
            <w:tcW w:type="dxa" w:w="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0.166%</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0.166%</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13.4</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29.6</w:t>
            </w:r>
          </w:p>
        </w:tc>
        <w:tc>
          <w:tcPr>
            <w:tcW w:type="dxa" w:w="5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Spike ×3</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99.67%</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96.85%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1.168%</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3.042%</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33.2</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Spike+Fail</w:t>
            </w:r>
          </w:p>
        </w:tc>
        <w:tc>
          <w:tcPr>
            <w:tcW w:type="dxa" w:w="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99.12%</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96.07%</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2.377%</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5.215%</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19.9</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45.7</w:t>
            </w:r>
          </w:p>
        </w:tc>
        <w:tc>
          <w:tcPr>
            <w:tcW w:type="dxa" w:w="5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40%</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Cap Deg 50%</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99.41%</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97.10%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1.259%</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3.100%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16.5</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31.9</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bl>
    <w:p>
      <w:pPr>
        <w:spacing w:after="70" w:before="30"/>
        <w:ind w:left="300"/>
      </w:pPr>
      <w:r>
        <w:rPr>
          <w:rFonts w:ascii="Arial" w:cs="Arial" w:eastAsia="Arial" w:hAnsi="Arial"/>
          <w:b/>
          <w:bCs/>
          <w:sz w:val="15"/>
          <w:szCs w:val="15"/>
        </w:rPr>
        <w:t xml:space="preserve">Note: </w:t>
      </w:r>
      <w:r>
        <w:rPr>
          <w:rFonts w:ascii="Arial" w:cs="Arial" w:eastAsia="Arial" w:hAnsi="Arial"/>
          <w:i/>
          <w:iCs/>
          <w:sz w:val="15"/>
          <w:szCs w:val="15"/>
        </w:rPr>
        <w:t xml:space="preserve">*3-link failure disconnects 3 OD pairs; PR not applicable. Expected for 12-node topology under 3 simultaneous link failures.</w:t>
      </w:r>
    </w:p>
    <w:p>
      <w:pPr>
        <w:pStyle w:val="Heading2"/>
        <w:spacing w:after="70" w:before="160"/>
      </w:pPr>
      <w:r>
        <w:rPr>
          <w:rFonts w:ascii="Arial" w:cs="Arial" w:eastAsia="Arial" w:hAnsi="Arial"/>
          <w:b/>
          <w:bCs/>
          <w:sz w:val="21"/>
          <w:szCs w:val="21"/>
        </w:rPr>
        <w:t xml:space="preserve">Table F2. Failure Validation — GEANT (N=20 cycles per scenario)</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320"/>
        <w:gridCol w:w="400"/>
        <w:gridCol w:w="640"/>
        <w:gridCol w:w="640"/>
        <w:gridCol w:w="600"/>
        <w:gridCol w:w="680"/>
        <w:gridCol w:w="680"/>
        <w:gridCol w:w="640"/>
        <w:gridCol w:w="640"/>
        <w:gridCol w:w="540"/>
        <w:gridCol w:w="620"/>
        <w:gridCol w:w="560"/>
      </w:tblGrid>
      <w:tr>
        <w:trPr>
          <w:tblHeader/>
        </w:trPr>
        <w:tc>
          <w:tcPr>
            <w:tcW w:type="dxa" w:w="13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Scenario</w:t>
            </w:r>
          </w:p>
        </w:tc>
        <w:tc>
          <w:tcPr>
            <w:tcW w:type="dxa" w:w="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PR</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Min PR</w:t>
            </w:r>
          </w:p>
        </w:tc>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PR≥95%</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DB</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DB</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c>
          <w:tcPr>
            <w:tcW w:type="dxa" w:w="5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FO%</w:t>
            </w:r>
          </w:p>
        </w:tc>
        <w:tc>
          <w:tcPr>
            <w:tcW w:type="dxa" w:w="6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Disconn</w:t>
            </w:r>
          </w:p>
        </w:tc>
        <w:tc>
          <w:tcPr>
            <w:tcW w:type="dxa" w:w="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Audit</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Normal</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99.97%</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99.67%</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0.263%</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0.702%</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49.8</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176.8</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1-Link Fail</w:t>
            </w:r>
          </w:p>
        </w:tc>
        <w:tc>
          <w:tcPr>
            <w:tcW w:type="dxa" w:w="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0.200%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0.429%</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46.6</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196.3</w:t>
            </w:r>
          </w:p>
        </w:tc>
        <w:tc>
          <w:tcPr>
            <w:tcW w:type="dxa" w:w="5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2-Link Fail</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0.165%</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0.439%</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47.3</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190.3</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3-Link Fail</w:t>
            </w:r>
          </w:p>
        </w:tc>
        <w:tc>
          <w:tcPr>
            <w:tcW w:type="dxa" w:w="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0.164%</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0.407%</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46.1</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154.3</w:t>
            </w:r>
          </w:p>
        </w:tc>
        <w:tc>
          <w:tcPr>
            <w:tcW w:type="dxa" w:w="5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Rand Fail 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99.96%</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0.254%</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0.796%</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49.0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156.5</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Rand Fail 2</w:t>
            </w:r>
          </w:p>
        </w:tc>
        <w:tc>
          <w:tcPr>
            <w:tcW w:type="dxa" w:w="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99.92%</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99.63%</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0.260%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0.765%</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47.9</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154.6</w:t>
            </w:r>
          </w:p>
        </w:tc>
        <w:tc>
          <w:tcPr>
            <w:tcW w:type="dxa" w:w="5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Spike ×3</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99.99%</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99.87%</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0.287%</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0.852%</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42.6</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56.6</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Spike+Fail</w:t>
            </w:r>
          </w:p>
        </w:tc>
        <w:tc>
          <w:tcPr>
            <w:tcW w:type="dxa" w:w="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0.223%</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0.429%</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39.6</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41.9</w:t>
            </w:r>
          </w:p>
        </w:tc>
        <w:tc>
          <w:tcPr>
            <w:tcW w:type="dxa" w:w="5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Cap Deg 50%</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99.97%</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0.358%</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0.796%</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41.5</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44.5</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bl>
    <w:p>
      <w:pPr>
        <w:spacing w:after="70" w:before="30"/>
        <w:ind w:left="300"/>
      </w:pPr>
      <w:r>
        <w:rPr>
          <w:rFonts w:ascii="Arial" w:cs="Arial" w:eastAsia="Arial" w:hAnsi="Arial"/>
          <w:b/>
          <w:bCs/>
          <w:sz w:val="15"/>
          <w:szCs w:val="15"/>
        </w:rPr>
        <w:t xml:space="preserve">Note: </w:t>
      </w:r>
      <w:r>
        <w:rPr>
          <w:rFonts w:ascii="Arial" w:cs="Arial" w:eastAsia="Arial" w:hAnsi="Arial"/>
          <w:i/>
          <w:iCs/>
          <w:sz w:val="15"/>
          <w:szCs w:val="15"/>
        </w:rPr>
        <w:t xml:space="preserve">GEANT: zero disconnected ODs even under 3-link failure. Raw evidence: failure_per_cycle.csv (360), failure_summary.csv (18), failure_method_audit.json (PASS).</w:t>
      </w:r>
    </w:p>
    <w:p>
      <w:pPr>
        <w:jc w:val="center"/>
      </w:pPr>
      <w:r>
        <w:drawing>
          <wp:inline distT="0" distB="0" distL="0" distR="0">
            <wp:extent cx="6858000" cy="3333750"/>
            <wp:effectExtent t="0" r="0" b="0" l="0"/>
            <wp:docPr id="1" name="Figure 9a. Mean PR by failure scenario — Abilene (left) and GEANT (right)." descr="Figure 9a. Mean PR by failure scenario — Abilene (left) and GEANT (right)." title="Figure 9a. Mean PR by failure scenario — Abilene (left) and GEAN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858000" cy="3333750"/>
                    </a:xfrm>
                    <a:prstGeom prst="rect">
                      <a:avLst/>
                    </a:prstGeom>
                  </pic:spPr>
                </pic:pic>
              </a:graphicData>
            </a:graphic>
          </wp:inline>
        </w:drawing>
      </w:r>
    </w:p>
    <w:p>
      <w:pPr>
        <w:spacing w:after="90"/>
        <w:jc w:val="center"/>
      </w:pPr>
      <w:r>
        <w:rPr>
          <w:rFonts w:ascii="Arial" w:cs="Arial" w:eastAsia="Arial" w:hAnsi="Arial"/>
          <w:i/>
          <w:iCs/>
          <w:sz w:val="15"/>
          <w:szCs w:val="15"/>
        </w:rPr>
        <w:t xml:space="preserve">Figure 9a. Mean PR by failure scenario — Abilene (left) and GEANT (right).</w:t>
      </w:r>
    </w:p>
    <w:p>
      <w:pPr>
        <w:jc w:val="center"/>
      </w:pPr>
      <w:r>
        <w:drawing>
          <wp:inline distT="0" distB="0" distL="0" distR="0">
            <wp:extent cx="6858000" cy="3333750"/>
            <wp:effectExtent t="0" r="0" b="0" l="0"/>
            <wp:docPr id="1" name="Figure 9b. Disturbance Budget by failure scenario." descr="Figure 9b. Disturbance Budget by failure scenario." title="Figure 9b. Disturbance Budget by failure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858000" cy="3333750"/>
                    </a:xfrm>
                    <a:prstGeom prst="rect">
                      <a:avLst/>
                    </a:prstGeom>
                  </pic:spPr>
                </pic:pic>
              </a:graphicData>
            </a:graphic>
          </wp:inline>
        </w:drawing>
      </w:r>
    </w:p>
    <w:p>
      <w:pPr>
        <w:spacing w:after="90"/>
        <w:jc w:val="center"/>
      </w:pPr>
      <w:r>
        <w:rPr>
          <w:rFonts w:ascii="Arial" w:cs="Arial" w:eastAsia="Arial" w:hAnsi="Arial"/>
          <w:i/>
          <w:iCs/>
          <w:sz w:val="15"/>
          <w:szCs w:val="15"/>
        </w:rPr>
        <w:t xml:space="preserve">Figure 9b. Disturbance Budget by failure scenario.</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10 — SDN / Mininet Live Metrics from Original Operational Validation</w:t>
      </w:r>
    </w:p>
    <w:p>
      <w:pPr>
        <w:pBdr>
          <w:left w:val="single" w:color="2E75B6" w:sz="8" w:space="8"/>
        </w:pBdr>
        <w:spacing w:after="50" w:before="50"/>
        <w:ind w:left="540"/>
      </w:pPr>
      <w:r>
        <w:rPr>
          <w:rFonts w:ascii="Arial" w:cs="Arial" w:eastAsia="Arial" w:hAnsi="Arial"/>
          <w:i/>
          <w:iCs/>
          <w:sz w:val="16"/>
          <w:szCs w:val="16"/>
        </w:rPr>
        <w:t xml:space="preserve">This table preserves the original SDN / Mininet live operational metrics from the accepted report artifact. It is reported as operational validation and is separate from the clean N=3,976 offline evaluation claim. These values must not be described as LP-derived simulation outputs.</w:t>
      </w:r>
    </w:p>
    <w:p>
      <w:r>
        <w:rPr>
          <w:rFonts w:ascii="Arial" w:cs="Arial" w:eastAsia="Arial" w:hAnsi="Arial"/>
          <w:sz w:val="18"/>
          <w:szCs w:val="18"/>
        </w:rPr>
        <w:t xml:space="preserve">These are the original SDN / Mininet live operational metrics, preserved exactly from the accepted report artifact. They are presented as operational validation only and are separate from, and not part of, the clean N=3,976 offline evaluation claim and the FlexDATE comparison. They were not produced by the clean offline rerun.</w:t>
      </w:r>
    </w:p>
    <w:p>
      <w:pPr>
        <w:pStyle w:val="Heading2"/>
        <w:spacing w:after="70" w:before="160"/>
      </w:pPr>
      <w:r>
        <w:rPr>
          <w:rFonts w:ascii="Arial" w:cs="Arial" w:eastAsia="Arial" w:hAnsi="Arial"/>
          <w:b/>
          <w:bCs/>
          <w:sz w:val="21"/>
          <w:szCs w:val="21"/>
        </w:rPr>
        <w:t xml:space="preserve">Table 13. SDN / Mininet live metrics (operational validation, separate from FlexDATE claim)</w:t>
      </w:r>
    </w:p>
    <w:tbl>
      <w:tblPr>
        <w:tblW w:type="dxa" w:w="11920"/>
        <w:tblBorders>
          <w:top w:val="single" w:color="auto" w:sz="4"/>
          <w:left w:val="single" w:color="auto" w:sz="4"/>
          <w:bottom w:val="single" w:color="auto" w:sz="4"/>
          <w:right w:val="single" w:color="auto" w:sz="4"/>
          <w:insideH w:val="single" w:color="auto" w:sz="4"/>
          <w:insideV w:val="single" w:color="auto" w:sz="4"/>
        </w:tblBorders>
      </w:tblPr>
      <w:tblGrid>
        <w:gridCol w:w="1080"/>
        <w:gridCol w:w="2080"/>
        <w:gridCol w:w="1080"/>
        <w:gridCol w:w="720"/>
        <w:gridCol w:w="720"/>
        <w:gridCol w:w="760"/>
        <w:gridCol w:w="940"/>
        <w:gridCol w:w="920"/>
        <w:gridCol w:w="1700"/>
        <w:gridCol w:w="1080"/>
        <w:gridCol w:w="840"/>
      </w:tblGrid>
      <w:tr>
        <w:trPr>
          <w:tblHeader/>
        </w:trPr>
        <w:tc>
          <w:tcPr>
            <w:tcW w:type="dxa" w:w="1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Topology</w:t>
            </w:r>
          </w:p>
        </w:tc>
        <w:tc>
          <w:tcPr>
            <w:tcW w:type="dxa" w:w="2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Scenario</w:t>
            </w:r>
          </w:p>
        </w:tc>
        <w:tc>
          <w:tcPr>
            <w:tcW w:type="dxa" w:w="1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Throughput</w:t>
            </w:r>
          </w:p>
        </w:tc>
        <w:tc>
          <w:tcPr>
            <w:tcW w:type="dxa" w:w="7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RTT</w:t>
            </w:r>
          </w:p>
        </w:tc>
        <w:tc>
          <w:tcPr>
            <w:tcW w:type="dxa" w:w="7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Jitter</w:t>
            </w:r>
          </w:p>
        </w:tc>
        <w:tc>
          <w:tcPr>
            <w:tcW w:type="dxa" w:w="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Loss</w:t>
            </w:r>
          </w:p>
        </w:tc>
        <w:tc>
          <w:tcPr>
            <w:tcW w:type="dxa" w:w="9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Rule count</w:t>
            </w:r>
          </w:p>
        </w:tc>
        <w:tc>
          <w:tcPr>
            <w:tcW w:type="dxa" w:w="9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Install ms</w:t>
            </w:r>
          </w:p>
        </w:tc>
        <w:tc>
          <w:tcPr>
            <w:tcW w:type="dxa" w:w="1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Recovery ms</w:t>
            </w:r>
          </w:p>
        </w:tc>
        <w:tc>
          <w:tcPr>
            <w:tcW w:type="dxa" w:w="1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Disconnected</w:t>
            </w:r>
          </w:p>
        </w:tc>
        <w:tc>
          <w:tcPr>
            <w:tcW w:type="dxa" w:w="8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Decision ms</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Normal</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159.7</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49.1</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46.3</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0.036%</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501</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699.2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No link-down event</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Single Link Failure</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131.9</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18.4</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35.7</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0.052%</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530</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720.6</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1089.1</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Two Link Failure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173.9</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15.7</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50.3</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0.115%</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534</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935.9</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1105.4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Three Link Failure</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139.6</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18.9</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46.0</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0.077%</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548</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804.8</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1107.7</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Random Link Failure 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109.8</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15.2</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18.8</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0.026%</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463</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954.0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1008.4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11</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Random Link Failure 2</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58.2</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24.4</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9.8</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519</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863.4</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Probe path unaffected</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Spike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64.2</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10.2</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9.4</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522</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1003.3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Traffic spike only</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Mixed Spike Failure</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54.4</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13.3</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23.4</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540</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787.7</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Probe path unaffected</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Capacity Degradation 50%</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62.0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11.0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9.2</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517</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714.9</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Probe path unaffected</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Normal</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260.2</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46.1</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58.6</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0.016%</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1748</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1897.3</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No link-down event</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Single Link Failure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265.7</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32.7</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52.2</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0.016%</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1753</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1441.1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1968.1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Two Link Failure</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261.5</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15.8</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54.7</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0.044%</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1780</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1497.5</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1810.5</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Three Link Failure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202.4</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10.3</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48.6</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0.021%</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1789</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2632.2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3305.9</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Random Link Failure 1</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178.1</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16.9</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44.5</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0.009%</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1787</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1541.5</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2369.0</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Random Link Failure 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167.4</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15.3</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54.9</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0.006%</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1789</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1876.8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1824.9</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Spike</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186.1</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26.5</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59.0</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1743</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1832.6</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Traffic spike only</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Mixed Spike Failure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171.3</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10.3</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47.6</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0.001%</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1811</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1851.6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2249.2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Capacity Degradation 50%</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159.8</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7.8</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60.5</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0.041%</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1749</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1795.3</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Probe path unaffected</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bl>
    <w:p>
      <w:pPr>
        <w:pBdr>
          <w:left w:val="single" w:color="2E75B6" w:sz="8" w:space="8"/>
        </w:pBdr>
        <w:spacing w:after="50" w:before="50"/>
        <w:ind w:left="540"/>
      </w:pPr>
      <w:r>
        <w:rPr>
          <w:rFonts w:ascii="Arial" w:cs="Arial" w:eastAsia="Arial" w:hAnsi="Arial"/>
          <w:i/>
          <w:iCs/>
          <w:sz w:val="16"/>
          <w:szCs w:val="16"/>
        </w:rPr>
        <w:t xml:space="preserve">Source separation: Table 13 holds original SDN / Mininet live operational metrics preserved from the accepted report artifact. It is operational validation only — not the clean offline N=3,976 evaluation, not a FlexDATE comparison row, and not an LP-derived simulation. The clean offline failure validation remains in Section 9. The earlier LP-derived SDN-style simulation (run_sdn_mininet_clean.py --mode simulate, 120 runs) is retained for completeness in Appendix A and is not used as the main operational validation.</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11 — Reproducibility Metadata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00"/>
        <w:gridCol w:w="9480"/>
      </w:tblGrid>
      <w:tr>
        <w:trPr>
          <w:tblHeader/>
        </w:trPr>
        <w:tc>
          <w:tcPr>
            <w:tcW w:type="dxa" w:w="4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Parameter</w:t>
            </w:r>
          </w:p>
        </w:tc>
        <w:tc>
          <w:tcPr>
            <w:tcW w:type="dxa" w:w="94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Value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Main method script</w:t>
            </w:r>
          </w:p>
        </w:tc>
        <w:tc>
          <w:tcPr>
            <w:tcW w:type="dxa" w:w="9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scripts/phase1_5/gnn_lpd_dqn_selective_db_lp.py</w:t>
            </w:r>
          </w:p>
        </w:tc>
      </w:tr>
      <w:tr>
        <w:tc>
          <w:tcPr>
            <w:tcW w:type="dxa" w:w="4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Failure validation script</w:t>
            </w:r>
          </w:p>
        </w:tc>
        <w:tc>
          <w:tcPr>
            <w:tcW w:type="dxa" w:w="9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scripts/phase1_5/run_failure_validation_clean.py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SDN script (LP-derived sim, Appendix A)</w:t>
            </w:r>
          </w:p>
        </w:tc>
        <w:tc>
          <w:tcPr>
            <w:tcW w:type="dxa" w:w="9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scripts/phase1_5/run_sdn_mininet_clean.py</w:t>
            </w:r>
          </w:p>
        </w:tc>
      </w:tr>
      <w:tr>
        <w:tc>
          <w:tcPr>
            <w:tcW w:type="dxa" w:w="4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GNN checkpoint</w:t>
            </w:r>
          </w:p>
        </w:tc>
        <w:tc>
          <w:tcPr>
            <w:tcW w:type="dxa" w:w="9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results/gnn_lpd_dqn_selective_db_lp/models/gnn_dbbudget_selector.pt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DQN checkpoint</w:t>
            </w:r>
          </w:p>
        </w:tc>
        <w:tc>
          <w:tcPr>
            <w:tcW w:type="dxa" w:w="9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results/gnn_lpd_dqn_selective_db_lp/dqn_best.pt</w:t>
            </w:r>
          </w:p>
        </w:tc>
      </w:tr>
      <w:tr>
        <w:tc>
          <w:tcPr>
            <w:tcW w:type="dxa" w:w="4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Evaluation per-cycle file</w:t>
            </w:r>
          </w:p>
        </w:tc>
        <w:tc>
          <w:tcPr>
            <w:tcW w:type="dxa" w:w="9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results/gnn_lpd_dqn_selective_db_lp/final_N3976/per_cycle.csv (3,976 rows)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Main comparison subset</w:t>
            </w:r>
          </w:p>
        </w:tc>
        <w:tc>
          <w:tcPr>
            <w:tcW w:type="dxa" w:w="9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3,288 (Abilene + CERNET + GEANT + Sprintlink + Tiscali)</w:t>
            </w:r>
          </w:p>
        </w:tc>
      </w:tr>
      <w:tr>
        <w:tc>
          <w:tcPr>
            <w:tcW w:type="dxa" w:w="4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Clean audit result</w:t>
            </w:r>
          </w:p>
        </w:tc>
        <w:tc>
          <w:tcPr>
            <w:tcW w:type="dxa" w:w="9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PASSED — 10/10 blocks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Failure validation result</w:t>
            </w:r>
          </w:p>
        </w:tc>
        <w:tc>
          <w:tcPr>
            <w:tcW w:type="dxa" w:w="9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PASSED — 360 cycles, 2 topologies, 9 scenarios</w:t>
            </w:r>
          </w:p>
        </w:tc>
      </w:tr>
      <w:tr>
        <w:tc>
          <w:tcPr>
            <w:tcW w:type="dxa" w:w="4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SDN / Mininet operational validation</w:t>
            </w:r>
          </w:p>
        </w:tc>
        <w:tc>
          <w:tcPr>
            <w:tcW w:type="dxa" w:w="9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Section 10 — original live Mininet metrics (Table 13) from accepted report artifact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LP-derived SDN simulation (Appendix A)</w:t>
            </w:r>
          </w:p>
        </w:tc>
        <w:tc>
          <w:tcPr>
            <w:tcW w:type="dxa" w:w="9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120 runs, supplementary only; not the main operational validation</w:t>
            </w:r>
          </w:p>
        </w:tc>
      </w:tr>
      <w:tr>
        <w:tc>
          <w:tcPr>
            <w:tcW w:type="dxa" w:w="4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GNN val prec@K</w:t>
            </w:r>
          </w:p>
        </w:tc>
        <w:tc>
          <w:tcPr>
            <w:tcW w:type="dxa" w:w="9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0.7474 (25 epochs, 6 topologies)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DQN val PR</w:t>
            </w:r>
          </w:p>
        </w:tc>
        <w:tc>
          <w:tcPr>
            <w:tcW w:type="dxa" w:w="9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 (200 episodes)</w:t>
            </w:r>
          </w:p>
        </w:tc>
      </w:tr>
    </w:tbl>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12 — Claim Boundary</w:t>
      </w:r>
    </w:p>
    <w:p>
      <w:pPr>
        <w:pBdr>
          <w:left w:val="single" w:color="2E75B6" w:sz="8" w:space="8"/>
        </w:pBdr>
        <w:spacing w:after="50" w:before="50"/>
        <w:ind w:left="540"/>
      </w:pPr>
      <w:r>
        <w:rPr>
          <w:rFonts w:ascii="Arial" w:cs="Arial" w:eastAsia="Arial" w:hAnsi="Arial"/>
          <w:i/>
          <w:iCs/>
          <w:sz w:val="16"/>
          <w:szCs w:val="16"/>
        </w:rPr>
        <w:t xml:space="preserve">Tiscali is included in N=3,288 and the CDFs but is NOT claimed as a FlexDATE win/loss row, because no source-locked FlexDATE reference row for Tiscali exists in the original report. Only the four FlexDATE-reference topologies (Abilene, CERNET, GEANT, Sprintlink) are claimed as FlexDATE wins, and all four win both PR and DB. Tiscali PR=100.000%, DB=0.714% are internal results. Clean failure validation (PR/DB/decision-time, not normalized-MLU ECMP/OSPF) PASS. Section 10 preserves the original SDN/Mininet live operational metrics (Table 13), separate from the clean offline claim. All clean results are reruns — not copied from the legacy report.</w:t>
      </w:r>
    </w:p>
    <w:p>
      <w:pPr>
        <w:pStyle w:val="Heading2"/>
        <w:spacing w:after="70" w:before="160"/>
      </w:pPr>
      <w:r>
        <w:rPr>
          <w:rFonts w:ascii="Arial" w:cs="Arial" w:eastAsia="Arial" w:hAnsi="Arial"/>
          <w:b/>
          <w:bCs/>
          <w:sz w:val="21"/>
          <w:szCs w:val="21"/>
        </w:rPr>
        <w:t xml:space="preserve">Final Safe Claims</w:t>
      </w:r>
    </w:p>
    <w:p>
      <w:r>
        <w:rPr>
          <w:rFonts w:ascii="Arial" w:cs="Arial" w:eastAsia="Arial" w:hAnsi="Arial"/>
          <w:sz w:val="18"/>
          <w:szCs w:val="18"/>
        </w:rPr>
        <w:t xml:space="preserve">On the main N=3,288 subset, the clean GNN-LPD-DQN method wins both PR and DB on the four FlexDATE-reference topologies. Tiscali is included but not claimed as a FlexDATE win/loss. On the full N=3,976 protocol: Mean PR=99.743%, Mean DB=0.545%, Mean decision time=246.6 ms, P95=657.2 ms. Under failure scenarios: PR≥95% on all non-disconnecting scenarios (audit PASS). SDN / Mininet operational validation (Section 10, Table 13) preserves the original live Mininet operational metrics from the accepted report artifact, reported as operational validation only and separate from the clean offline evaluation and the FlexDATE comparison.</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Appendix A — LP-derived SDN-style simulation (supplementary, not the main operational validation)</w:t>
      </w:r>
    </w:p>
    <w:p>
      <w:pPr>
        <w:pBdr>
          <w:left w:val="single" w:color="2E75B6" w:sz="8" w:space="8"/>
        </w:pBdr>
        <w:spacing w:after="50" w:before="50"/>
        <w:ind w:left="540"/>
      </w:pPr>
      <w:r>
        <w:rPr>
          <w:rFonts w:ascii="Arial" w:cs="Arial" w:eastAsia="Arial" w:hAnsi="Arial"/>
          <w:i/>
          <w:iCs/>
          <w:sz w:val="16"/>
          <w:szCs w:val="16"/>
        </w:rPr>
        <w:t xml:space="preserve">Supplementary, not the primary operational validation. Forwarding-plane metrics here are derived analytically from the clean GNN-LPD-DQN LP solution outputs — not packet-level measurements. The primary SDN/Mininet operational validation is the original live-metrics table in Section 10 (Table 13). Source CSVs: sdn_mininet_clean/ (sdn_per_run.csv 120 rows, sdn_summary.csv 12 rows, sdn_method_audit.json mode=simulate, audit PASS).</w:t>
      </w:r>
    </w:p>
    <w:p>
      <w:pPr>
        <w:pStyle w:val="Heading2"/>
        <w:spacing w:after="70" w:before="160"/>
      </w:pPr>
      <w:r>
        <w:rPr>
          <w:rFonts w:ascii="Arial" w:cs="Arial" w:eastAsia="Arial" w:hAnsi="Arial"/>
          <w:b/>
          <w:bCs/>
          <w:sz w:val="21"/>
          <w:szCs w:val="21"/>
        </w:rPr>
        <w:t xml:space="preserve">Table A-1. LP-derived SDN-style simulation — Abilene (N=10 runs per scenario)</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20"/>
        <w:gridCol w:w="440"/>
        <w:gridCol w:w="980"/>
        <w:gridCol w:w="700"/>
        <w:gridCol w:w="680"/>
        <w:gridCol w:w="680"/>
        <w:gridCol w:w="960"/>
        <w:gridCol w:w="960"/>
        <w:gridCol w:w="820"/>
        <w:gridCol w:w="580"/>
        <w:gridCol w:w="640"/>
      </w:tblGrid>
      <w:tr>
        <w:trPr>
          <w:tblHeader/>
        </w:trPr>
        <w:tc>
          <w:tcPr>
            <w:tcW w:type="dxa" w:w="13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Scenario</w:t>
            </w:r>
          </w:p>
        </w:tc>
        <w:tc>
          <w:tcPr>
            <w:tcW w:type="dxa" w:w="4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9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Throughput</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Loss</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RTT</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Jitter</w:t>
            </w:r>
          </w:p>
        </w:tc>
        <w:tc>
          <w:tcPr>
            <w:tcW w:type="dxa" w:w="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Recovery ms</w:t>
            </w:r>
          </w:p>
        </w:tc>
        <w:tc>
          <w:tcPr>
            <w:tcW w:type="dxa" w:w="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Decision ms</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Flow rules</w:t>
            </w:r>
          </w:p>
        </w:tc>
        <w:tc>
          <w:tcPr>
            <w:tcW w:type="dxa" w:w="5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Disconn</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Audit</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Normal</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42.0 ms</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2.5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46.8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46.8 ms</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1,043</w:t>
            </w:r>
          </w:p>
        </w:tc>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1-Link Fail</w:t>
            </w:r>
          </w:p>
        </w:tc>
        <w:tc>
          <w:tcPr>
            <w:tcW w:type="dxa" w:w="4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42.0 ms</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2.5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45.1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45.1 ms</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1,043</w:t>
            </w:r>
          </w:p>
        </w:tc>
        <w:tc>
          <w:tcPr>
            <w:tcW w:type="dxa" w:w="5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2-Link Fail</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42.0 ms</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2.5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41.5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41.5 ms</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1,043</w:t>
            </w:r>
          </w:p>
        </w:tc>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Cap Deg 50%</w:t>
            </w:r>
          </w:p>
        </w:tc>
        <w:tc>
          <w:tcPr>
            <w:tcW w:type="dxa" w:w="4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42.0 ms</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2.5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43.6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43.6 ms</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1,043</w:t>
            </w:r>
          </w:p>
        </w:tc>
        <w:tc>
          <w:tcPr>
            <w:tcW w:type="dxa" w:w="5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Spike ×3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42.0 ms</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2.5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43.5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43.5 ms</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1,043</w:t>
            </w:r>
          </w:p>
        </w:tc>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Spike+Fail</w:t>
            </w:r>
          </w:p>
        </w:tc>
        <w:tc>
          <w:tcPr>
            <w:tcW w:type="dxa" w:w="4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42.0 ms</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2.5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48.4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48.4 ms</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1,043</w:t>
            </w:r>
          </w:p>
        </w:tc>
        <w:tc>
          <w:tcPr>
            <w:tcW w:type="dxa" w:w="5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bl>
    <w:p>
      <w:pPr>
        <w:pStyle w:val="Heading2"/>
        <w:spacing w:after="70" w:before="160"/>
      </w:pPr>
      <w:r>
        <w:rPr>
          <w:rFonts w:ascii="Arial" w:cs="Arial" w:eastAsia="Arial" w:hAnsi="Arial"/>
          <w:b/>
          <w:bCs/>
          <w:sz w:val="21"/>
          <w:szCs w:val="21"/>
        </w:rPr>
        <w:t xml:space="preserve">Table A-2. LP-derived SDN-style simulation — GEANT (N=10 runs per scenario)</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20"/>
        <w:gridCol w:w="440"/>
        <w:gridCol w:w="980"/>
        <w:gridCol w:w="700"/>
        <w:gridCol w:w="680"/>
        <w:gridCol w:w="680"/>
        <w:gridCol w:w="960"/>
        <w:gridCol w:w="960"/>
        <w:gridCol w:w="820"/>
        <w:gridCol w:w="580"/>
        <w:gridCol w:w="640"/>
      </w:tblGrid>
      <w:tr>
        <w:trPr>
          <w:tblHeader/>
        </w:trPr>
        <w:tc>
          <w:tcPr>
            <w:tcW w:type="dxa" w:w="13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Scenario</w:t>
            </w:r>
          </w:p>
        </w:tc>
        <w:tc>
          <w:tcPr>
            <w:tcW w:type="dxa" w:w="4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9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Throughput</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Loss</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RTT</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Jitter</w:t>
            </w:r>
          </w:p>
        </w:tc>
        <w:tc>
          <w:tcPr>
            <w:tcW w:type="dxa" w:w="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Recovery ms</w:t>
            </w:r>
          </w:p>
        </w:tc>
        <w:tc>
          <w:tcPr>
            <w:tcW w:type="dxa" w:w="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Decision ms</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Flow rules</w:t>
            </w:r>
          </w:p>
        </w:tc>
        <w:tc>
          <w:tcPr>
            <w:tcW w:type="dxa" w:w="5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Disconn</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Audit</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Normal</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38.0 ms</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4.0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292.2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292.2 ms</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3,535</w:t>
            </w:r>
          </w:p>
        </w:tc>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1-Link Fail</w:t>
            </w:r>
          </w:p>
        </w:tc>
        <w:tc>
          <w:tcPr>
            <w:tcW w:type="dxa" w:w="4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38.0 ms</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4.0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281.1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281.1 ms</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3,535</w:t>
            </w:r>
          </w:p>
        </w:tc>
        <w:tc>
          <w:tcPr>
            <w:tcW w:type="dxa" w:w="5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2-Link Fail</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38.0 ms</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4.0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277.3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277.3 ms</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3,535</w:t>
            </w:r>
          </w:p>
        </w:tc>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Cap Deg 50%</w:t>
            </w:r>
          </w:p>
        </w:tc>
        <w:tc>
          <w:tcPr>
            <w:tcW w:type="dxa" w:w="4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38.0 ms</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4.0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295.9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295.9 ms</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3,535</w:t>
            </w:r>
          </w:p>
        </w:tc>
        <w:tc>
          <w:tcPr>
            <w:tcW w:type="dxa" w:w="5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Spike ×3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38.0 ms</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4.0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291.8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291.8 ms</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3,535</w:t>
            </w:r>
          </w:p>
        </w:tc>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Spike+Fail</w:t>
            </w:r>
          </w:p>
        </w:tc>
        <w:tc>
          <w:tcPr>
            <w:tcW w:type="dxa" w:w="4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38.4 ms</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4.0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279.9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279.9 ms</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3,535</w:t>
            </w:r>
          </w:p>
        </w:tc>
        <w:tc>
          <w:tcPr>
            <w:tcW w:type="dxa" w:w="5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bl>
    <w:p>
      <w:pPr>
        <w:spacing w:after="70" w:before="30"/>
        <w:ind w:left="300"/>
      </w:pPr>
      <w:r>
        <w:rPr>
          <w:rFonts w:ascii="Arial" w:cs="Arial" w:eastAsia="Arial" w:hAnsi="Arial"/>
          <w:b/>
          <w:bCs/>
          <w:sz w:val="15"/>
          <w:szCs w:val="15"/>
        </w:rPr>
        <w:t xml:space="preserve">Note: </w:t>
      </w:r>
      <w:r>
        <w:rPr>
          <w:rFonts w:ascii="Arial" w:cs="Arial" w:eastAsia="Arial" w:hAnsi="Arial"/>
          <w:i/>
          <w:iCs/>
          <w:sz w:val="15"/>
          <w:szCs w:val="15"/>
        </w:rPr>
        <w:t xml:space="preserve">All 120 LP-derived runs carry clean-method audit flags (gnn/lpd/dqn=1; heuristic/RF/sticky/stage2/finalization=0; criticality_backend=gnn_lpd; audit PASS).</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Appendix B — Historical legacy rows from original accepted report — not the final clean method</w:t>
      </w:r>
    </w:p>
    <w:p>
      <w:pPr>
        <w:pBdr>
          <w:left w:val="single" w:color="2E75B6" w:sz="8" w:space="8"/>
        </w:pBdr>
        <w:spacing w:after="50" w:before="50"/>
        <w:ind w:left="540"/>
      </w:pPr>
      <w:r>
        <w:rPr>
          <w:rFonts w:ascii="Arial" w:cs="Arial" w:eastAsia="Arial" w:hAnsi="Arial"/>
          <w:i/>
          <w:iCs/>
          <w:sz w:val="16"/>
          <w:szCs w:val="16"/>
        </w:rPr>
        <w:t xml:space="preserve">Not the final method. The row below is the legacy Reward-Gated GNN-LPD result from the original accepted report, retained for historical reference only. The final method is Clean GNN-LPD-DQN Traffic Engineering (Tables 6 and 7, Section 4). Do not interpret any Reward-Gated row as the current final method.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600"/>
        <w:gridCol w:w="500"/>
        <w:gridCol w:w="800"/>
        <w:gridCol w:w="800"/>
        <w:gridCol w:w="6980"/>
      </w:tblGrid>
      <w:tr>
        <w:trPr>
          <w:tblHeader/>
        </w:trPr>
        <w:tc>
          <w:tcPr>
            <w:tcW w:type="dxa" w:w="4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Method/Budget (legacy — not final)</w:t>
            </w:r>
          </w:p>
        </w:tc>
        <w:tc>
          <w:tcPr>
            <w:tcW w:type="dxa" w:w="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PR</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DB</w:t>
            </w:r>
          </w:p>
        </w:tc>
        <w:tc>
          <w:tcPr>
            <w:tcW w:type="dxa" w:w="69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Notes</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Reward-Gated GNN-LPD Traffic Engineering (legacy original-report final low-DB method)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6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Historical legacy; superseded by Clean GNN-LPD-DQN Traffic Engineering. Reproduced only via audit_legacy_reward_gated_gnn_lpd_report.py.</w:t>
            </w:r>
          </w:p>
        </w:tc>
      </w:tr>
    </w:tbl>
    <w:p>
      <w:r>
        <w:rPr>
          <w:rFonts w:ascii="Arial" w:cs="Arial" w:eastAsia="Arial" w:hAnsi="Arial"/>
          <w:sz w:val="18"/>
          <w:szCs w:val="18"/>
        </w:rPr>
        <w:t xml:space="preserve">The legacy Reward-Gated artifact is not regenerated in this clean run and contributes no number to any final-method claim in Sections 2–12.</w:t>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sz w:val="15"/>
        <w:szCs w:val="15"/>
      </w:rPr>
      <w:t xml:space="preserve">Page </w:t>
    </w:r>
    <w:r>
      <w:rPr>
        <w:rFonts w:ascii="Arial" w:cs="Arial" w:eastAsia="Arial" w:hAnsi="Arial"/>
        <w:sz w:val="15"/>
        <w:szCs w:val="15"/>
      </w:rPr>
      <w:fldChar w:fldCharType="begin"/>
      <w:instrText xml:space="preserve">PAGE</w:instrText>
      <w:fldChar w:fldCharType="separate"/>
      <w:fldChar w:fldCharType="end"/>
    </w:r>
    <w:r>
      <w:rPr>
        <w:rFonts w:ascii="Arial" w:cs="Arial" w:eastAsia="Arial" w:hAnsi="Arial"/>
        <w:sz w:val="15"/>
        <w:szCs w:val="15"/>
      </w:rPr>
      <w:t xml:space="preserve"> of </w:t>
    </w:r>
    <w:r>
      <w:rPr>
        <w:rFonts w:ascii="Arial" w:cs="Arial" w:eastAsia="Arial" w:hAnsi="Arial"/>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sz w:val="15"/>
        <w:szCs w:val="15"/>
      </w:rPr>
      <w:t xml:space="preserve">Clean GNN-LPD-DQN TE Report  |  N=3,288 main subset  |  Failure PASS  |  Section 10 original SDN/Mininet live metrics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20" w:before="280"/>
      <w:outlineLvl w:val="0"/>
    </w:pPr>
    <w:rPr>
      <w:rFonts w:ascii="Arial" w:cs="Arial" w:eastAsia="Arial" w:hAnsi="Arial"/>
      <w:b/>
      <w:bCs/>
      <w:color w:val="2E75B6"/>
      <w:sz w:val="30"/>
      <w:szCs w:val="30"/>
    </w:rPr>
  </w:style>
  <w:style w:type="paragraph" w:styleId="Heading2">
    <w:name w:val="Heading 2"/>
    <w:basedOn w:val="Normal"/>
    <w:next w:val="Normal"/>
    <w:qFormat/>
    <w:pPr>
      <w:spacing w:after="70" w:before="15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185fe9375c26bbd0fc4640d3d4ea8dddce0323.png"/><Relationship Id="rId10" Type="http://schemas.openxmlformats.org/officeDocument/2006/relationships/image" Target="media/1bcb6613c978735c63eaab6b2d6d0035056e4ec2.png"/><Relationship Id="rId11" Type="http://schemas.openxmlformats.org/officeDocument/2006/relationships/image" Target="media/3535f66189d2027088e41fa8baf59f095778e5fb.png"/><Relationship Id="rId12" Type="http://schemas.openxmlformats.org/officeDocument/2006/relationships/image" Target="media/fada6889527cacf77364bcd01189bb1a20c21a27.png"/><Relationship Id="rId13" Type="http://schemas.openxmlformats.org/officeDocument/2006/relationships/image" Target="media/fdb3698455210f314416907f3b04c5faa9211355.png"/><Relationship Id="rId14" Type="http://schemas.openxmlformats.org/officeDocument/2006/relationships/image" Target="media/9d270ebac6eb4a82d70a8be5ec4c1fbbabcab42e.png"/><Relationship Id="rId15" Type="http://schemas.openxmlformats.org/officeDocument/2006/relationships/image" Target="media/34371f7985179aa450a8578bc55dabfc09babcb9.png"/><Relationship Id="rId16" Type="http://schemas.openxmlformats.org/officeDocument/2006/relationships/image" Target="media/f2d758838ad55130c7988d366d6b4d2ade0e1038.png"/><Relationship Id="rId17" Type="http://schemas.openxmlformats.org/officeDocument/2006/relationships/image" Target="media/c2d53b043d2afd1ffb4919ea71a776496902bb77.png"/><Relationship Id="rId18" Type="http://schemas.openxmlformats.org/officeDocument/2006/relationships/image" Target="media/895ad8cec48bab296220a93714975cb7f3c1e7a8.png"/><Relationship Id="rId19" Type="http://schemas.openxmlformats.org/officeDocument/2006/relationships/image" Target="media/fcb7bf4ed133a50d5ec85685b788169ddec0f45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2026-06-18T09:04:19.131Z</dcterms:created>
  <dcterms:modified xsi:type="dcterms:W3CDTF">2026-06-18T09:04:19.135Z</dcterms:modified>
</cp:coreProperties>
</file>

<file path=docProps/custom.xml><?xml version="1.0" encoding="utf-8"?>
<Properties xmlns="http://schemas.openxmlformats.org/officeDocument/2006/custom-properties" xmlns:vt="http://schemas.openxmlformats.org/officeDocument/2006/docPropsVTypes"/>
</file>