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D78"/>
          <w:sz w:val="32"/>
        </w:rPr>
        <w:t>Full Metrics — Topology-Agnostic Bottleneck-Ranking DDQN</w:t>
      </w:r>
    </w:p>
    <w:p>
      <w:pPr>
        <w:spacing w:after="120"/>
      </w:pPr>
      <w:r>
        <w:rPr>
          <w:b w:val="0"/>
          <w:i/>
          <w:sz w:val="18"/>
        </w:rPr>
        <w:t>Metrics for the current method only. All values are computed from the frozen final evaluation (final_learned_4of5_iter2_eval_per_cycle.csv; 3816 cycles; 8 topologies; argmax-Q, no forced actuator).</w:t>
      </w:r>
    </w:p>
    <w:p>
      <w:pPr>
        <w:pStyle w:val="Heading1"/>
      </w:pPr>
      <w:r>
        <w:t>1. Method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val="clear" w:fill="1F4D78"/>
          </w:tcPr>
          <w:p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7200"/>
            <w:shd w:val="clear" w:fill="1F4D78"/>
          </w:tcPr>
          <w:p>
            <w:r>
              <w:rPr>
                <w:b/>
                <w:color w:val="FFFFFF"/>
                <w:sz w:val="19"/>
              </w:rPr>
              <w:t>Role in the final method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19"/>
              </w:rPr>
              <w:t>GNN-LPD scorer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learned per-OD criticality score (one input signal)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19"/>
              </w:rPr>
              <w:t>Bottleneck-aware ranking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orders OD pairs by relief (demand x ECMP-flow x link-util) + 0.3 x GNN; selects top-K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19"/>
              </w:rPr>
              <w:t>Double-DQN (argmax-Q)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action policy: chooses KEEP or an optimize budget K from {50,100,200,300,500,800}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19"/>
              </w:rPr>
              <w:t>Selected-flow LP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feasible routing optimizer over the selected top-K ODs only</w:t>
            </w:r>
          </w:p>
        </w:tc>
      </w:tr>
      <w:tr>
        <w:tc>
          <w:tcPr>
            <w:tcW w:type="dxa" w:w="3168"/>
          </w:tcPr>
          <w:p>
            <w:r>
              <w:rPr>
                <w:b w:val="0"/>
                <w:sz w:val="19"/>
              </w:rPr>
              <w:t>ECMP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fixed background routing for all nonselected ODs</w:t>
            </w:r>
          </w:p>
        </w:tc>
      </w:tr>
    </w:tbl>
    <w:p>
      <w:pPr>
        <w:spacing w:after="40"/>
      </w:pPr>
    </w:p>
    <w:p>
      <w:pPr>
        <w:pStyle w:val="Heading1"/>
      </w:pPr>
      <w:r>
        <w:t>2. Normal-scenario metrics (per topology)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Topology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N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MeanPR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MedPR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PR&gt;=.95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PR&gt;=.90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MinPR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MeanDB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P95DB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MaxDB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Mean ms</w:t>
            </w:r>
          </w:p>
        </w:tc>
        <w:tc>
          <w:tcPr>
            <w:tcW w:type="dxa" w:w="816"/>
            <w:shd w:val="clear" w:fill="1F4D78"/>
          </w:tcPr>
          <w:p>
            <w:r>
              <w:rPr>
                <w:b/>
                <w:color w:val="FFFFFF"/>
                <w:sz w:val="15"/>
              </w:rPr>
              <w:t>P95 ms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Abilene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2016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0.9843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1.0000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87%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97%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0.8109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0.0058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0.0202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0.0510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10.7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20.4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GEANT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672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0.9983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0.9999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99%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99%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0.5848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0.0030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0.0057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0.0701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66.6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121.1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CERNET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0.9925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1.0000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96%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100%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0.8933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0.0002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0.0008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0.0077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46.1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120.7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Sprintlink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0.9960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1.0000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100%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100%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0.9600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0.0034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0.0090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0.0546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174.8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278.8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Tiscali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0.9522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0.9543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54%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100%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0.8928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0.0020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0.0092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0.0311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76.8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298.4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Ebone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200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0.9713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0.9806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82%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96%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0.8874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0.0003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0.0016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0.0133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3.0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33.6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Germany50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288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0.9878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0.9989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96%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97%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0.4090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0.0098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0.0406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0.0659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212.6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285.5</w:t>
            </w:r>
          </w:p>
        </w:tc>
      </w:tr>
      <w:tr>
        <w:tc>
          <w:tcPr>
            <w:tcW w:type="dxa" w:w="816"/>
          </w:tcPr>
          <w:p>
            <w:r>
              <w:rPr>
                <w:b w:val="0"/>
                <w:sz w:val="15"/>
              </w:rPr>
              <w:t>VtlWavenet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40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0.9373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0.9383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100%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0.9310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0.0007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0.0014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0.0017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295.9</w:t>
            </w:r>
          </w:p>
        </w:tc>
        <w:tc>
          <w:tcPr>
            <w:tcW w:type="dxa" w:w="816"/>
          </w:tcPr>
          <w:p>
            <w:r>
              <w:rPr>
                <w:b w:val="0"/>
                <w:sz w:val="15"/>
              </w:rPr>
              <w:t>307.3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8"/>
        </w:rPr>
        <w:t>All eight topologies satisfy PR &gt;= 0.90 and both mean and p95 decision time below 500 ms.</w:t>
      </w:r>
    </w:p>
    <w:p>
      <w:pPr>
        <w:pStyle w:val="Heading2"/>
      </w:pPr>
      <w:r>
        <w:t>2b. MLU and MLU/optimum (= 1/PR)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304"/>
            <w:shd w:val="clear" w:fill="1F4D78"/>
          </w:tcPr>
          <w:p>
            <w:r>
              <w:rPr>
                <w:b/>
                <w:color w:val="FFFFFF"/>
                <w:sz w:val="17"/>
              </w:rPr>
              <w:t>Topology</w:t>
            </w:r>
          </w:p>
        </w:tc>
        <w:tc>
          <w:tcPr>
            <w:tcW w:type="dxa" w:w="1872"/>
            <w:shd w:val="clear" w:fill="1F4D78"/>
          </w:tcPr>
          <w:p>
            <w:r>
              <w:rPr>
                <w:b/>
                <w:color w:val="FFFFFF"/>
                <w:sz w:val="17"/>
              </w:rPr>
              <w:t>Mean MLU</w:t>
            </w:r>
          </w:p>
        </w:tc>
        <w:tc>
          <w:tcPr>
            <w:tcW w:type="dxa" w:w="1872"/>
            <w:shd w:val="clear" w:fill="1F4D78"/>
          </w:tcPr>
          <w:p>
            <w:r>
              <w:rPr>
                <w:b/>
                <w:color w:val="FFFFFF"/>
                <w:sz w:val="17"/>
              </w:rPr>
              <w:t>P95 MLU</w:t>
            </w:r>
          </w:p>
        </w:tc>
        <w:tc>
          <w:tcPr>
            <w:tcW w:type="dxa" w:w="1872"/>
            <w:shd w:val="clear" w:fill="1F4D78"/>
          </w:tcPr>
          <w:p>
            <w:r>
              <w:rPr>
                <w:b/>
                <w:color w:val="FFFFFF"/>
                <w:sz w:val="17"/>
              </w:rPr>
              <w:t>Max MLU</w:t>
            </w:r>
          </w:p>
        </w:tc>
        <w:tc>
          <w:tcPr>
            <w:tcW w:type="dxa" w:w="2160"/>
            <w:shd w:val="clear" w:fill="1F4D78"/>
          </w:tcPr>
          <w:p>
            <w:r>
              <w:rPr>
                <w:b/>
                <w:color w:val="FFFFFF"/>
                <w:sz w:val="17"/>
              </w:rPr>
              <w:t>Mean MLU/opt</w:t>
            </w:r>
          </w:p>
        </w:tc>
        <w:tc>
          <w:tcPr>
            <w:tcW w:type="dxa" w:w="2160"/>
            <w:shd w:val="clear" w:fill="1F4D78"/>
          </w:tcPr>
          <w:p>
            <w:r>
              <w:rPr>
                <w:b/>
                <w:color w:val="FFFFFF"/>
                <w:sz w:val="17"/>
              </w:rPr>
              <w:t>Max MLU/opt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Abilene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0.0506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0.0668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0.1132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1.0171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1.2331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GEANT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0.1091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0.1313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0.1940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1.0025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1.7101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CERNET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0.6338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0.8650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0.8975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1.0079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1.1194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0.7134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0.8772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0.9029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1.0041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1.0417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Tiscali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0.6457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0.8690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0.8976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1.0508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1.1201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Ebone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0.7291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0.8767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0.9584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1.0304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1.1269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Germany50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12.4247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16.3146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26.1577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1.0181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2.4451</w:t>
            </w:r>
          </w:p>
        </w:tc>
      </w:tr>
      <w:tr>
        <w:tc>
          <w:tcPr>
            <w:tcW w:type="dxa" w:w="2304"/>
          </w:tcPr>
          <w:p>
            <w:r>
              <w:rPr>
                <w:b w:val="0"/>
                <w:sz w:val="17"/>
              </w:rPr>
              <w:t>VtlWavenet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1.0391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1.0970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1.0987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1.0669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1.0741</w:t>
            </w:r>
          </w:p>
        </w:tc>
      </w:tr>
    </w:tbl>
    <w:p>
      <w:pPr>
        <w:spacing w:after="40"/>
      </w:pPr>
    </w:p>
    <w:p>
      <w:pPr>
        <w:pStyle w:val="Heading1"/>
      </w:pPr>
      <w:r>
        <w:t>3. Pooled summary (all cycles)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val="clear" w:fill="1F4D78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68"/>
            <w:shd w:val="clear" w:fill="1F4D78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Cycles (N)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3816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Mean PR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0.9852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Median PR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0.9999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PR &gt;= 0.95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88.2%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PR &gt;= 0.90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97.7%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Min PR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0.4090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Mean DB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0.0047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P95 DB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0.0167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Mean decision ms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52.3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P95 decision ms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221.7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8"/>
              </w:rPr>
              <w:t>Max decision ms</w:t>
            </w:r>
          </w:p>
        </w:tc>
        <w:tc>
          <w:tcPr>
            <w:tcW w:type="dxa" w:w="3168"/>
          </w:tcPr>
          <w:p>
            <w:r>
              <w:rPr>
                <w:b w:val="0"/>
                <w:sz w:val="18"/>
              </w:rPr>
              <w:t>477.2</w:t>
            </w:r>
          </w:p>
        </w:tc>
      </w:tr>
    </w:tbl>
    <w:p>
      <w:pPr>
        <w:spacing w:after="40"/>
      </w:pPr>
    </w:p>
    <w:p>
      <w:pPr>
        <w:pStyle w:val="Heading1"/>
      </w:pPr>
      <w:r>
        <w:t>4. Action distribution (per topology)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Topology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KEEP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K50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K100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K200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K300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K500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K800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6"/>
              </w:rPr>
              <w:t>Most used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983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K50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K200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CERNET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KEEP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Sprintlink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K800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Tiscali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KEEP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Ebone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KEEP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Germany50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K800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6"/>
              </w:rPr>
              <w:t>VtlWavenet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088"/>
          </w:tcPr>
          <w:p>
            <w:r>
              <w:rPr>
                <w:b w:val="0"/>
                <w:sz w:val="16"/>
              </w:rPr>
              <w:t>K50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The action is chosen per traffic-matrix cycle by argmax-Q, so one topology uses multiple actions. KEEP can dominate while mean K is nonzero because KEEP reuses the carried routing between optimize cycles.</w:t>
      </w:r>
    </w:p>
    <w:p>
      <w:pPr>
        <w:pStyle w:val="Heading1"/>
      </w:pPr>
      <w:r>
        <w:t>5. K sensitivity and ranking ablation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1F4D78"/>
          </w:tcPr>
          <w:p>
            <w:r>
              <w:rPr>
                <w:b/>
                <w:color w:val="FFFFFF"/>
                <w:sz w:val="17"/>
              </w:rPr>
              <w:t>Topology</w:t>
            </w:r>
          </w:p>
        </w:tc>
        <w:tc>
          <w:tcPr>
            <w:tcW w:type="dxa" w:w="1958"/>
            <w:shd w:val="clear" w:fill="1F4D78"/>
          </w:tcPr>
          <w:p>
            <w:r>
              <w:rPr>
                <w:b/>
                <w:color w:val="FFFFFF"/>
                <w:sz w:val="17"/>
              </w:rPr>
              <w:t>K</w:t>
            </w:r>
          </w:p>
        </w:tc>
        <w:tc>
          <w:tcPr>
            <w:tcW w:type="dxa" w:w="1958"/>
            <w:shd w:val="clear" w:fill="1F4D78"/>
          </w:tcPr>
          <w:p>
            <w:r>
              <w:rPr>
                <w:b/>
                <w:color w:val="FFFFFF"/>
                <w:sz w:val="17"/>
              </w:rPr>
              <w:t>Ranking</w:t>
            </w:r>
          </w:p>
        </w:tc>
        <w:tc>
          <w:tcPr>
            <w:tcW w:type="dxa" w:w="1958"/>
            <w:shd w:val="clear" w:fill="1F4D78"/>
          </w:tcPr>
          <w:p>
            <w:r>
              <w:rPr>
                <w:b/>
                <w:color w:val="FFFFFF"/>
                <w:sz w:val="17"/>
              </w:rPr>
              <w:t>Mean PR</w:t>
            </w:r>
          </w:p>
        </w:tc>
        <w:tc>
          <w:tcPr>
            <w:tcW w:type="dxa" w:w="1958"/>
            <w:shd w:val="clear" w:fill="1F4D78"/>
          </w:tcPr>
          <w:p>
            <w:r>
              <w:rPr>
                <w:b/>
                <w:color w:val="FFFFFF"/>
                <w:sz w:val="17"/>
              </w:rPr>
              <w:t>Mean ms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gnn_only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0.9700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256.9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relief_only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0.9979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259.3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blend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0.9960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251.6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gnn_only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0.9883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374.5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relief_only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380.1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800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blend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0.9993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377.9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Tiscali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gnn_only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0.9268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206.4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Tiscali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relief_only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0.9236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193.5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Tiscali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300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blend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0.9243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207.8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Germany50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gnn_only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0.9356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127.6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Germany50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relief_only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0.9900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141.1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Germany50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blend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0.9555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131.1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CERNET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gnn_only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55.1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CERNET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relief_only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54.5</w:t>
            </w:r>
          </w:p>
        </w:tc>
      </w:tr>
      <w:tr>
        <w:tc>
          <w:tcPr>
            <w:tcW w:type="dxa" w:w="1958"/>
          </w:tcPr>
          <w:p>
            <w:r>
              <w:rPr>
                <w:b w:val="0"/>
                <w:sz w:val="17"/>
              </w:rPr>
              <w:t>CERNET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blend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1.0000</w:t>
            </w:r>
          </w:p>
        </w:tc>
        <w:tc>
          <w:tcPr>
            <w:tcW w:type="dxa" w:w="1958"/>
          </w:tcPr>
          <w:p>
            <w:r>
              <w:rPr>
                <w:b w:val="0"/>
                <w:sz w:val="17"/>
              </w:rPr>
              <w:t>61.0</w:t>
            </w:r>
          </w:p>
        </w:tc>
      </w:tr>
    </w:tbl>
    <w:p>
      <w:pPr>
        <w:spacing w:after="40"/>
      </w:pPr>
    </w:p>
    <w:p>
      <w:pPr>
        <w:pStyle w:val="Heading1"/>
      </w:pPr>
      <w:r>
        <w:t>6. RL policy and reward settings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val="clear" w:fill="1F4D78"/>
          </w:tcPr>
          <w:p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type="dxa" w:w="6912"/>
            <w:shd w:val="clear" w:fill="1F4D78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Controller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Double-DQN (argmax-Q at inference)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Action space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KEEP, K50, K100, K200, K300, K500, K800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gamma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0.5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W_PR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10.0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W_MLU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5.0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W_DB (lambda for DB)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20.0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W_MS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0.003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W_K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0.5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target bonus / gates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+10 if PR&gt;=target; penalty if PR&lt;target; flat anti-KEEP-below-target; ms&gt;500 gate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epsilon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1.0 -&gt; 0.05</w:t>
            </w:r>
          </w:p>
        </w:tc>
      </w:tr>
      <w:tr>
        <w:tc>
          <w:tcPr>
            <w:tcW w:type="dxa" w:w="3456"/>
          </w:tcPr>
          <w:p>
            <w:r>
              <w:rPr>
                <w:b w:val="0"/>
                <w:sz w:val="17"/>
              </w:rPr>
              <w:t>episodes</w:t>
            </w:r>
          </w:p>
        </w:tc>
        <w:tc>
          <w:tcPr>
            <w:tcW w:type="dxa" w:w="6912"/>
          </w:tcPr>
          <w:p>
            <w:r>
              <w:rPr>
                <w:b w:val="0"/>
                <w:sz w:val="17"/>
              </w:rPr>
              <w:t>22 (x6 seen topos x 160 cycles)</w:t>
            </w:r>
          </w:p>
        </w:tc>
      </w:tr>
    </w:tbl>
    <w:p>
      <w:pPr>
        <w:spacing w:after="40"/>
      </w:pPr>
    </w:p>
    <w:p>
      <w:pPr>
        <w:pStyle w:val="Heading1"/>
      </w:pPr>
      <w:r>
        <w:t>7. Zero-shot generalization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Zero-shot topology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N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Mean PR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PR&gt;=.90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PR&gt;=.95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Min PR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Mean DB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P95 DB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7"/>
              </w:rPr>
              <w:t>Mean ms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7"/>
              </w:rPr>
              <w:t>Germany50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288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0.9878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97%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96%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0.4090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0.0098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0.0406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212.6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7"/>
              </w:rPr>
              <w:t>VtlWavenet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0.9373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0%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0.9310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0.0007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0.0014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295.9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7"/>
              </w:rPr>
              <w:t>Combined zero-shot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328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0.9816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98%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84%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0.4090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0.0087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0.0319</w:t>
            </w:r>
          </w:p>
        </w:tc>
        <w:tc>
          <w:tcPr>
            <w:tcW w:type="dxa" w:w="1088"/>
          </w:tcPr>
          <w:p>
            <w:r>
              <w:rPr>
                <w:b w:val="0"/>
                <w:sz w:val="17"/>
              </w:rPr>
              <w:t>222.8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8"/>
        </w:rPr>
        <w:t>VtlWavenet robust re-evaluation (extended from 40 to 200 traffic matrices):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VtlWavenet</w:t>
            </w:r>
          </w:p>
        </w:tc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N (TMs)</w:t>
            </w:r>
          </w:p>
        </w:tc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Mean PR</w:t>
            </w:r>
          </w:p>
        </w:tc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PR&gt;=.90</w:t>
            </w:r>
          </w:p>
        </w:tc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Min PR</w:t>
            </w:r>
          </w:p>
        </w:tc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Mean DB</w:t>
            </w:r>
          </w:p>
        </w:tc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Mean ms</w:t>
            </w:r>
          </w:p>
        </w:tc>
        <w:tc>
          <w:tcPr>
            <w:tcW w:type="dxa" w:w="1224"/>
            <w:shd w:val="clear" w:fill="1F4D78"/>
          </w:tcPr>
          <w:p>
            <w:r>
              <w:rPr>
                <w:b/>
                <w:color w:val="FFFFFF"/>
                <w:sz w:val="17"/>
              </w:rPr>
              <w:t>P95 ms</w:t>
            </w:r>
          </w:p>
        </w:tc>
      </w:tr>
      <w:tr>
        <w:tc>
          <w:tcPr>
            <w:tcW w:type="dxa" w:w="1224"/>
          </w:tcPr>
          <w:p>
            <w:r>
              <w:rPr>
                <w:b w:val="0"/>
                <w:sz w:val="17"/>
              </w:rPr>
              <w:t>Original sample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0.9373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0.0007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295.9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307.3</w:t>
            </w:r>
          </w:p>
        </w:tc>
      </w:tr>
      <w:tr>
        <w:tc>
          <w:tcPr>
            <w:tcW w:type="dxa" w:w="1224"/>
          </w:tcPr>
          <w:p>
            <w:r>
              <w:rPr>
                <w:b w:val="0"/>
                <w:sz w:val="17"/>
              </w:rPr>
              <w:t>Robust (200 TMs)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200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0.9340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0.9251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0.0005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326.2</w:t>
            </w:r>
          </w:p>
        </w:tc>
        <w:tc>
          <w:tcPr>
            <w:tcW w:type="dxa" w:w="1224"/>
          </w:tcPr>
          <w:p>
            <w:r>
              <w:rPr>
                <w:b w:val="0"/>
                <w:sz w:val="17"/>
              </w:rPr>
              <w:t>639.9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The PR is confirmed robust (200/200 cycles &gt;= 0.90, mean 0.934). The larger sample shows the decision-time tail (p95) exceeds 500 ms on this largest topology; decision time is also contention-sensitive. VtlWavenet remains a zero-shot generalization spot-check (8372 OD pairs, the costliest topology).</w:t>
      </w:r>
    </w:p>
    <w:p>
      <w:pPr>
        <w:pStyle w:val="Heading1"/>
      </w:pPr>
      <w:r>
        <w:t>8. Decision-time breakdown, solver, LP size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160"/>
            <w:shd w:val="clear" w:fill="1F4D78"/>
          </w:tcPr>
          <w:p>
            <w:r>
              <w:rPr>
                <w:b/>
                <w:color w:val="FFFFFF"/>
                <w:sz w:val="17"/>
              </w:rPr>
              <w:t>Topology</w:t>
            </w:r>
          </w:p>
        </w:tc>
        <w:tc>
          <w:tcPr>
            <w:tcW w:type="dxa" w:w="2016"/>
            <w:shd w:val="clear" w:fill="1F4D78"/>
          </w:tcPr>
          <w:p>
            <w:r>
              <w:rPr>
                <w:b/>
                <w:color w:val="FFFFFF"/>
                <w:sz w:val="17"/>
              </w:rPr>
              <w:t>GNN/scoring ms</w:t>
            </w:r>
          </w:p>
        </w:tc>
        <w:tc>
          <w:tcPr>
            <w:tcW w:type="dxa" w:w="2304"/>
            <w:shd w:val="clear" w:fill="1F4D78"/>
          </w:tcPr>
          <w:p>
            <w:r>
              <w:rPr>
                <w:b/>
                <w:color w:val="FFFFFF"/>
                <w:sz w:val="17"/>
              </w:rPr>
              <w:t>LP ms (optimize avg)</w:t>
            </w:r>
          </w:p>
        </w:tc>
        <w:tc>
          <w:tcPr>
            <w:tcW w:type="dxa" w:w="1872"/>
            <w:shd w:val="clear" w:fill="1F4D78"/>
          </w:tcPr>
          <w:p>
            <w:r>
              <w:rPr>
                <w:b/>
                <w:color w:val="FFFFFF"/>
                <w:sz w:val="17"/>
              </w:rPr>
              <w:t>Total mean ms</w:t>
            </w:r>
          </w:p>
        </w:tc>
        <w:tc>
          <w:tcPr>
            <w:tcW w:type="dxa" w:w="1440"/>
            <w:shd w:val="clear" w:fill="1F4D78"/>
          </w:tcPr>
          <w:p>
            <w:r>
              <w:rPr>
                <w:b/>
                <w:color w:val="FFFFFF"/>
                <w:sz w:val="17"/>
              </w:rPr>
              <w:t>P95 ms</w:t>
            </w:r>
          </w:p>
        </w:tc>
        <w:tc>
          <w:tcPr>
            <w:tcW w:type="dxa" w:w="1440"/>
            <w:shd w:val="clear" w:fill="1F4D78"/>
          </w:tcPr>
          <w:p>
            <w:r>
              <w:rPr>
                <w:b/>
                <w:color w:val="FFFFFF"/>
                <w:sz w:val="17"/>
              </w:rPr>
              <w:t>Max ms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Abilene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12.0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10.7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20.4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180.0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GEANT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59.6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66.6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121.1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199.2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CERNET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62.9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46.1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120.7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215.2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Sprintlink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186.0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174.8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278.8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376.0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Tiscali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206.0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76.8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298.4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387.4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Ebone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21.8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33.6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35.2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Germany50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186.6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212.6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285.5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375.6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17"/>
              </w:rPr>
              <w:t>VtlWavenet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140</w:t>
            </w:r>
          </w:p>
        </w:tc>
        <w:tc>
          <w:tcPr>
            <w:tcW w:type="dxa" w:w="2304"/>
          </w:tcPr>
          <w:p>
            <w:r>
              <w:rPr>
                <w:b w:val="0"/>
                <w:sz w:val="17"/>
              </w:rPr>
              <w:t>163.4</w:t>
            </w:r>
          </w:p>
        </w:tc>
        <w:tc>
          <w:tcPr>
            <w:tcW w:type="dxa" w:w="1872"/>
          </w:tcPr>
          <w:p>
            <w:r>
              <w:rPr>
                <w:b w:val="0"/>
                <w:sz w:val="17"/>
              </w:rPr>
              <w:t>295.9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307.3</w:t>
            </w:r>
          </w:p>
        </w:tc>
        <w:tc>
          <w:tcPr>
            <w:tcW w:type="dxa" w:w="1440"/>
          </w:tcPr>
          <w:p>
            <w:r>
              <w:rPr>
                <w:b w:val="0"/>
                <w:sz w:val="17"/>
              </w:rPr>
              <w:t>477.2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8"/>
        </w:rPr>
        <w:t>Decision time by action type (pooled):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016"/>
            <w:shd w:val="clear" w:fill="1F4D78"/>
          </w:tcPr>
          <w:p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1728"/>
            <w:shd w:val="clear" w:fill="1F4D78"/>
          </w:tcPr>
          <w:p>
            <w:r>
              <w:rPr>
                <w:b/>
                <w:color w:val="FFFFFF"/>
                <w:sz w:val="17"/>
              </w:rPr>
              <w:t>Rows</w:t>
            </w:r>
          </w:p>
        </w:tc>
        <w:tc>
          <w:tcPr>
            <w:tcW w:type="dxa" w:w="2016"/>
            <w:shd w:val="clear" w:fill="1F4D78"/>
          </w:tcPr>
          <w:p>
            <w:r>
              <w:rPr>
                <w:b/>
                <w:color w:val="FFFFFF"/>
                <w:sz w:val="17"/>
              </w:rPr>
              <w:t>Mean ms</w:t>
            </w:r>
          </w:p>
        </w:tc>
        <w:tc>
          <w:tcPr>
            <w:tcW w:type="dxa" w:w="2016"/>
            <w:shd w:val="clear" w:fill="1F4D78"/>
          </w:tcPr>
          <w:p>
            <w:r>
              <w:rPr>
                <w:b/>
                <w:color w:val="FFFFFF"/>
                <w:sz w:val="17"/>
              </w:rPr>
              <w:t>P95 ms</w:t>
            </w:r>
          </w:p>
        </w:tc>
        <w:tc>
          <w:tcPr>
            <w:tcW w:type="dxa" w:w="2016"/>
            <w:shd w:val="clear" w:fill="1F4D78"/>
          </w:tcPr>
          <w:p>
            <w:r>
              <w:rPr>
                <w:b/>
                <w:color w:val="FFFFFF"/>
                <w:sz w:val="17"/>
              </w:rPr>
              <w:t>Max ms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KEEP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1057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0.5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K50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1105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25.7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57.7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477.2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K100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70.3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71.0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71.0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K200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670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67.1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121.2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199.2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K300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45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126.0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220.6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259.1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K500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79.4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195.9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239.7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17"/>
              </w:rPr>
              <w:t>K800</w:t>
            </w:r>
          </w:p>
        </w:tc>
        <w:tc>
          <w:tcPr>
            <w:tcW w:type="dxa" w:w="1728"/>
          </w:tcPr>
          <w:p>
            <w:r>
              <w:rPr>
                <w:b w:val="0"/>
                <w:sz w:val="17"/>
              </w:rPr>
              <w:t>848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132.9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278.2</w:t>
            </w:r>
          </w:p>
        </w:tc>
        <w:tc>
          <w:tcPr>
            <w:tcW w:type="dxa" w:w="2016"/>
          </w:tcPr>
          <w:p>
            <w:r>
              <w:rPr>
                <w:b w:val="0"/>
                <w:sz w:val="17"/>
              </w:rPr>
              <w:t>387.4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18"/>
        </w:rPr>
        <w:t>Solver and LP size: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val="clear" w:fill="1F4D78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488"/>
            <w:shd w:val="clear" w:fill="1F4D78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LP solver</w:t>
            </w:r>
          </w:p>
        </w:tc>
        <w:tc>
          <w:tcPr>
            <w:tcW w:type="dxa" w:w="7488"/>
          </w:tcPr>
          <w:p>
            <w:r>
              <w:rPr>
                <w:b w:val="0"/>
                <w:sz w:val="17"/>
              </w:rPr>
              <w:t>PuLP + CBC (open-source)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LP type</w:t>
            </w:r>
          </w:p>
        </w:tc>
        <w:tc>
          <w:tcPr>
            <w:tcW w:type="dxa" w:w="7488"/>
          </w:tcPr>
          <w:p>
            <w:r>
              <w:rPr>
                <w:b w:val="0"/>
                <w:sz w:val="17"/>
              </w:rPr>
              <w:t>selected-flow path LP, DB-budgeted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k_paths</w:t>
            </w:r>
          </w:p>
        </w:tc>
        <w:tc>
          <w:tcPr>
            <w:tcW w:type="dxa" w:w="7488"/>
          </w:tcPr>
          <w:p>
            <w:r>
              <w:rPr>
                <w:b w:val="0"/>
                <w:sz w:val="17"/>
              </w:rPr>
              <w:t>8 for K50-K300; 4 for K500/K800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Seed</w:t>
            </w:r>
          </w:p>
        </w:tc>
        <w:tc>
          <w:tcPr>
            <w:tcW w:type="dxa" w:w="7488"/>
          </w:tcPr>
          <w:p>
            <w:r>
              <w:rPr>
                <w:b w:val="0"/>
                <w:sz w:val="17"/>
              </w:rPr>
              <w:t>42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7"/>
              </w:rPr>
              <w:t>Framework</w:t>
            </w:r>
          </w:p>
        </w:tc>
        <w:tc>
          <w:tcPr>
            <w:tcW w:type="dxa" w:w="7488"/>
          </w:tcPr>
          <w:p>
            <w:r>
              <w:rPr>
                <w:b w:val="0"/>
                <w:sz w:val="17"/>
              </w:rPr>
              <w:t>PyTorch (CPU)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872"/>
            <w:shd w:val="clear" w:fill="1F4D78"/>
          </w:tcPr>
          <w:p>
            <w:r>
              <w:rPr>
                <w:b/>
                <w:color w:val="FFFFFF"/>
                <w:sz w:val="16"/>
              </w:rPr>
              <w:t>Topology</w:t>
            </w:r>
          </w:p>
        </w:tc>
        <w:tc>
          <w:tcPr>
            <w:tcW w:type="dxa" w:w="1152"/>
            <w:shd w:val="clear" w:fill="1F4D78"/>
          </w:tcPr>
          <w:p>
            <w:r>
              <w:rPr>
                <w:b/>
                <w:color w:val="FFFFFF"/>
                <w:sz w:val="16"/>
              </w:rPr>
              <w:t>Nodes</w:t>
            </w:r>
          </w:p>
        </w:tc>
        <w:tc>
          <w:tcPr>
            <w:tcW w:type="dxa" w:w="1152"/>
            <w:shd w:val="clear" w:fill="1F4D78"/>
          </w:tcPr>
          <w:p>
            <w:r>
              <w:rPr>
                <w:b/>
                <w:color w:val="FFFFFF"/>
                <w:sz w:val="16"/>
              </w:rPr>
              <w:t>Links</w:t>
            </w:r>
          </w:p>
        </w:tc>
        <w:tc>
          <w:tcPr>
            <w:tcW w:type="dxa" w:w="1440"/>
            <w:shd w:val="clear" w:fill="1F4D78"/>
          </w:tcPr>
          <w:p>
            <w:r>
              <w:rPr>
                <w:b/>
                <w:color w:val="FFFFFF"/>
                <w:sz w:val="16"/>
              </w:rPr>
              <w:t>OD pairs</w:t>
            </w:r>
          </w:p>
        </w:tc>
        <w:tc>
          <w:tcPr>
            <w:tcW w:type="dxa" w:w="1728"/>
            <w:shd w:val="clear" w:fill="1F4D78"/>
          </w:tcPr>
          <w:p>
            <w:r>
              <w:rPr>
                <w:b/>
                <w:color w:val="FFFFFF"/>
                <w:sz w:val="16"/>
              </w:rPr>
              <w:t>sel OD avg</w:t>
            </w:r>
          </w:p>
        </w:tc>
        <w:tc>
          <w:tcPr>
            <w:tcW w:type="dxa" w:w="1296"/>
            <w:shd w:val="clear" w:fill="1F4D78"/>
          </w:tcPr>
          <w:p>
            <w:r>
              <w:rPr>
                <w:b/>
                <w:color w:val="FFFFFF"/>
                <w:sz w:val="16"/>
              </w:rPr>
              <w:t>k_paths</w:t>
            </w:r>
          </w:p>
        </w:tc>
        <w:tc>
          <w:tcPr>
            <w:tcW w:type="dxa" w:w="1584"/>
            <w:shd w:val="clear" w:fill="1F4D78"/>
          </w:tcPr>
          <w:p>
            <w:r>
              <w:rPr>
                <w:b/>
                <w:color w:val="FFFFFF"/>
                <w:sz w:val="16"/>
              </w:rPr>
              <w:t>LP vars ~avg</w:t>
            </w:r>
          </w:p>
        </w:tc>
        <w:tc>
          <w:tcPr>
            <w:tcW w:type="dxa" w:w="1296"/>
            <w:shd w:val="clear" w:fill="1F4D78"/>
          </w:tcPr>
          <w:p>
            <w:r>
              <w:rPr>
                <w:b/>
                <w:color w:val="FFFFFF"/>
                <w:sz w:val="16"/>
              </w:rPr>
              <w:t>Mean ms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Abilene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~412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10.7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GEANT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8/4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~1200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66.6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CERNET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1640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~618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46.1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Sprintlink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1892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8/4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~3696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174.8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Tiscali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2352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8/4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~1377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76.8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Ebone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~30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3.0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Germany50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1441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799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8/4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~4795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212.6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  <w:sz w:val="16"/>
              </w:rPr>
              <w:t>VtlWavenet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1152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440"/>
          </w:tcPr>
          <w:p>
            <w:r>
              <w:rPr>
                <w:b w:val="0"/>
                <w:sz w:val="16"/>
              </w:rPr>
              <w:t>8372</w:t>
            </w:r>
          </w:p>
        </w:tc>
        <w:tc>
          <w:tcPr>
            <w:tcW w:type="dxa" w:w="1728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584"/>
          </w:tcPr>
          <w:p>
            <w:r>
              <w:rPr>
                <w:b w:val="0"/>
                <w:sz w:val="16"/>
              </w:rPr>
              <w:t>~390</w:t>
            </w:r>
          </w:p>
        </w:tc>
        <w:tc>
          <w:tcPr>
            <w:tcW w:type="dxa" w:w="1296"/>
          </w:tcPr>
          <w:p>
            <w:r>
              <w:rPr>
                <w:b w:val="0"/>
                <w:sz w:val="16"/>
              </w:rPr>
              <w:t>295.9</w:t>
            </w:r>
          </w:p>
        </w:tc>
      </w:tr>
    </w:tbl>
    <w:p>
      <w:pPr>
        <w:spacing w:after="40"/>
      </w:pPr>
    </w:p>
    <w:p>
      <w:pPr>
        <w:pStyle w:val="Heading1"/>
      </w:pPr>
      <w:r>
        <w:t>9. Figures (current method)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546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pr_c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4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PR CDF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5467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db_c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4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DB CDF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5467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ms_c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46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Decision-time CDF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7059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pr_vs_d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705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PR-DB tradeoff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2920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eanp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9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Mean PR by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2920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meand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920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Mean DB by topology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283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actiond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8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Action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283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kdi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28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K-budget distribution</w:t>
      </w:r>
    </w:p>
    <w:p>
      <w:pPr>
        <w:pStyle w:val="Heading1"/>
      </w:pPr>
      <w:r>
        <w:t>9b. Failure scenarios (current method, real rerun)</w:t>
      </w:r>
    </w:p>
    <w:p>
      <w:pPr>
        <w:spacing w:after="120"/>
      </w:pPr>
      <w:r>
        <w:rPr>
          <w:b w:val="0"/>
          <w:i w:val="0"/>
          <w:sz w:val="18"/>
        </w:rPr>
        <w:t>Failure-link scenarios were rerun on the frozen Iter2 controller (argmax-Q + bottleneck ranking + selected-flow LP; nonselected ODs = ECMP). Abilene and GEANT, 20 cycles per scenario.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Topology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N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Mean PR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Our MLU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ECMP MLU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Mean DB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Mean ms</w:t>
            </w:r>
          </w:p>
        </w:tc>
        <w:tc>
          <w:tcPr>
            <w:tcW w:type="dxa" w:w="1088"/>
            <w:shd w:val="clear" w:fill="1F4D78"/>
          </w:tcPr>
          <w:p>
            <w:r>
              <w:rPr>
                <w:b/>
                <w:color w:val="FFFFFF"/>
                <w:sz w:val="14"/>
              </w:rPr>
              <w:t>Disc. ODs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normal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0.9921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0.0612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0.1599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0.0303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single link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0.9926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0.0652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0.1603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0.0363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two link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0.8965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0.0790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0.1669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0.0326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three link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0.1210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0.1377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0.0010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random link failure 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0.9854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0.0705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0.1638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0.0391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random link failure 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0.9191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0.1179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0.2488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0.0089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1.0000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0.1808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0.4796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0.0189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mixed spike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0.9998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0.1938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0.4809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0.0298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capacity degradation 50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0.9918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0.1224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0.3198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0.0229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normal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0.9912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0.1210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0.2901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0.0115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551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single link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0.9938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0.1808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0.3564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0.0088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1054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two link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0.9942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0.1808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0.3561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0.0084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827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three link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0.9944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0.1807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0.3565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0.0078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392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random link failure 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0.9906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0.1211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0.2901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0.0117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814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random link failure 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0.9900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0.1212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0.2945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0.0120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450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0.9911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0.3630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0.8704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0.0117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534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mixed spike failure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0.9939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0.5425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1.0693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0.0090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639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1088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capacity degradation 50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0.9908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0.2421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0.5802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0.0157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088"/>
          </w:tcPr>
          <w:p>
            <w:r>
              <w:rPr>
                <w:b w:val="0"/>
                <w:sz w:val="14"/>
              </w:rPr>
              <w:t>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17"/>
        </w:rPr>
        <w:t>Honest reading: the method holds PR&gt;=0.99 in most failure scenarios and roughly halves MLU versus ECMP. Weak points: Abilene two-link failure (PR 0.8965, below 0.90) and Abilene three-link failure disconnects 3 OD pairs (they lose all candidate paths under failure -- a physical partition). GEANT failure-mode decision time exceeds the 500 ms normal-traffic budget (the pruned-path LP is harder under failure); the &lt;500 ms guarantee is a normal-traffic result, not a failure-mode one.</w:t>
      </w:r>
    </w:p>
    <w:p>
      <w:pPr>
        <w:spacing w:after="120"/>
      </w:pPr>
      <w:r>
        <w:rPr>
          <w:b/>
          <w:i w:val="0"/>
          <w:sz w:val="18"/>
        </w:rPr>
        <w:t>Disconnected-OD detail: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val="clear" w:fill="1F4D78"/>
          </w:tcPr>
          <w:p>
            <w:r>
              <w:rPr>
                <w:b/>
                <w:color w:val="FFFFFF"/>
                <w:sz w:val="14"/>
              </w:rPr>
              <w:t>Topology</w:t>
            </w:r>
          </w:p>
        </w:tc>
        <w:tc>
          <w:tcPr>
            <w:tcW w:type="dxa" w:w="1632"/>
            <w:shd w:val="clear" w:fill="1F4D78"/>
          </w:tcPr>
          <w:p>
            <w:r>
              <w:rPr>
                <w:b/>
                <w:color w:val="FFFFFF"/>
                <w:sz w:val="14"/>
              </w:rPr>
              <w:t>Scenario</w:t>
            </w:r>
          </w:p>
        </w:tc>
        <w:tc>
          <w:tcPr>
            <w:tcW w:type="dxa" w:w="1632"/>
            <w:shd w:val="clear" w:fill="1F4D78"/>
          </w:tcPr>
          <w:p>
            <w:r>
              <w:rPr>
                <w:b/>
                <w:color w:val="FFFFFF"/>
                <w:sz w:val="14"/>
              </w:rPr>
              <w:t>Failed links</w:t>
            </w:r>
          </w:p>
        </w:tc>
        <w:tc>
          <w:tcPr>
            <w:tcW w:type="dxa" w:w="1632"/>
            <w:shd w:val="clear" w:fill="1F4D78"/>
          </w:tcPr>
          <w:p>
            <w:r>
              <w:rPr>
                <w:b/>
                <w:color w:val="FFFFFF"/>
                <w:sz w:val="14"/>
              </w:rPr>
              <w:t>Connected?</w:t>
            </w:r>
          </w:p>
        </w:tc>
        <w:tc>
          <w:tcPr>
            <w:tcW w:type="dxa" w:w="1632"/>
            <w:shd w:val="clear" w:fill="1F4D78"/>
          </w:tcPr>
          <w:p>
            <w:r>
              <w:rPr>
                <w:b/>
                <w:color w:val="FFFFFF"/>
                <w:sz w:val="14"/>
              </w:rPr>
              <w:t>Disconnected ODs</w:t>
            </w:r>
          </w:p>
        </w:tc>
        <w:tc>
          <w:tcPr>
            <w:tcW w:type="dxa" w:w="1632"/>
            <w:shd w:val="clear" w:fill="1F4D78"/>
          </w:tcPr>
          <w:p>
            <w:r>
              <w:rPr>
                <w:b/>
                <w:color w:val="FFFFFF"/>
                <w:sz w:val="14"/>
              </w:rPr>
              <w:t>Explanation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normal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single link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two link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three link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partial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some ODs lost all candidate paths under failure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random link failure 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random link failure 2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mixed spike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Abilene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capacity degradation 50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normal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single link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two link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three link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random link failure 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random link failure 2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spike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mixed spike failure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  <w:tr>
        <w:tc>
          <w:tcPr>
            <w:tcW w:type="dxa" w:w="1632"/>
          </w:tcPr>
          <w:p>
            <w:r>
              <w:rPr>
                <w:b w:val="0"/>
                <w:sz w:val="14"/>
              </w:rPr>
              <w:t>GEANT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capacity degradation 50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yes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632"/>
          </w:tcPr>
          <w:p>
            <w:r>
              <w:rPr>
                <w:b w:val="0"/>
                <w:sz w:val="14"/>
              </w:rPr>
              <w:t>all ODs keep a surviving path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5325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iter2_mlu_cd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5325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Failure MLU CDF (current method)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36372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iter2_db_by_scenari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36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sz w:val="17"/>
        </w:rPr>
        <w:t>Failure DB by scenario (current method)</w:t>
      </w:r>
    </w:p>
    <w:p>
      <w:pPr>
        <w:pStyle w:val="Heading1"/>
      </w:pPr>
      <w:r>
        <w:t>10. Reproducibility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fill="1F4D78"/>
          </w:tcPr>
          <w:p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7776"/>
            <w:shd w:val="clear" w:fill="1F4D78"/>
          </w:tcPr>
          <w:p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Final model</w:t>
            </w:r>
          </w:p>
        </w:tc>
        <w:tc>
          <w:tcPr>
            <w:tcW w:type="dxa" w:w="7776"/>
          </w:tcPr>
          <w:p>
            <w:r>
              <w:rPr>
                <w:b w:val="0"/>
                <w:sz w:val="17"/>
              </w:rPr>
              <w:t>final_learned_4of5_iter2_model.pt (Double-DQN, dim=33, 7 actions)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Per-cycle data</w:t>
            </w:r>
          </w:p>
        </w:tc>
        <w:tc>
          <w:tcPr>
            <w:tcW w:type="dxa" w:w="7776"/>
          </w:tcPr>
          <w:p>
            <w:r>
              <w:rPr>
                <w:b w:val="0"/>
                <w:sz w:val="17"/>
              </w:rPr>
              <w:t>final_learned_4of5_iter2_eval_per_cycle.csv (3816 rows)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Train command</w:t>
            </w:r>
          </w:p>
        </w:tc>
        <w:tc>
          <w:tcPr>
            <w:tcW w:type="dxa" w:w="7776"/>
          </w:tcPr>
          <w:p>
            <w:r>
              <w:rPr>
                <w:b w:val="0"/>
                <w:sz w:val="17"/>
              </w:rPr>
              <w:t>python3 scripts/phase1_5/run_final_iter2.py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Counters</w:t>
            </w:r>
          </w:p>
        </w:tc>
        <w:tc>
          <w:tcPr>
            <w:tcW w:type="dxa" w:w="7776"/>
          </w:tcPr>
          <w:p>
            <w:r>
              <w:rPr>
                <w:b w:val="0"/>
                <w:sz w:val="17"/>
              </w:rPr>
              <w:t>td_updates=20620, target_updates=42, ce_updates=0</w:t>
            </w:r>
          </w:p>
        </w:tc>
      </w:tr>
      <w:tr>
        <w:tc>
          <w:tcPr>
            <w:tcW w:type="dxa" w:w="2592"/>
          </w:tcPr>
          <w:p>
            <w:r>
              <w:rPr>
                <w:b w:val="0"/>
                <w:sz w:val="17"/>
              </w:rPr>
              <w:t>Seed / solver</w:t>
            </w:r>
          </w:p>
        </w:tc>
        <w:tc>
          <w:tcPr>
            <w:tcW w:type="dxa" w:w="7776"/>
          </w:tcPr>
          <w:p>
            <w:r>
              <w:rPr>
                <w:b w:val="0"/>
                <w:sz w:val="17"/>
              </w:rPr>
              <w:t>42 / PuLP+CBC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