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28"/>
          <w:szCs w:val="28"/>
        </w:rPr>
        <w:t xml:space="preserve">CRediT author statement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Manuscript DSP-D-26-02086, "What Drives Small Object Detection Accuracy in UAV Imagery? A Controlled Study of Training Resolution, Detection Stride, and Feature Modules"</w:t>
      </w:r>
    </w:p>
    <w:p>
      <w:pPr>
        <w:spacing w:after="24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Moatassim Barakat: </w:t>
      </w:r>
      <w:r>
        <w:rPr>
          <w:sz w:val="22"/>
          <w:szCs w:val="22"/>
        </w:rPr>
        <w:t xml:space="preserve">Conceptualization, Methodology, Software, Validation, Formal analysis, Investigation, Data curation, Writing – original draft, Writing – review &amp; editing, Visualization.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Xinzhong Zhu: </w:t>
      </w:r>
      <w:r>
        <w:rPr>
          <w:sz w:val="22"/>
          <w:szCs w:val="22"/>
        </w:rPr>
        <w:t xml:space="preserve">Conceptualization, Resources, Supervision, Project administration, Writing – review &amp; editing.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 statement</dc:title>
  <dc:creator>Moatassim Barakat</dc:creator>
  <cp:lastModifiedBy>Un-named</cp:lastModifiedBy>
  <cp:revision>1</cp:revision>
  <dcterms:created xsi:type="dcterms:W3CDTF">2026-09-17T03:13:09.179Z</dcterms:created>
  <dcterms:modified xsi:type="dcterms:W3CDTF">2026-09-17T03:13:09.180Z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