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drawing>
          <wp:inline distT="0" distB="0" distL="0" distR="0">
            <wp:extent cx="1143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714375"/>
                    </a:xfrm>
                    <a:prstGeom prst="rect">
                      <a:avLst/>
                    </a:prstGeom>
                  </pic:spPr>
                </pic:pic>
              </a:graphicData>
            </a:graphic>
          </wp:inline>
        </w:drawing>
      </w:r>
    </w:p>
    <w:p>
      <w:pPr>
        <w:spacing w:after="60" w:before="500"/>
        <w:jc w:val="center"/>
      </w:pPr>
      <w:r>
        <w:rPr>
          <w:b/>
          <w:bCs/>
          <w:color w:val="0F172A"/>
          <w:sz w:val="60"/>
          <w:szCs w:val="60"/>
        </w:rPr>
        <w:t xml:space="preserve">FMECA Studio</w:t>
      </w:r>
    </w:p>
    <w:p>
      <w:pPr>
        <w:spacing w:after="40"/>
        <w:jc w:val="center"/>
      </w:pPr>
      <w:r>
        <w:rPr>
          <w:b/>
          <w:bCs/>
          <w:color w:val="2563EB"/>
          <w:sz w:val="30"/>
          <w:szCs w:val="30"/>
        </w:rPr>
        <w:t xml:space="preserve">User Guide for Reliability Engineers</w:t>
      </w:r>
    </w:p>
    <w:p>
      <w:pPr>
        <w:spacing w:after="40"/>
        <w:jc w:val="center"/>
      </w:pPr>
      <w:r>
        <w:rPr>
          <w:i/>
          <w:iCs/>
          <w:color w:val="475569"/>
          <w:sz w:val="21"/>
          <w:szCs w:val="21"/>
        </w:rPr>
        <w:t xml:space="preserve">Building professional FMECA tables for RCM projects</w:t>
      </w:r>
    </w:p>
    <w:p>
      <w:pPr>
        <w:spacing w:before="900"/>
        <w:jc w:val="center"/>
      </w:pPr>
      <w:r>
        <w:rPr>
          <w:color w:val="475569"/>
          <w:sz w:val="19"/>
          <w:szCs w:val="19"/>
        </w:rPr>
        <w:t xml:space="preserve">Corporate (Cloudflare) Deployment  •  Microsoft Copilot via Power Automate</w:t>
      </w:r>
    </w:p>
    <w:p>
      <w:pPr>
        <w:spacing w:before="80"/>
        <w:jc w:val="center"/>
      </w:pPr>
      <w:r>
        <w:rPr>
          <w:color w:val="475569"/>
          <w:sz w:val="19"/>
          <w:szCs w:val="19"/>
        </w:rPr>
        <w:t xml:space="preserve">Worked example: Thulailat Instrument-Air Compressor Package</w:t>
      </w:r>
    </w:p>
    <w:p>
      <w:r>
        <w:br w:type="page"/>
      </w:r>
    </w:p>
    <w:p>
      <w:pPr>
        <w:spacing w:after="200"/>
      </w:pPr>
      <w:r>
        <w:rPr>
          <w:b/>
          <w:bCs/>
          <w:color w:val="0F172A"/>
          <w:sz w:val="30"/>
          <w:szCs w:val="30"/>
        </w:rPr>
        <w:t xml:space="preserve">Contents</w:t>
      </w:r>
    </w:p>
    <w:tbl>
      <w:tblPr>
        <w:tblW w:type="dxa" w:w="9360"/>
        <w:tblBorders>
          <w:top w:val="none"/>
          <w:left w:val="none"/>
          <w:bottom w:val="none"/>
          <w:right w:val="none"/>
          <w:insideH w:val="none"/>
          <w:insideV w:val="none"/>
        </w:tblBorders>
      </w:tblPr>
      <w:tblGrid>
        <w:gridCol w:w="8360"/>
        <w:gridCol w:w="1000"/>
      </w:tblGrid>
      <w:tr>
        <w:tc>
          <w:tcPr>
            <w:tcW w:type="dxa" w:w="8360"/>
            <w:tcBorders>
              <w:top w:val="none"/>
              <w:left w:val="none"/>
              <w:bottom w:val="dotted" w:color="CBD5E1" w:sz="1"/>
              <w:right w:val="none"/>
            </w:tcBorders>
            <w:tcMar>
              <w:top w:type="dxa" w:w="70"/>
              <w:left w:type="dxa" w:w="0"/>
              <w:bottom w:type="dxa" w:w="70"/>
              <w:right w:type="dxa" w:w="0"/>
            </w:tcMar>
          </w:tcPr>
          <w:p>
            <w:r>
              <w:rPr>
                <w:b/>
                <w:bCs/>
                <w:color w:val="0F172A"/>
                <w:sz w:val="22"/>
                <w:szCs w:val="22"/>
              </w:rPr>
              <w:t xml:space="preserve">1.  Introduction</w:t>
            </w:r>
          </w:p>
        </w:tc>
        <w:tc>
          <w:tcPr>
            <w:tcW w:type="dxa" w:w="1000"/>
            <w:tcBorders>
              <w:top w:val="none"/>
              <w:left w:val="none"/>
              <w:bottom w:val="dotted" w:color="CBD5E1" w:sz="1"/>
              <w:right w:val="none"/>
            </w:tcBorders>
            <w:tcMar>
              <w:top w:type="dxa" w:w="70"/>
              <w:left w:type="dxa" w:w="0"/>
              <w:bottom w:type="dxa" w:w="70"/>
              <w:right w:type="dxa" w:w="0"/>
            </w:tcMar>
          </w:tcPr>
          <w:p>
            <w:pPr>
              <w:jc w:val="right"/>
            </w:pPr>
            <w:r>
              <w:rPr>
                <w:b/>
                <w:bCs/>
                <w:color w:val="2563EB"/>
                <w:sz w:val="22"/>
                <w:szCs w:val="22"/>
              </w:rPr>
              <w:t xml:space="preserve">3</w:t>
            </w:r>
          </w:p>
        </w:tc>
      </w:tr>
      <w:tr>
        <w:tc>
          <w:tcPr>
            <w:tcW w:type="dxa" w:w="8360"/>
            <w:tcBorders>
              <w:top w:val="none"/>
              <w:left w:val="none"/>
              <w:bottom w:val="dotted" w:color="CBD5E1" w:sz="1"/>
              <w:right w:val="none"/>
            </w:tcBorders>
            <w:tcMar>
              <w:top w:type="dxa" w:w="70"/>
              <w:left w:type="dxa" w:w="0"/>
              <w:bottom w:type="dxa" w:w="70"/>
              <w:right w:type="dxa" w:w="0"/>
            </w:tcMar>
          </w:tcPr>
          <w:p>
            <w:r>
              <w:rPr>
                <w:b/>
                <w:bCs/>
                <w:color w:val="0F172A"/>
                <w:sz w:val="22"/>
                <w:szCs w:val="22"/>
              </w:rPr>
              <w:t xml:space="preserve">2.  Getting started</w:t>
            </w:r>
          </w:p>
        </w:tc>
        <w:tc>
          <w:tcPr>
            <w:tcW w:type="dxa" w:w="1000"/>
            <w:tcBorders>
              <w:top w:val="none"/>
              <w:left w:val="none"/>
              <w:bottom w:val="dotted" w:color="CBD5E1" w:sz="1"/>
              <w:right w:val="none"/>
            </w:tcBorders>
            <w:tcMar>
              <w:top w:type="dxa" w:w="70"/>
              <w:left w:type="dxa" w:w="0"/>
              <w:bottom w:type="dxa" w:w="70"/>
              <w:right w:type="dxa" w:w="0"/>
            </w:tcMar>
          </w:tcPr>
          <w:p>
            <w:pPr>
              <w:jc w:val="right"/>
            </w:pPr>
            <w:r>
              <w:rPr>
                <w:b/>
                <w:bCs/>
                <w:color w:val="2563EB"/>
                <w:sz w:val="22"/>
                <w:szCs w:val="22"/>
              </w:rPr>
              <w:t xml:space="preserve">4</w:t>
            </w:r>
          </w:p>
        </w:tc>
      </w:tr>
      <w:tr>
        <w:tc>
          <w:tcPr>
            <w:tcW w:type="dxa" w:w="8360"/>
            <w:tcBorders>
              <w:top w:val="none"/>
              <w:left w:val="none"/>
              <w:bottom w:val="dotted" w:color="CBD5E1" w:sz="1"/>
              <w:right w:val="none"/>
            </w:tcBorders>
            <w:tcMar>
              <w:top w:type="dxa" w:w="70"/>
              <w:left w:type="dxa" w:w="0"/>
              <w:bottom w:type="dxa" w:w="70"/>
              <w:right w:type="dxa" w:w="0"/>
            </w:tcMar>
          </w:tcPr>
          <w:p>
            <w:r>
              <w:rPr>
                <w:b/>
                <w:bCs/>
                <w:color w:val="0F172A"/>
                <w:sz w:val="22"/>
                <w:szCs w:val="22"/>
              </w:rPr>
              <w:t xml:space="preserve">3.  The Dashboard</w:t>
            </w:r>
          </w:p>
        </w:tc>
        <w:tc>
          <w:tcPr>
            <w:tcW w:type="dxa" w:w="1000"/>
            <w:tcBorders>
              <w:top w:val="none"/>
              <w:left w:val="none"/>
              <w:bottom w:val="dotted" w:color="CBD5E1" w:sz="1"/>
              <w:right w:val="none"/>
            </w:tcBorders>
            <w:tcMar>
              <w:top w:type="dxa" w:w="70"/>
              <w:left w:type="dxa" w:w="0"/>
              <w:bottom w:type="dxa" w:w="70"/>
              <w:right w:type="dxa" w:w="0"/>
            </w:tcMar>
          </w:tcPr>
          <w:p>
            <w:pPr>
              <w:jc w:val="right"/>
            </w:pPr>
            <w:r>
              <w:rPr>
                <w:b/>
                <w:bCs/>
                <w:color w:val="2563EB"/>
                <w:sz w:val="22"/>
                <w:szCs w:val="22"/>
              </w:rPr>
              <w:t xml:space="preserve">6</w:t>
            </w:r>
          </w:p>
        </w:tc>
      </w:tr>
      <w:tr>
        <w:tc>
          <w:tcPr>
            <w:tcW w:type="dxa" w:w="8360"/>
            <w:tcBorders>
              <w:top w:val="none"/>
              <w:left w:val="none"/>
              <w:bottom w:val="dotted" w:color="CBD5E1" w:sz="1"/>
              <w:right w:val="none"/>
            </w:tcBorders>
            <w:tcMar>
              <w:top w:type="dxa" w:w="70"/>
              <w:left w:type="dxa" w:w="0"/>
              <w:bottom w:type="dxa" w:w="70"/>
              <w:right w:type="dxa" w:w="0"/>
            </w:tcMar>
          </w:tcPr>
          <w:p>
            <w:r>
              <w:rPr>
                <w:b/>
                <w:bCs/>
                <w:color w:val="0F172A"/>
                <w:sz w:val="22"/>
                <w:szCs w:val="22"/>
              </w:rPr>
              <w:t xml:space="preserve">4.  Building a FMECA step by step</w:t>
            </w:r>
          </w:p>
        </w:tc>
        <w:tc>
          <w:tcPr>
            <w:tcW w:type="dxa" w:w="1000"/>
            <w:tcBorders>
              <w:top w:val="none"/>
              <w:left w:val="none"/>
              <w:bottom w:val="dotted" w:color="CBD5E1" w:sz="1"/>
              <w:right w:val="none"/>
            </w:tcBorders>
            <w:tcMar>
              <w:top w:type="dxa" w:w="70"/>
              <w:left w:type="dxa" w:w="0"/>
              <w:bottom w:type="dxa" w:w="70"/>
              <w:right w:type="dxa" w:w="0"/>
            </w:tcMar>
          </w:tcPr>
          <w:p>
            <w:pPr>
              <w:jc w:val="right"/>
            </w:pPr>
            <w:r>
              <w:rPr>
                <w:b/>
                <w:bCs/>
                <w:color w:val="2563EB"/>
                <w:sz w:val="22"/>
                <w:szCs w:val="22"/>
              </w:rPr>
              <w:t xml:space="preserve">7</w:t>
            </w:r>
          </w:p>
        </w:tc>
      </w:tr>
      <w:tr>
        <w:tc>
          <w:tcPr>
            <w:tcW w:type="dxa" w:w="8360"/>
            <w:tcBorders>
              <w:top w:val="none"/>
              <w:left w:val="none"/>
              <w:bottom w:val="dotted" w:color="CBD5E1" w:sz="1"/>
              <w:right w:val="none"/>
            </w:tcBorders>
            <w:tcMar>
              <w:top w:type="dxa" w:w="70"/>
              <w:left w:type="dxa" w:w="0"/>
              <w:bottom w:type="dxa" w:w="70"/>
              <w:right w:type="dxa" w:w="0"/>
            </w:tcMar>
          </w:tcPr>
          <w:p>
            <w:r>
              <w:rPr>
                <w:b/>
                <w:bCs/>
                <w:color w:val="0F172A"/>
                <w:sz w:val="22"/>
                <w:szCs w:val="22"/>
              </w:rPr>
              <w:t xml:space="preserve">5.  AI-assisted features</w:t>
            </w:r>
          </w:p>
        </w:tc>
        <w:tc>
          <w:tcPr>
            <w:tcW w:type="dxa" w:w="1000"/>
            <w:tcBorders>
              <w:top w:val="none"/>
              <w:left w:val="none"/>
              <w:bottom w:val="dotted" w:color="CBD5E1" w:sz="1"/>
              <w:right w:val="none"/>
            </w:tcBorders>
            <w:tcMar>
              <w:top w:type="dxa" w:w="70"/>
              <w:left w:type="dxa" w:w="0"/>
              <w:bottom w:type="dxa" w:w="70"/>
              <w:right w:type="dxa" w:w="0"/>
            </w:tcMar>
          </w:tcPr>
          <w:p>
            <w:pPr>
              <w:jc w:val="right"/>
            </w:pPr>
            <w:r>
              <w:rPr>
                <w:b/>
                <w:bCs/>
                <w:color w:val="2563EB"/>
                <w:sz w:val="22"/>
                <w:szCs w:val="22"/>
              </w:rPr>
              <w:t xml:space="preserve">12</w:t>
            </w:r>
          </w:p>
        </w:tc>
      </w:tr>
      <w:tr>
        <w:tc>
          <w:tcPr>
            <w:tcW w:type="dxa" w:w="8360"/>
            <w:tcBorders>
              <w:top w:val="none"/>
              <w:left w:val="none"/>
              <w:bottom w:val="dotted" w:color="CBD5E1" w:sz="1"/>
              <w:right w:val="none"/>
            </w:tcBorders>
            <w:tcMar>
              <w:top w:type="dxa" w:w="70"/>
              <w:left w:type="dxa" w:w="0"/>
              <w:bottom w:type="dxa" w:w="70"/>
              <w:right w:type="dxa" w:w="0"/>
            </w:tcMar>
          </w:tcPr>
          <w:p>
            <w:r>
              <w:rPr>
                <w:b/>
                <w:bCs/>
                <w:color w:val="0F172A"/>
                <w:sz w:val="22"/>
                <w:szCs w:val="22"/>
              </w:rPr>
              <w:t xml:space="preserve">6.  Views and the toolbar</w:t>
            </w:r>
          </w:p>
        </w:tc>
        <w:tc>
          <w:tcPr>
            <w:tcW w:type="dxa" w:w="1000"/>
            <w:tcBorders>
              <w:top w:val="none"/>
              <w:left w:val="none"/>
              <w:bottom w:val="dotted" w:color="CBD5E1" w:sz="1"/>
              <w:right w:val="none"/>
            </w:tcBorders>
            <w:tcMar>
              <w:top w:type="dxa" w:w="70"/>
              <w:left w:type="dxa" w:w="0"/>
              <w:bottom w:type="dxa" w:w="70"/>
              <w:right w:type="dxa" w:w="0"/>
            </w:tcMar>
          </w:tcPr>
          <w:p>
            <w:pPr>
              <w:jc w:val="right"/>
            </w:pPr>
            <w:r>
              <w:rPr>
                <w:b/>
                <w:bCs/>
                <w:color w:val="2563EB"/>
                <w:sz w:val="22"/>
                <w:szCs w:val="22"/>
              </w:rPr>
              <w:t xml:space="preserve">15</w:t>
            </w:r>
          </w:p>
        </w:tc>
      </w:tr>
      <w:tr>
        <w:tc>
          <w:tcPr>
            <w:tcW w:type="dxa" w:w="8360"/>
            <w:tcBorders>
              <w:top w:val="none"/>
              <w:left w:val="none"/>
              <w:bottom w:val="dotted" w:color="CBD5E1" w:sz="1"/>
              <w:right w:val="none"/>
            </w:tcBorders>
            <w:tcMar>
              <w:top w:type="dxa" w:w="70"/>
              <w:left w:type="dxa" w:w="0"/>
              <w:bottom w:type="dxa" w:w="70"/>
              <w:right w:type="dxa" w:w="0"/>
            </w:tcMar>
          </w:tcPr>
          <w:p>
            <w:r>
              <w:rPr>
                <w:b/>
                <w:bCs/>
                <w:color w:val="0F172A"/>
                <w:sz w:val="22"/>
                <w:szCs w:val="22"/>
              </w:rPr>
              <w:t xml:space="preserve">7.  Exporting and sharing</w:t>
            </w:r>
          </w:p>
        </w:tc>
        <w:tc>
          <w:tcPr>
            <w:tcW w:type="dxa" w:w="1000"/>
            <w:tcBorders>
              <w:top w:val="none"/>
              <w:left w:val="none"/>
              <w:bottom w:val="dotted" w:color="CBD5E1" w:sz="1"/>
              <w:right w:val="none"/>
            </w:tcBorders>
            <w:tcMar>
              <w:top w:type="dxa" w:w="70"/>
              <w:left w:type="dxa" w:w="0"/>
              <w:bottom w:type="dxa" w:w="70"/>
              <w:right w:type="dxa" w:w="0"/>
            </w:tcMar>
          </w:tcPr>
          <w:p>
            <w:pPr>
              <w:jc w:val="right"/>
            </w:pPr>
            <w:r>
              <w:rPr>
                <w:b/>
                <w:bCs/>
                <w:color w:val="2563EB"/>
                <w:sz w:val="22"/>
                <w:szCs w:val="22"/>
              </w:rPr>
              <w:t xml:space="preserve">18</w:t>
            </w:r>
          </w:p>
        </w:tc>
      </w:tr>
      <w:tr>
        <w:tc>
          <w:tcPr>
            <w:tcW w:type="dxa" w:w="8360"/>
            <w:tcBorders>
              <w:top w:val="none"/>
              <w:left w:val="none"/>
              <w:bottom w:val="none"/>
              <w:right w:val="none"/>
            </w:tcBorders>
            <w:tcMar>
              <w:top w:type="dxa" w:w="70"/>
              <w:left w:type="dxa" w:w="0"/>
              <w:bottom w:type="dxa" w:w="70"/>
              <w:right w:type="dxa" w:w="0"/>
            </w:tcMar>
          </w:tcPr>
          <w:p>
            <w:r>
              <w:rPr>
                <w:b/>
                <w:bCs/>
                <w:color w:val="0F172A"/>
                <w:sz w:val="22"/>
                <w:szCs w:val="22"/>
              </w:rPr>
              <w:t xml:space="preserve">8.  Best practice for a professional FMECA</w:t>
            </w:r>
          </w:p>
        </w:tc>
        <w:tc>
          <w:tcPr>
            <w:tcW w:type="dxa" w:w="1000"/>
            <w:tcBorders>
              <w:top w:val="none"/>
              <w:left w:val="none"/>
              <w:bottom w:val="none"/>
              <w:right w:val="none"/>
            </w:tcBorders>
            <w:tcMar>
              <w:top w:type="dxa" w:w="70"/>
              <w:left w:type="dxa" w:w="0"/>
              <w:bottom w:type="dxa" w:w="70"/>
              <w:right w:type="dxa" w:w="0"/>
            </w:tcMar>
          </w:tcPr>
          <w:p>
            <w:pPr>
              <w:jc w:val="right"/>
            </w:pPr>
            <w:r>
              <w:rPr>
                <w:b/>
                <w:bCs/>
                <w:color w:val="2563EB"/>
                <w:sz w:val="22"/>
                <w:szCs w:val="22"/>
              </w:rPr>
              <w:t xml:space="preserve">19</w:t>
            </w:r>
          </w:p>
        </w:tc>
      </w:tr>
    </w:tbl>
    <w:p>
      <w:r>
        <w:br w:type="page"/>
      </w:r>
    </w:p>
    <w:p>
      <w:pPr>
        <w:pStyle w:val="Heading1"/>
        <w:spacing w:after="140" w:before="320"/>
      </w:pPr>
      <w:r>
        <w:t xml:space="preserve">1.  Introduction</w:t>
      </w:r>
    </w:p>
    <w:p>
      <w:pPr>
        <w:spacing w:after="140" w:line="276"/>
        <w:jc w:val="left"/>
      </w:pPr>
      <w:r>
        <w:rPr>
          <w:sz w:val="21"/>
          <w:szCs w:val="21"/>
        </w:rPr>
        <w:t xml:space="preserve">FMECA Studio is a browser-based workbench for building Failure Mode, Effects and Criticality Analysis (FMECA) worksheets as part of a Reliability-Centered Maintenance (RCM) program. It guides you from a blank project to a complete, exportable FMECA table, and uses an AI assistant to accelerate the repetitive drafting work while keeping the reliability engineer firmly in control of every judgement.</w:t>
      </w:r>
    </w:p>
    <w:p>
      <w:pPr>
        <w:spacing w:after="140" w:line="276"/>
        <w:jc w:val="left"/>
      </w:pPr>
      <w:r>
        <w:rPr>
          <w:sz w:val="21"/>
          <w:szCs w:val="21"/>
        </w:rPr>
        <w:t xml:space="preserve">The application is fully self-contained: your projects are stored locally in your browser, and analytical content is generated on demand through your organization’s approved AI channel. There is no separate database to install and nothing leaves your machine except the specific prompts you choose to send to the AI service.</w:t>
      </w:r>
    </w:p>
    <w:p>
      <w:pPr>
        <w:pStyle w:val="Heading2"/>
        <w:spacing w:after="100" w:before="260"/>
      </w:pPr>
      <w:r>
        <w:t xml:space="preserve">1.1  Who this guide is for</w:t>
      </w:r>
    </w:p>
    <w:p>
      <w:pPr>
        <w:spacing w:after="140" w:line="276"/>
        <w:jc w:val="left"/>
      </w:pPr>
      <w:r>
        <w:rPr>
          <w:sz w:val="21"/>
          <w:szCs w:val="21"/>
        </w:rPr>
        <w:t xml:space="preserve">This guide is written for reliability, maintenance and integrity engineers who are responsible for producing FMECA / FMEA worksheets, criticality assessments and maintenance task selections. It assumes you understand the reliability concepts (functions, functional failures, failure modes, effects, causes and RPN) but not the tool. Every feature is illustrated with the Thulailat Instrument-Air (IA) Compressor Package example project.</w:t>
      </w:r>
    </w:p>
    <w:p>
      <w:pPr>
        <w:pStyle w:val="Heading2"/>
        <w:spacing w:after="100" w:before="260"/>
      </w:pPr>
      <w:r>
        <w:t xml:space="preserve">1.2  How FMECA Studio structures an analysis</w:t>
      </w:r>
    </w:p>
    <w:p>
      <w:pPr>
        <w:spacing w:after="140" w:line="276"/>
        <w:jc w:val="left"/>
      </w:pPr>
      <w:r>
        <w:rPr>
          <w:sz w:val="21"/>
          <w:szCs w:val="21"/>
        </w:rPr>
        <w:t xml:space="preserve">The tool follows the classic RCM decomposition. Understanding this hierarchy is the single most important thing before you start — every screen in the application is organised around it.</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100"/>
        <w:gridCol w:w="3400"/>
        <w:gridCol w:w="3860"/>
      </w:tblGrid>
      <w:tr>
        <w:trPr>
          <w:tblHeader/>
        </w:trPr>
        <w:tc>
          <w:tcPr>
            <w:tcW w:type="dxa" w:w="2100"/>
            <w:shd w:fill="0F172A" w:color="auto" w:val="clear"/>
            <w:tcMar>
              <w:top w:type="dxa" w:w="60"/>
              <w:left w:type="dxa" w:w="90"/>
              <w:bottom w:type="dxa" w:w="60"/>
              <w:right w:type="dxa" w:w="90"/>
            </w:tcMar>
            <w:vAlign w:val="center"/>
          </w:tcPr>
          <w:p>
            <w:pPr>
              <w:jc w:val="left"/>
            </w:pPr>
            <w:r>
              <w:rPr>
                <w:b/>
                <w:bCs/>
                <w:color w:val="FFFFFF"/>
                <w:sz w:val="19"/>
                <w:szCs w:val="19"/>
              </w:rPr>
              <w:t xml:space="preserve">Level</w:t>
            </w:r>
          </w:p>
        </w:tc>
        <w:tc>
          <w:tcPr>
            <w:tcW w:type="dxa" w:w="3400"/>
            <w:shd w:fill="0F172A" w:color="auto" w:val="clear"/>
            <w:tcMar>
              <w:top w:type="dxa" w:w="60"/>
              <w:left w:type="dxa" w:w="90"/>
              <w:bottom w:type="dxa" w:w="60"/>
              <w:right w:type="dxa" w:w="90"/>
            </w:tcMar>
            <w:vAlign w:val="center"/>
          </w:tcPr>
          <w:p>
            <w:pPr>
              <w:jc w:val="left"/>
            </w:pPr>
            <w:r>
              <w:rPr>
                <w:b/>
                <w:bCs/>
                <w:color w:val="FFFFFF"/>
                <w:sz w:val="19"/>
                <w:szCs w:val="19"/>
              </w:rPr>
              <w:t xml:space="preserve">Meaning</w:t>
            </w:r>
          </w:p>
        </w:tc>
        <w:tc>
          <w:tcPr>
            <w:tcW w:type="dxa" w:w="3860"/>
            <w:shd w:fill="0F172A" w:color="auto" w:val="clear"/>
            <w:tcMar>
              <w:top w:type="dxa" w:w="60"/>
              <w:left w:type="dxa" w:w="90"/>
              <w:bottom w:type="dxa" w:w="60"/>
              <w:right w:type="dxa" w:w="90"/>
            </w:tcMar>
            <w:vAlign w:val="center"/>
          </w:tcPr>
          <w:p>
            <w:pPr>
              <w:jc w:val="left"/>
            </w:pPr>
            <w:r>
              <w:rPr>
                <w:b/>
                <w:bCs/>
                <w:color w:val="FFFFFF"/>
                <w:sz w:val="19"/>
                <w:szCs w:val="19"/>
              </w:rPr>
              <w:t xml:space="preserve">Thulailat example</w:t>
            </w:r>
          </w:p>
        </w:tc>
      </w:tr>
      <w:tr>
        <w:tc>
          <w:tcPr>
            <w:tcW w:type="dxa" w:w="2100"/>
            <w:shd w:fill="FFFFFF" w:color="auto" w:val="clear"/>
            <w:tcMar>
              <w:top w:type="dxa" w:w="60"/>
              <w:left w:type="dxa" w:w="90"/>
              <w:bottom w:type="dxa" w:w="60"/>
              <w:right w:type="dxa" w:w="90"/>
            </w:tcMar>
            <w:vAlign w:val="center"/>
          </w:tcPr>
          <w:p>
            <w:pPr>
              <w:jc w:val="left"/>
            </w:pPr>
            <w:r>
              <w:rPr>
                <w:b/>
                <w:bCs/>
                <w:sz w:val="19"/>
                <w:szCs w:val="19"/>
              </w:rPr>
              <w:t xml:space="preserve">Project</w:t>
            </w:r>
          </w:p>
        </w:tc>
        <w:tc>
          <w:tcPr>
            <w:tcW w:type="dxa" w:w="3400"/>
            <w:shd w:fill="FFFFFF" w:color="auto" w:val="clear"/>
            <w:tcMar>
              <w:top w:type="dxa" w:w="60"/>
              <w:left w:type="dxa" w:w="90"/>
              <w:bottom w:type="dxa" w:w="60"/>
              <w:right w:type="dxa" w:w="90"/>
            </w:tcMar>
            <w:vAlign w:val="center"/>
          </w:tcPr>
          <w:p>
            <w:pPr>
              <w:jc w:val="left"/>
            </w:pPr>
            <w:r>
              <w:rPr>
                <w:sz w:val="19"/>
                <w:szCs w:val="19"/>
              </w:rPr>
              <w:t xml:space="preserve">The asset / package under analysis</w:t>
            </w:r>
          </w:p>
        </w:tc>
        <w:tc>
          <w:tcPr>
            <w:tcW w:type="dxa" w:w="3860"/>
            <w:shd w:fill="FFFFFF" w:color="auto" w:val="clear"/>
            <w:tcMar>
              <w:top w:type="dxa" w:w="60"/>
              <w:left w:type="dxa" w:w="90"/>
              <w:bottom w:type="dxa" w:w="60"/>
              <w:right w:type="dxa" w:w="90"/>
            </w:tcMar>
            <w:vAlign w:val="center"/>
          </w:tcPr>
          <w:p>
            <w:pPr>
              <w:jc w:val="left"/>
            </w:pPr>
            <w:r>
              <w:rPr>
                <w:sz w:val="19"/>
                <w:szCs w:val="19"/>
              </w:rPr>
              <w:t xml:space="preserve">Thulailat IA Compressor</w:t>
            </w:r>
          </w:p>
        </w:tc>
      </w:tr>
      <w:tr>
        <w:tc>
          <w:tcPr>
            <w:tcW w:type="dxa" w:w="2100"/>
            <w:shd w:fill="F8FAFC" w:color="auto" w:val="clear"/>
            <w:tcMar>
              <w:top w:type="dxa" w:w="60"/>
              <w:left w:type="dxa" w:w="90"/>
              <w:bottom w:type="dxa" w:w="60"/>
              <w:right w:type="dxa" w:w="90"/>
            </w:tcMar>
            <w:vAlign w:val="center"/>
          </w:tcPr>
          <w:p>
            <w:pPr>
              <w:jc w:val="left"/>
            </w:pPr>
            <w:r>
              <w:rPr>
                <w:b/>
                <w:bCs/>
                <w:sz w:val="19"/>
                <w:szCs w:val="19"/>
              </w:rPr>
              <w:t xml:space="preserve">Subsystem</w:t>
            </w:r>
          </w:p>
        </w:tc>
        <w:tc>
          <w:tcPr>
            <w:tcW w:type="dxa" w:w="3400"/>
            <w:shd w:fill="F8FAFC" w:color="auto" w:val="clear"/>
            <w:tcMar>
              <w:top w:type="dxa" w:w="60"/>
              <w:left w:type="dxa" w:w="90"/>
              <w:bottom w:type="dxa" w:w="60"/>
              <w:right w:type="dxa" w:w="90"/>
            </w:tcMar>
            <w:vAlign w:val="center"/>
          </w:tcPr>
          <w:p>
            <w:pPr>
              <w:jc w:val="left"/>
            </w:pPr>
            <w:r>
              <w:rPr>
                <w:sz w:val="19"/>
                <w:szCs w:val="19"/>
              </w:rPr>
              <w:t xml:space="preserve">A maintainable sub-assembly with its own specs &amp; function</w:t>
            </w:r>
          </w:p>
        </w:tc>
        <w:tc>
          <w:tcPr>
            <w:tcW w:type="dxa" w:w="3860"/>
            <w:shd w:fill="F8FAFC" w:color="auto" w:val="clear"/>
            <w:tcMar>
              <w:top w:type="dxa" w:w="60"/>
              <w:left w:type="dxa" w:w="90"/>
              <w:bottom w:type="dxa" w:w="60"/>
              <w:right w:type="dxa" w:w="90"/>
            </w:tcMar>
            <w:vAlign w:val="center"/>
          </w:tcPr>
          <w:p>
            <w:pPr>
              <w:jc w:val="left"/>
            </w:pPr>
            <w:r>
              <w:rPr>
                <w:sz w:val="19"/>
                <w:szCs w:val="19"/>
              </w:rPr>
              <w:t xml:space="preserve">Screw Compressor; Lubrication Oil System</w:t>
            </w:r>
          </w:p>
        </w:tc>
      </w:tr>
      <w:tr>
        <w:tc>
          <w:tcPr>
            <w:tcW w:type="dxa" w:w="2100"/>
            <w:shd w:fill="FFFFFF" w:color="auto" w:val="clear"/>
            <w:tcMar>
              <w:top w:type="dxa" w:w="60"/>
              <w:left w:type="dxa" w:w="90"/>
              <w:bottom w:type="dxa" w:w="60"/>
              <w:right w:type="dxa" w:w="90"/>
            </w:tcMar>
            <w:vAlign w:val="center"/>
          </w:tcPr>
          <w:p>
            <w:pPr>
              <w:jc w:val="left"/>
            </w:pPr>
            <w:r>
              <w:rPr>
                <w:b/>
                <w:bCs/>
                <w:sz w:val="19"/>
                <w:szCs w:val="19"/>
              </w:rPr>
              <w:t xml:space="preserve">Function</w:t>
            </w:r>
          </w:p>
        </w:tc>
        <w:tc>
          <w:tcPr>
            <w:tcW w:type="dxa" w:w="3400"/>
            <w:shd w:fill="FFFFFF" w:color="auto" w:val="clear"/>
            <w:tcMar>
              <w:top w:type="dxa" w:w="60"/>
              <w:left w:type="dxa" w:w="90"/>
              <w:bottom w:type="dxa" w:w="60"/>
              <w:right w:type="dxa" w:w="90"/>
            </w:tcMar>
            <w:vAlign w:val="center"/>
          </w:tcPr>
          <w:p>
            <w:pPr>
              <w:jc w:val="left"/>
            </w:pPr>
            <w:r>
              <w:rPr>
                <w:sz w:val="19"/>
                <w:szCs w:val="19"/>
              </w:rPr>
              <w:t xml:space="preserve">What the subsystem must do, with performance standards</w:t>
            </w:r>
          </w:p>
        </w:tc>
        <w:tc>
          <w:tcPr>
            <w:tcW w:type="dxa" w:w="3860"/>
            <w:shd w:fill="FFFFFF" w:color="auto" w:val="clear"/>
            <w:tcMar>
              <w:top w:type="dxa" w:w="60"/>
              <w:left w:type="dxa" w:w="90"/>
              <w:bottom w:type="dxa" w:w="60"/>
              <w:right w:type="dxa" w:w="90"/>
            </w:tcMar>
            <w:vAlign w:val="center"/>
          </w:tcPr>
          <w:p>
            <w:pPr>
              <w:jc w:val="left"/>
            </w:pPr>
            <w:r>
              <w:rPr>
                <w:sz w:val="19"/>
                <w:szCs w:val="19"/>
              </w:rPr>
              <w:t xml:space="preserve">Compress air to instrument quality; deliver 600 SCFM at 10 barg</w:t>
            </w:r>
          </w:p>
        </w:tc>
      </w:tr>
      <w:tr>
        <w:tc>
          <w:tcPr>
            <w:tcW w:type="dxa" w:w="2100"/>
            <w:shd w:fill="F8FAFC" w:color="auto" w:val="clear"/>
            <w:tcMar>
              <w:top w:type="dxa" w:w="60"/>
              <w:left w:type="dxa" w:w="90"/>
              <w:bottom w:type="dxa" w:w="60"/>
              <w:right w:type="dxa" w:w="90"/>
            </w:tcMar>
            <w:vAlign w:val="center"/>
          </w:tcPr>
          <w:p>
            <w:pPr>
              <w:jc w:val="left"/>
            </w:pPr>
            <w:r>
              <w:rPr>
                <w:b/>
                <w:bCs/>
                <w:sz w:val="19"/>
                <w:szCs w:val="19"/>
              </w:rPr>
              <w:t xml:space="preserve">Functional Failure</w:t>
            </w:r>
          </w:p>
        </w:tc>
        <w:tc>
          <w:tcPr>
            <w:tcW w:type="dxa" w:w="3400"/>
            <w:shd w:fill="F8FAFC" w:color="auto" w:val="clear"/>
            <w:tcMar>
              <w:top w:type="dxa" w:w="60"/>
              <w:left w:type="dxa" w:w="90"/>
              <w:bottom w:type="dxa" w:w="60"/>
              <w:right w:type="dxa" w:w="90"/>
            </w:tcMar>
            <w:vAlign w:val="center"/>
          </w:tcPr>
          <w:p>
            <w:pPr>
              <w:jc w:val="left"/>
            </w:pPr>
            <w:r>
              <w:rPr>
                <w:sz w:val="19"/>
                <w:szCs w:val="19"/>
              </w:rPr>
              <w:t xml:space="preserve">A way the function is not delivered</w:t>
            </w:r>
          </w:p>
        </w:tc>
        <w:tc>
          <w:tcPr>
            <w:tcW w:type="dxa" w:w="3860"/>
            <w:shd w:fill="F8FAFC" w:color="auto" w:val="clear"/>
            <w:tcMar>
              <w:top w:type="dxa" w:w="60"/>
              <w:left w:type="dxa" w:w="90"/>
              <w:bottom w:type="dxa" w:w="60"/>
              <w:right w:type="dxa" w:w="90"/>
            </w:tcMar>
            <w:vAlign w:val="center"/>
          </w:tcPr>
          <w:p>
            <w:pPr>
              <w:jc w:val="left"/>
            </w:pPr>
            <w:r>
              <w:rPr>
                <w:sz w:val="19"/>
                <w:szCs w:val="19"/>
              </w:rPr>
              <w:t xml:space="preserve">Produces non-instrument-quality air</w:t>
            </w:r>
          </w:p>
        </w:tc>
      </w:tr>
      <w:tr>
        <w:tc>
          <w:tcPr>
            <w:tcW w:type="dxa" w:w="2100"/>
            <w:shd w:fill="FFFFFF" w:color="auto" w:val="clear"/>
            <w:tcMar>
              <w:top w:type="dxa" w:w="60"/>
              <w:left w:type="dxa" w:w="90"/>
              <w:bottom w:type="dxa" w:w="60"/>
              <w:right w:type="dxa" w:w="90"/>
            </w:tcMar>
            <w:vAlign w:val="center"/>
          </w:tcPr>
          <w:p>
            <w:pPr>
              <w:jc w:val="left"/>
            </w:pPr>
            <w:r>
              <w:rPr>
                <w:b/>
                <w:bCs/>
                <w:sz w:val="19"/>
                <w:szCs w:val="19"/>
              </w:rPr>
              <w:t xml:space="preserve">Failure Mode</w:t>
            </w:r>
          </w:p>
        </w:tc>
        <w:tc>
          <w:tcPr>
            <w:tcW w:type="dxa" w:w="3400"/>
            <w:shd w:fill="FFFFFF" w:color="auto" w:val="clear"/>
            <w:tcMar>
              <w:top w:type="dxa" w:w="60"/>
              <w:left w:type="dxa" w:w="90"/>
              <w:bottom w:type="dxa" w:w="60"/>
              <w:right w:type="dxa" w:w="90"/>
            </w:tcMar>
            <w:vAlign w:val="center"/>
          </w:tcPr>
          <w:p>
            <w:pPr>
              <w:jc w:val="left"/>
            </w:pPr>
            <w:r>
              <w:rPr>
                <w:sz w:val="19"/>
                <w:szCs w:val="19"/>
              </w:rPr>
              <w:t xml:space="preserve">The specific mechanism that causes the failure</w:t>
            </w:r>
          </w:p>
        </w:tc>
        <w:tc>
          <w:tcPr>
            <w:tcW w:type="dxa" w:w="3860"/>
            <w:shd w:fill="FFFFFF" w:color="auto" w:val="clear"/>
            <w:tcMar>
              <w:top w:type="dxa" w:w="60"/>
              <w:left w:type="dxa" w:w="90"/>
              <w:bottom w:type="dxa" w:w="60"/>
              <w:right w:type="dxa" w:w="90"/>
            </w:tcMar>
            <w:vAlign w:val="center"/>
          </w:tcPr>
          <w:p>
            <w:pPr>
              <w:jc w:val="left"/>
            </w:pPr>
            <w:r>
              <w:rPr>
                <w:sz w:val="19"/>
                <w:szCs w:val="19"/>
              </w:rPr>
              <w:t xml:space="preserve">Oil/air separator element saturation / breakthrough</w:t>
            </w:r>
          </w:p>
        </w:tc>
      </w:tr>
      <w:tr>
        <w:tc>
          <w:tcPr>
            <w:tcW w:type="dxa" w:w="2100"/>
            <w:shd w:fill="F8FAFC" w:color="auto" w:val="clear"/>
            <w:tcMar>
              <w:top w:type="dxa" w:w="60"/>
              <w:left w:type="dxa" w:w="90"/>
              <w:bottom w:type="dxa" w:w="60"/>
              <w:right w:type="dxa" w:w="90"/>
            </w:tcMar>
            <w:vAlign w:val="center"/>
          </w:tcPr>
          <w:p>
            <w:pPr>
              <w:jc w:val="left"/>
            </w:pPr>
            <w:r>
              <w:rPr>
                <w:b/>
                <w:bCs/>
                <w:sz w:val="19"/>
                <w:szCs w:val="19"/>
              </w:rPr>
              <w:t xml:space="preserve">Effect / Cause</w:t>
            </w:r>
          </w:p>
        </w:tc>
        <w:tc>
          <w:tcPr>
            <w:tcW w:type="dxa" w:w="3400"/>
            <w:shd w:fill="F8FAFC" w:color="auto" w:val="clear"/>
            <w:tcMar>
              <w:top w:type="dxa" w:w="60"/>
              <w:left w:type="dxa" w:w="90"/>
              <w:bottom w:type="dxa" w:w="60"/>
              <w:right w:type="dxa" w:w="90"/>
            </w:tcMar>
            <w:vAlign w:val="center"/>
          </w:tcPr>
          <w:p>
            <w:pPr>
              <w:jc w:val="left"/>
            </w:pPr>
            <w:r>
              <w:rPr>
                <w:sz w:val="19"/>
                <w:szCs w:val="19"/>
              </w:rPr>
              <w:t xml:space="preserve">Local &amp; end consequences, and the root cause</w:t>
            </w:r>
          </w:p>
        </w:tc>
        <w:tc>
          <w:tcPr>
            <w:tcW w:type="dxa" w:w="3860"/>
            <w:shd w:fill="F8FAFC" w:color="auto" w:val="clear"/>
            <w:tcMar>
              <w:top w:type="dxa" w:w="60"/>
              <w:left w:type="dxa" w:w="90"/>
              <w:bottom w:type="dxa" w:w="60"/>
              <w:right w:type="dxa" w:w="90"/>
            </w:tcMar>
            <w:vAlign w:val="center"/>
          </w:tcPr>
          <w:p>
            <w:pPr>
              <w:jc w:val="left"/>
            </w:pPr>
            <w:r>
              <w:rPr>
                <w:sz w:val="19"/>
                <w:szCs w:val="19"/>
              </w:rPr>
              <w:t xml:space="preserve">Oil carry-over to dryer; element service-life exceeded</w:t>
            </w:r>
          </w:p>
        </w:tc>
      </w:tr>
      <w:tr>
        <w:tc>
          <w:tcPr>
            <w:tcW w:type="dxa" w:w="2100"/>
            <w:shd w:fill="FFFFFF" w:color="auto" w:val="clear"/>
            <w:tcMar>
              <w:top w:type="dxa" w:w="60"/>
              <w:left w:type="dxa" w:w="90"/>
              <w:bottom w:type="dxa" w:w="60"/>
              <w:right w:type="dxa" w:w="90"/>
            </w:tcMar>
            <w:vAlign w:val="center"/>
          </w:tcPr>
          <w:p>
            <w:pPr>
              <w:jc w:val="left"/>
            </w:pPr>
            <w:r>
              <w:rPr>
                <w:b/>
                <w:bCs/>
                <w:sz w:val="19"/>
                <w:szCs w:val="19"/>
              </w:rPr>
              <w:t xml:space="preserve">Controls &amp; Mitigation</w:t>
            </w:r>
          </w:p>
        </w:tc>
        <w:tc>
          <w:tcPr>
            <w:tcW w:type="dxa" w:w="3400"/>
            <w:shd w:fill="FFFFFF" w:color="auto" w:val="clear"/>
            <w:tcMar>
              <w:top w:type="dxa" w:w="60"/>
              <w:left w:type="dxa" w:w="90"/>
              <w:bottom w:type="dxa" w:w="60"/>
              <w:right w:type="dxa" w:w="90"/>
            </w:tcMar>
            <w:vAlign w:val="center"/>
          </w:tcPr>
          <w:p>
            <w:pPr>
              <w:jc w:val="left"/>
            </w:pPr>
            <w:r>
              <w:rPr>
                <w:sz w:val="19"/>
                <w:szCs w:val="19"/>
              </w:rPr>
              <w:t xml:space="preserve">Existing controls and recommended actions (with owner)</w:t>
            </w:r>
          </w:p>
        </w:tc>
        <w:tc>
          <w:tcPr>
            <w:tcW w:type="dxa" w:w="3860"/>
            <w:shd w:fill="FFFFFF" w:color="auto" w:val="clear"/>
            <w:tcMar>
              <w:top w:type="dxa" w:w="60"/>
              <w:left w:type="dxa" w:w="90"/>
              <w:bottom w:type="dxa" w:w="60"/>
              <w:right w:type="dxa" w:w="90"/>
            </w:tcMar>
            <w:vAlign w:val="center"/>
          </w:tcPr>
          <w:p>
            <w:pPr>
              <w:jc w:val="left"/>
            </w:pPr>
            <w:r>
              <w:rPr>
                <w:sz w:val="19"/>
                <w:szCs w:val="19"/>
              </w:rPr>
              <w:t xml:space="preserve">Separator ΔP alarm; run-hour-based replacement</w:t>
            </w:r>
          </w:p>
        </w:tc>
      </w:tr>
      <w:tr>
        <w:tc>
          <w:tcPr>
            <w:tcW w:type="dxa" w:w="2100"/>
            <w:shd w:fill="F8FAFC" w:color="auto" w:val="clear"/>
            <w:tcMar>
              <w:top w:type="dxa" w:w="60"/>
              <w:left w:type="dxa" w:w="90"/>
              <w:bottom w:type="dxa" w:w="60"/>
              <w:right w:type="dxa" w:w="90"/>
            </w:tcMar>
            <w:vAlign w:val="center"/>
          </w:tcPr>
          <w:p>
            <w:pPr>
              <w:jc w:val="left"/>
            </w:pPr>
            <w:r>
              <w:rPr>
                <w:b/>
                <w:bCs/>
                <w:sz w:val="19"/>
                <w:szCs w:val="19"/>
              </w:rPr>
              <w:t xml:space="preserve">RPN</w:t>
            </w:r>
          </w:p>
        </w:tc>
        <w:tc>
          <w:tcPr>
            <w:tcW w:type="dxa" w:w="3400"/>
            <w:shd w:fill="F8FAFC" w:color="auto" w:val="clear"/>
            <w:tcMar>
              <w:top w:type="dxa" w:w="60"/>
              <w:left w:type="dxa" w:w="90"/>
              <w:bottom w:type="dxa" w:w="60"/>
              <w:right w:type="dxa" w:w="90"/>
            </w:tcMar>
            <w:vAlign w:val="center"/>
          </w:tcPr>
          <w:p>
            <w:pPr>
              <w:jc w:val="left"/>
            </w:pPr>
            <w:r>
              <w:rPr>
                <w:sz w:val="19"/>
                <w:szCs w:val="19"/>
              </w:rPr>
              <w:t xml:space="preserve">Severity × Occurrence × Detection risk score</w:t>
            </w:r>
          </w:p>
        </w:tc>
        <w:tc>
          <w:tcPr>
            <w:tcW w:type="dxa" w:w="3860"/>
            <w:shd w:fill="F8FAFC" w:color="auto" w:val="clear"/>
            <w:tcMar>
              <w:top w:type="dxa" w:w="60"/>
              <w:left w:type="dxa" w:w="90"/>
              <w:bottom w:type="dxa" w:w="60"/>
              <w:right w:type="dxa" w:w="90"/>
            </w:tcMar>
            <w:vAlign w:val="center"/>
          </w:tcPr>
          <w:p>
            <w:pPr>
              <w:jc w:val="left"/>
            </w:pPr>
            <w:r>
              <w:rPr>
                <w:sz w:val="19"/>
                <w:szCs w:val="19"/>
              </w:rPr>
              <w:t xml:space="preserve">S 5 × O 5 × D 2 = 50</w:t>
            </w:r>
          </w:p>
        </w:tc>
      </w:tr>
    </w:tbl>
    <w:p>
      <w:pPr>
        <w:spacing w:after="120"/>
      </w:pPr>
    </w:p>
    <w:tbl>
      <w:tblPr>
        <w:tblW w:type="dxa" w:w="9360"/>
        <w:tblBorders>
          <w:top w:val="single" w:color="2563EB" w:sz="2"/>
          <w:left w:val="single" w:color="2563EB" w:sz="12"/>
          <w:bottom w:val="single" w:color="2563EB" w:sz="2"/>
          <w:right w:val="single" w:color="2563EB" w:sz="2"/>
          <w:insideH w:val="none"/>
          <w:insideV w:val="none"/>
        </w:tblBorders>
      </w:tblPr>
      <w:tblGrid>
        <w:gridCol w:w="9360"/>
      </w:tblGrid>
      <w:tr>
        <w:tc>
          <w:tcPr>
            <w:tcW w:type="dxa" w:w="9360"/>
            <w:shd w:fill="EFF6FF" w:color="auto" w:val="clear"/>
            <w:tcMar>
              <w:top w:type="dxa" w:w="120"/>
              <w:left w:type="dxa" w:w="160"/>
              <w:bottom w:type="dxa" w:w="120"/>
              <w:right w:type="dxa" w:w="160"/>
            </w:tcMar>
          </w:tcPr>
          <w:p>
            <w:pPr>
              <w:spacing w:after="60"/>
            </w:pPr>
            <w:r>
              <w:rPr>
                <w:b/>
                <w:bCs/>
                <w:color w:val="2563EB"/>
                <w:sz w:val="21"/>
                <w:szCs w:val="21"/>
              </w:rPr>
              <w:t xml:space="preserve">Data model at a glance</w:t>
            </w:r>
          </w:p>
          <w:p>
            <w:pPr>
              <w:spacing w:after="0"/>
            </w:pPr>
            <w:r>
              <w:rPr>
                <w:b/>
                <w:bCs/>
                <w:color w:val="0F172A"/>
                <w:sz w:val="20"/>
                <w:szCs w:val="20"/>
              </w:rPr>
              <w:t xml:space="preserve">Project → Subsystems → Functions → Functional Failures → Failure Modes → (Effect, Cause, Controls, Mitigation, RPN)</w:t>
            </w:r>
          </w:p>
        </w:tc>
      </w:tr>
    </w:tbl>
    <w:p>
      <w:r>
        <w:br w:type="page"/>
      </w:r>
    </w:p>
    <w:p>
      <w:pPr>
        <w:pStyle w:val="Heading1"/>
        <w:spacing w:after="140" w:before="320"/>
      </w:pPr>
      <w:r>
        <w:t xml:space="preserve">2.  Getting started</w:t>
      </w:r>
    </w:p>
    <w:p>
      <w:pPr>
        <w:pStyle w:val="Heading2"/>
        <w:spacing w:after="100" w:before="260"/>
      </w:pPr>
      <w:r>
        <w:t xml:space="preserve">2.1  Opening the application</w:t>
      </w:r>
    </w:p>
    <w:p>
      <w:pPr>
        <w:spacing w:after="140" w:line="276"/>
        <w:jc w:val="left"/>
      </w:pPr>
      <w:r>
        <w:rPr>
          <w:sz w:val="21"/>
          <w:szCs w:val="21"/>
        </w:rPr>
        <w:t xml:space="preserve">FMECA Studio runs entirely in your web browser — there is nothing to install. Open the corporate deployment URL provided by your reliability team (the application is hosted on Cloudflare). It loads directly to the Dashboard shown in the next section. Because your work is saved in the browser’s local storage, always use the same browser profile on the same machine to return to your projects, and export a JSON backup regularly (Section 7).</w:t>
      </w:r>
    </w:p>
    <w:tbl>
      <w:tblPr>
        <w:tblW w:type="dxa" w:w="9360"/>
        <w:tblBorders>
          <w:top w:val="single" w:color="475569" w:sz="2"/>
          <w:left w:val="single" w:color="475569" w:sz="12"/>
          <w:bottom w:val="single" w:color="475569" w:sz="2"/>
          <w:right w:val="single" w:color="475569" w:sz="2"/>
          <w:insideH w:val="none"/>
          <w:insideV w:val="none"/>
        </w:tblBorders>
      </w:tblPr>
      <w:tblGrid>
        <w:gridCol w:w="9360"/>
      </w:tblGrid>
      <w:tr>
        <w:tc>
          <w:tcPr>
            <w:tcW w:type="dxa" w:w="9360"/>
            <w:shd w:fill="F1F5F9" w:color="auto" w:val="clear"/>
            <w:tcMar>
              <w:top w:type="dxa" w:w="120"/>
              <w:left w:type="dxa" w:w="160"/>
              <w:bottom w:type="dxa" w:w="120"/>
              <w:right w:type="dxa" w:w="160"/>
            </w:tcMar>
          </w:tcPr>
          <w:p>
            <w:pPr>
              <w:spacing w:after="60"/>
            </w:pPr>
            <w:r>
              <w:rPr>
                <w:b/>
                <w:bCs/>
                <w:color w:val="475569"/>
                <w:sz w:val="21"/>
                <w:szCs w:val="21"/>
              </w:rPr>
              <w:t xml:space="preserve">Good to know</w:t>
            </w:r>
          </w:p>
          <w:p>
            <w:pPr>
              <w:spacing w:after="0"/>
            </w:pPr>
            <w:r>
              <w:rPr>
                <w:sz w:val="20"/>
                <w:szCs w:val="20"/>
              </w:rPr>
              <w:t xml:space="preserve">Projects auto-save continuously — the header shows a “• Auto-saved” indicator. There is no manual “Save” button. Clearing your browser data will delete unsaved projects, so keep JSON exports of anything important.</w:t>
            </w:r>
          </w:p>
        </w:tc>
      </w:tr>
    </w:tbl>
    <w:p>
      <w:pPr>
        <w:pStyle w:val="Heading2"/>
        <w:spacing w:after="100" w:before="260"/>
      </w:pPr>
      <w:r>
        <w:t xml:space="preserve">2.2  Connecting the AI provider (corporate Copilot)</w:t>
      </w:r>
    </w:p>
    <w:p>
      <w:pPr>
        <w:spacing w:after="140" w:line="276"/>
        <w:jc w:val="left"/>
      </w:pPr>
      <w:r>
        <w:rPr>
          <w:sz w:val="21"/>
          <w:szCs w:val="21"/>
        </w:rPr>
        <w:t xml:space="preserve">Before the AI features will work you must point FMECA Studio at your organization’s AI channel. Open Settings from the Dashboard (the “Settings” pill under the title). In the corporate deployment the AI Provider panel deliberately exposes only the approved options — Copilot and OpenRouter — so that analysts cannot route company data through personal API keys.</w:t>
      </w:r>
    </w:p>
    <w:p>
      <w:pPr>
        <w:spacing w:after="6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19500"/>
                    </a:xfrm>
                    <a:prstGeom prst="rect">
                      <a:avLst/>
                    </a:prstGeom>
                  </pic:spPr>
                </pic:pic>
              </a:graphicData>
            </a:graphic>
          </wp:inline>
        </w:drawing>
      </w:r>
    </w:p>
    <w:p>
      <w:pPr>
        <w:spacing w:after="200"/>
        <w:jc w:val="center"/>
      </w:pPr>
      <w:r>
        <w:rPr>
          <w:i/>
          <w:iCs/>
          <w:color w:val="475569"/>
          <w:sz w:val="17"/>
          <w:szCs w:val="17"/>
        </w:rPr>
        <w:t xml:space="preserve">Figure 2.1 — The AI Provider panel in the corporate build. Only Copilot and OpenRouter are shown.</w:t>
      </w:r>
    </w:p>
    <w:p>
      <w:pPr>
        <w:spacing w:after="140" w:line="276"/>
        <w:jc w:val="left"/>
      </w:pPr>
      <w:r>
        <w:rPr>
          <w:sz w:val="21"/>
          <w:szCs w:val="21"/>
        </w:rPr>
        <w:t xml:space="preserve">For corporate use, keep the provider on </w:t>
      </w:r>
      <w:r>
        <w:rPr>
          <w:b/>
          <w:bCs/>
          <w:sz w:val="21"/>
          <w:szCs w:val="21"/>
        </w:rPr>
        <w:t xml:space="preserve">Copilot</w:t>
      </w:r>
      <w:r>
        <w:rPr>
          <w:sz w:val="21"/>
          <w:szCs w:val="21"/>
        </w:rPr>
        <w:t xml:space="preserve"> and paste your </w:t>
      </w:r>
      <w:r>
        <w:rPr>
          <w:b/>
          <w:bCs/>
          <w:sz w:val="21"/>
          <w:szCs w:val="21"/>
        </w:rPr>
        <w:t xml:space="preserve">Power Automate URL</w:t>
      </w:r>
      <w:r>
        <w:rPr>
          <w:sz w:val="21"/>
          <w:szCs w:val="21"/>
        </w:rPr>
        <w:t xml:space="preserve"> into the field provided. This is the HTTP-trigger endpoint of the Power Automate flow that fronts your Microsoft Copilot Studio agent (it looks like </w:t>
      </w:r>
      <w:r>
        <w:rPr>
          <w:rFonts w:ascii="Courier New" w:cs="Courier New" w:eastAsia="Courier New" w:hAnsi="Courier New"/>
          <w:sz w:val="18"/>
          <w:szCs w:val="18"/>
        </w:rPr>
        <w:t xml:space="preserve">https://prod-xx.…logic.azure.com/workflows/…</w:t>
      </w:r>
      <w:r>
        <w:rPr>
          <w:sz w:val="21"/>
          <w:szCs w:val="21"/>
        </w:rPr>
        <w:t xml:space="preserve">). No API key and no model name are required — model selection is managed centrally by Copilot Studio.</w:t>
      </w:r>
    </w:p>
    <w:tbl>
      <w:tblPr>
        <w:tblW w:type="dxa" w:w="9360"/>
        <w:tblBorders>
          <w:top w:val="single" w:color="991B1B" w:sz="2"/>
          <w:left w:val="single" w:color="991B1B" w:sz="12"/>
          <w:bottom w:val="single" w:color="991B1B" w:sz="2"/>
          <w:right w:val="single" w:color="991B1B" w:sz="2"/>
          <w:insideH w:val="none"/>
          <w:insideV w:val="none"/>
        </w:tblBorders>
      </w:tblPr>
      <w:tblGrid>
        <w:gridCol w:w="9360"/>
      </w:tblGrid>
      <w:tr>
        <w:tc>
          <w:tcPr>
            <w:tcW w:type="dxa" w:w="9360"/>
            <w:shd w:fill="FEF2F2" w:color="auto" w:val="clear"/>
            <w:tcMar>
              <w:top w:type="dxa" w:w="120"/>
              <w:left w:type="dxa" w:w="160"/>
              <w:bottom w:type="dxa" w:w="120"/>
              <w:right w:type="dxa" w:w="160"/>
            </w:tcMar>
          </w:tcPr>
          <w:p>
            <w:pPr>
              <w:spacing w:after="60"/>
            </w:pPr>
            <w:r>
              <w:rPr>
                <w:b/>
                <w:bCs/>
                <w:color w:val="991B1B"/>
                <w:sz w:val="21"/>
                <w:szCs w:val="21"/>
              </w:rPr>
              <w:t xml:space="preserve">Corporate policy</w:t>
            </w:r>
          </w:p>
          <w:p>
            <w:pPr>
              <w:spacing w:after="0"/>
            </w:pPr>
            <w:r>
              <w:rPr>
                <w:sz w:val="20"/>
                <w:szCs w:val="20"/>
              </w:rPr>
              <w:t xml:space="preserve">Company reliability data must only be processed through the approved Copilot channel. Do not switch the provider away from Copilot, and do not paste personal API keys. If the Power Automate URL is blank, all AI buttons (Auto-Fill, Generate, the RPN robot and the Copilot chat) will prompt you that the URL is required.</w:t>
            </w:r>
          </w:p>
        </w:tc>
      </w:tr>
    </w:tbl>
    <w:p>
      <w:pPr>
        <w:pStyle w:val="Heading2"/>
        <w:spacing w:after="100" w:before="260"/>
      </w:pPr>
      <w:r>
        <w:t xml:space="preserve">2.3  Other useful settings</w:t>
      </w:r>
    </w:p>
    <w:p>
      <w:pPr>
        <w:spacing w:after="140" w:line="276"/>
        <w:jc w:val="left"/>
      </w:pPr>
      <w:r>
        <w:rPr>
          <w:sz w:val="21"/>
          <w:szCs w:val="21"/>
        </w:rPr>
        <w:t xml:space="preserve">Three further settings shape how the AI behaves. You can return to change them at any time.</w:t>
      </w:r>
    </w:p>
    <w:p>
      <w:pPr>
        <w:pStyle w:val="ListParagraph"/>
        <w:numPr>
          <w:ilvl w:val="0"/>
          <w:numId w:val="2"/>
        </w:numPr>
        <w:spacing w:after="70" w:line="264"/>
      </w:pPr>
      <w:r>
        <w:rPr>
          <w:b/>
          <w:bCs/>
          <w:sz w:val="21"/>
          <w:szCs w:val="21"/>
        </w:rPr>
        <w:t xml:space="preserve">Agent Workflow (FMECA Generation).  </w:t>
      </w:r>
      <w:r>
        <w:rPr>
          <w:sz w:val="21"/>
          <w:szCs w:val="21"/>
        </w:rPr>
        <w:t xml:space="preserve">“Fast” uses fewer calls for quick drafts; “Structured” decomposes functions and batch-generates functional failures and modes for better traceability. RPN is always scored separately with the robot button.</w:t>
      </w:r>
    </w:p>
    <w:p>
      <w:pPr>
        <w:pStyle w:val="ListParagraph"/>
        <w:numPr>
          <w:ilvl w:val="0"/>
          <w:numId w:val="2"/>
        </w:numPr>
        <w:spacing w:after="70" w:line="264"/>
      </w:pPr>
      <w:r>
        <w:rPr>
          <w:b/>
          <w:bCs/>
          <w:sz w:val="21"/>
          <w:szCs w:val="21"/>
        </w:rPr>
        <w:t xml:space="preserve">Chatbot.  </w:t>
      </w:r>
      <w:r>
        <w:rPr>
          <w:sz w:val="21"/>
          <w:szCs w:val="21"/>
        </w:rPr>
        <w:t xml:space="preserve">Enables the floating “FMECA Consultant” assistant inside the editor and sets its response style (Normal, Concise or TL;DR).</w:t>
      </w:r>
    </w:p>
    <w:p>
      <w:pPr>
        <w:pStyle w:val="ListParagraph"/>
        <w:numPr>
          <w:ilvl w:val="0"/>
          <w:numId w:val="2"/>
        </w:numPr>
        <w:spacing w:after="70" w:line="264"/>
      </w:pPr>
      <w:r>
        <w:rPr>
          <w:b/>
          <w:bCs/>
          <w:sz w:val="21"/>
          <w:szCs w:val="21"/>
        </w:rPr>
        <w:t xml:space="preserve">AI Source.  </w:t>
      </w:r>
      <w:r>
        <w:rPr>
          <w:sz w:val="21"/>
          <w:szCs w:val="21"/>
        </w:rPr>
        <w:t xml:space="preserve">Chooses what context the AI draws on: “AI only” (general knowledge), “File only (RAG)” (a reference document you upload) or “Hybrid” (your project data plus the reference file). You can also load a Global Reference File and a Checklist Knowledge file (PM checklists by team and interval) that feed mitigation suggestions.</w:t>
      </w:r>
    </w:p>
    <w:p>
      <w:r>
        <w:br w:type="page"/>
      </w:r>
    </w:p>
    <w:p>
      <w:pPr>
        <w:pStyle w:val="Heading1"/>
        <w:spacing w:after="140" w:before="320"/>
      </w:pPr>
      <w:r>
        <w:t xml:space="preserve">3.  The Dashboard</w:t>
      </w:r>
    </w:p>
    <w:p>
      <w:pPr>
        <w:spacing w:after="140" w:line="276"/>
        <w:jc w:val="left"/>
      </w:pPr>
      <w:r>
        <w:rPr>
          <w:sz w:val="21"/>
          <w:szCs w:val="21"/>
        </w:rPr>
        <w:t xml:space="preserve">The Dashboard is the home screen. It has two tabs — Projects and Settings. The Projects tab lists every analysis stored in your browser as a card showing its name, description and created / updated dates.</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75569"/>
          <w:sz w:val="17"/>
          <w:szCs w:val="17"/>
        </w:rPr>
        <w:t xml:space="preserve">Figure 3.1 — The Projects dashboard with the Thulailat IA Compressor project.</w:t>
      </w:r>
    </w:p>
    <w:p>
      <w:pPr>
        <w:spacing w:after="140" w:line="276"/>
        <w:jc w:val="left"/>
      </w:pPr>
      <w:r>
        <w:rPr>
          <w:sz w:val="21"/>
          <w:szCs w:val="21"/>
        </w:rPr>
        <w:t xml:space="preserve">From here you can:</w:t>
      </w:r>
    </w:p>
    <w:p>
      <w:pPr>
        <w:pStyle w:val="ListParagraph"/>
        <w:numPr>
          <w:ilvl w:val="0"/>
          <w:numId w:val="2"/>
        </w:numPr>
        <w:spacing w:after="70" w:line="264"/>
      </w:pPr>
      <w:r>
        <w:rPr>
          <w:b/>
          <w:bCs/>
          <w:sz w:val="21"/>
          <w:szCs w:val="21"/>
        </w:rPr>
        <w:t xml:space="preserve">Create a new project — </w:t>
      </w:r>
      <w:r>
        <w:rPr>
          <w:sz w:val="21"/>
          <w:szCs w:val="21"/>
        </w:rPr>
        <w:t xml:space="preserve">click New to start a blank analysis and open the editor.</w:t>
      </w:r>
    </w:p>
    <w:p>
      <w:pPr>
        <w:pStyle w:val="ListParagraph"/>
        <w:numPr>
          <w:ilvl w:val="0"/>
          <w:numId w:val="2"/>
        </w:numPr>
        <w:spacing w:after="70" w:line="264"/>
      </w:pPr>
      <w:r>
        <w:rPr>
          <w:b/>
          <w:bCs/>
          <w:sz w:val="21"/>
          <w:szCs w:val="21"/>
        </w:rPr>
        <w:t xml:space="preserve">Import a project — </w:t>
      </w:r>
      <w:r>
        <w:rPr>
          <w:sz w:val="21"/>
          <w:szCs w:val="21"/>
        </w:rPr>
        <w:t xml:space="preserve">click Import and select a previously exported FMECA JSON file (this is how you would open the Thulailat example file).</w:t>
      </w:r>
    </w:p>
    <w:p>
      <w:pPr>
        <w:pStyle w:val="ListParagraph"/>
        <w:numPr>
          <w:ilvl w:val="0"/>
          <w:numId w:val="2"/>
        </w:numPr>
        <w:spacing w:after="70" w:line="264"/>
      </w:pPr>
      <w:r>
        <w:rPr>
          <w:b/>
          <w:bCs/>
          <w:sz w:val="21"/>
          <w:szCs w:val="21"/>
        </w:rPr>
        <w:t xml:space="preserve">Open a project — </w:t>
      </w:r>
      <w:r>
        <w:rPr>
          <w:sz w:val="21"/>
          <w:szCs w:val="21"/>
        </w:rPr>
        <w:t xml:space="preserve">click anywhere on a project card to open it in the editor.</w:t>
      </w:r>
    </w:p>
    <w:p>
      <w:pPr>
        <w:pStyle w:val="ListParagraph"/>
        <w:numPr>
          <w:ilvl w:val="0"/>
          <w:numId w:val="2"/>
        </w:numPr>
        <w:spacing w:after="70" w:line="264"/>
      </w:pPr>
      <w:r>
        <w:rPr>
          <w:b/>
          <w:bCs/>
          <w:sz w:val="21"/>
          <w:szCs w:val="21"/>
        </w:rPr>
        <w:t xml:space="preserve">Delete a project — </w:t>
      </w:r>
      <w:r>
        <w:rPr>
          <w:sz w:val="21"/>
          <w:szCs w:val="21"/>
        </w:rPr>
        <w:t xml:space="preserve">use the trash icon on the card (this cannot be undone, so export first).</w:t>
      </w:r>
    </w:p>
    <w:p>
      <w:pPr>
        <w:spacing w:after="60"/>
      </w:pPr>
    </w:p>
    <w:tbl>
      <w:tblPr>
        <w:tblW w:type="dxa" w:w="9360"/>
        <w:tblBorders>
          <w:top w:val="single" w:color="2563EB" w:sz="2"/>
          <w:left w:val="single" w:color="2563EB" w:sz="12"/>
          <w:bottom w:val="single" w:color="2563EB" w:sz="2"/>
          <w:right w:val="single" w:color="2563EB" w:sz="2"/>
          <w:insideH w:val="none"/>
          <w:insideV w:val="none"/>
        </w:tblBorders>
      </w:tblPr>
      <w:tblGrid>
        <w:gridCol w:w="9360"/>
      </w:tblGrid>
      <w:tr>
        <w:tc>
          <w:tcPr>
            <w:tcW w:type="dxa" w:w="9360"/>
            <w:shd w:fill="EFF6FF" w:color="auto" w:val="clear"/>
            <w:tcMar>
              <w:top w:type="dxa" w:w="120"/>
              <w:left w:type="dxa" w:w="160"/>
              <w:bottom w:type="dxa" w:w="120"/>
              <w:right w:type="dxa" w:w="160"/>
            </w:tcMar>
          </w:tcPr>
          <w:p>
            <w:pPr>
              <w:spacing w:after="60"/>
            </w:pPr>
            <w:r>
              <w:rPr>
                <w:b/>
                <w:bCs/>
                <w:color w:val="2563EB"/>
                <w:sz w:val="21"/>
                <w:szCs w:val="21"/>
              </w:rPr>
              <w:t xml:space="preserve">Starting from the example</w:t>
            </w:r>
          </w:p>
          <w:p>
            <w:pPr>
              <w:spacing w:after="0"/>
            </w:pPr>
            <w:r>
              <w:rPr>
                <w:sz w:val="20"/>
                <w:szCs w:val="20"/>
              </w:rPr>
              <w:t xml:space="preserve">To follow this guide hands-on, click Import and choose the file “FMECA_Thulailat IA Compressor.json”. The fully worked analysis will appear as a new card. Click it to explore every feature described below.</w:t>
            </w:r>
          </w:p>
        </w:tc>
      </w:tr>
    </w:tbl>
    <w:p>
      <w:r>
        <w:br w:type="page"/>
      </w:r>
    </w:p>
    <w:p>
      <w:pPr>
        <w:pStyle w:val="Heading1"/>
        <w:spacing w:after="140" w:before="320"/>
      </w:pPr>
      <w:r>
        <w:t xml:space="preserve">4.  Building a FMECA step by step</w:t>
      </w:r>
    </w:p>
    <w:p>
      <w:pPr>
        <w:spacing w:after="140" w:line="276"/>
        <w:jc w:val="left"/>
      </w:pPr>
      <w:r>
        <w:rPr>
          <w:sz w:val="21"/>
          <w:szCs w:val="21"/>
        </w:rPr>
        <w:t xml:space="preserve">This is the core workflow. Opening a project takes you to the Build view — a hierarchical editor where you expand the asset from the top down. The screenshot below shows the editor for the Thulailat Screw Compressor subsystem, with the project context, subsystem card, function, and the first functional failure and mode.</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75569"/>
          <w:sz w:val="17"/>
          <w:szCs w:val="17"/>
        </w:rPr>
        <w:t xml:space="preserve">Figure 4.1 — The Build editor: project context, subsystem, function, functional failure and failure mode with RPN.</w:t>
      </w:r>
    </w:p>
    <w:p>
      <w:pPr>
        <w:pStyle w:val="Heading2"/>
        <w:spacing w:after="100" w:before="260"/>
      </w:pPr>
      <w:r>
        <w:t xml:space="preserve">4.1  Define the project and context</w:t>
      </w:r>
    </w:p>
    <w:p>
      <w:pPr>
        <w:spacing w:after="140" w:line="276"/>
        <w:jc w:val="left"/>
      </w:pPr>
      <w:r>
        <w:rPr>
          <w:sz w:val="21"/>
          <w:szCs w:val="21"/>
        </w:rPr>
        <w:t xml:space="preserve">At the top of the editor, give the project a clear name and write a short Context describing the asset and its operating envelope. In the example, the context explains that the IA package comprises an air-compressor system and an air-dryer system feeding two receivers to deliver instrument-quality air. This context is important: it is fed to the AI as background for every generation, so a good description improves every downstream suggestion.</w:t>
      </w:r>
    </w:p>
    <w:p>
      <w:pPr>
        <w:pStyle w:val="Heading2"/>
        <w:spacing w:after="100" w:before="260"/>
      </w:pPr>
      <w:r>
        <w:t xml:space="preserve">4.2  Generating the FMECA with AI</w:t>
      </w:r>
    </w:p>
    <w:p>
      <w:pPr>
        <w:spacing w:after="140" w:line="276"/>
        <w:jc w:val="left"/>
      </w:pPr>
      <w:r>
        <w:rPr>
          <w:sz w:val="21"/>
          <w:szCs w:val="21"/>
        </w:rPr>
        <w:t xml:space="preserve">FMECA Studio can draft the analysis for you at four levels of granularity — from the whole worksheet in one click down to a single field. You choose how much to automate; every result is fully editable afterwards. The four generation tools are:</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300"/>
        <w:gridCol w:w="2900"/>
        <w:gridCol w:w="4160"/>
      </w:tblGrid>
      <w:tr>
        <w:trPr>
          <w:tblHeader/>
        </w:trPr>
        <w:tc>
          <w:tcPr>
            <w:tcW w:type="dxa" w:w="2300"/>
            <w:shd w:fill="0F172A" w:color="auto" w:val="clear"/>
            <w:tcMar>
              <w:top w:type="dxa" w:w="60"/>
              <w:left w:type="dxa" w:w="90"/>
              <w:bottom w:type="dxa" w:w="60"/>
              <w:right w:type="dxa" w:w="90"/>
            </w:tcMar>
            <w:vAlign w:val="center"/>
          </w:tcPr>
          <w:p>
            <w:pPr>
              <w:jc w:val="left"/>
            </w:pPr>
            <w:r>
              <w:rPr>
                <w:b/>
                <w:bCs/>
                <w:color w:val="FFFFFF"/>
                <w:sz w:val="19"/>
                <w:szCs w:val="19"/>
              </w:rPr>
              <w:t xml:space="preserve">Tool</w:t>
            </w:r>
          </w:p>
        </w:tc>
        <w:tc>
          <w:tcPr>
            <w:tcW w:type="dxa" w:w="2900"/>
            <w:shd w:fill="0F172A" w:color="auto" w:val="clear"/>
            <w:tcMar>
              <w:top w:type="dxa" w:w="60"/>
              <w:left w:type="dxa" w:w="90"/>
              <w:bottom w:type="dxa" w:w="60"/>
              <w:right w:type="dxa" w:w="90"/>
            </w:tcMar>
            <w:vAlign w:val="center"/>
          </w:tcPr>
          <w:p>
            <w:pPr>
              <w:jc w:val="left"/>
            </w:pPr>
            <w:r>
              <w:rPr>
                <w:b/>
                <w:bCs/>
                <w:color w:val="FFFFFF"/>
                <w:sz w:val="19"/>
                <w:szCs w:val="19"/>
              </w:rPr>
              <w:t xml:space="preserve">Where it is</w:t>
            </w:r>
          </w:p>
        </w:tc>
        <w:tc>
          <w:tcPr>
            <w:tcW w:type="dxa" w:w="4160"/>
            <w:shd w:fill="0F172A" w:color="auto" w:val="clear"/>
            <w:tcMar>
              <w:top w:type="dxa" w:w="60"/>
              <w:left w:type="dxa" w:w="90"/>
              <w:bottom w:type="dxa" w:w="60"/>
              <w:right w:type="dxa" w:w="90"/>
            </w:tcMar>
            <w:vAlign w:val="center"/>
          </w:tcPr>
          <w:p>
            <w:pPr>
              <w:jc w:val="left"/>
            </w:pPr>
            <w:r>
              <w:rPr>
                <w:b/>
                <w:bCs/>
                <w:color w:val="FFFFFF"/>
                <w:sz w:val="19"/>
                <w:szCs w:val="19"/>
              </w:rPr>
              <w:t xml:space="preserve">What it produces</w:t>
            </w:r>
          </w:p>
        </w:tc>
      </w:tr>
      <w:tr>
        <w:tc>
          <w:tcPr>
            <w:tcW w:type="dxa" w:w="2300"/>
            <w:shd w:fill="FFFFFF" w:color="auto" w:val="clear"/>
            <w:tcMar>
              <w:top w:type="dxa" w:w="60"/>
              <w:left w:type="dxa" w:w="90"/>
              <w:bottom w:type="dxa" w:w="60"/>
              <w:right w:type="dxa" w:w="90"/>
            </w:tcMar>
            <w:vAlign w:val="center"/>
          </w:tcPr>
          <w:p>
            <w:pPr>
              <w:jc w:val="left"/>
            </w:pPr>
            <w:r>
              <w:rPr>
                <w:b/>
                <w:bCs/>
                <w:sz w:val="19"/>
                <w:szCs w:val="19"/>
              </w:rPr>
              <w:t xml:space="preserve">“Generate” (master)</w:t>
            </w:r>
          </w:p>
        </w:tc>
        <w:tc>
          <w:tcPr>
            <w:tcW w:type="dxa" w:w="2900"/>
            <w:shd w:fill="FFFFFF" w:color="auto" w:val="clear"/>
            <w:tcMar>
              <w:top w:type="dxa" w:w="60"/>
              <w:left w:type="dxa" w:w="90"/>
              <w:bottom w:type="dxa" w:w="60"/>
              <w:right w:type="dxa" w:w="90"/>
            </w:tcMar>
            <w:vAlign w:val="center"/>
          </w:tcPr>
          <w:p>
            <w:pPr>
              <w:jc w:val="left"/>
            </w:pPr>
            <w:r>
              <w:rPr>
                <w:sz w:val="19"/>
                <w:szCs w:val="19"/>
              </w:rPr>
              <w:t xml:space="preserve">Top-right of the editor, beside System Modes</w:t>
            </w:r>
          </w:p>
        </w:tc>
        <w:tc>
          <w:tcPr>
            <w:tcW w:type="dxa" w:w="4160"/>
            <w:shd w:fill="FFFFFF" w:color="auto" w:val="clear"/>
            <w:tcMar>
              <w:top w:type="dxa" w:w="60"/>
              <w:left w:type="dxa" w:w="90"/>
              <w:bottom w:type="dxa" w:w="60"/>
              <w:right w:type="dxa" w:w="90"/>
            </w:tcMar>
            <w:vAlign w:val="center"/>
          </w:tcPr>
          <w:p>
            <w:pPr>
              <w:jc w:val="left"/>
            </w:pPr>
            <w:r>
              <w:rPr>
                <w:sz w:val="19"/>
                <w:szCs w:val="19"/>
              </w:rPr>
              <w:t xml:space="preserve">The entire FMECA — subsystems, functions, functional failures and failure modes for the whole asset</w:t>
            </w:r>
          </w:p>
        </w:tc>
      </w:tr>
      <w:tr>
        <w:tc>
          <w:tcPr>
            <w:tcW w:type="dxa" w:w="2300"/>
            <w:shd w:fill="F8FAFC" w:color="auto" w:val="clear"/>
            <w:tcMar>
              <w:top w:type="dxa" w:w="60"/>
              <w:left w:type="dxa" w:w="90"/>
              <w:bottom w:type="dxa" w:w="60"/>
              <w:right w:type="dxa" w:w="90"/>
            </w:tcMar>
            <w:vAlign w:val="center"/>
          </w:tcPr>
          <w:p>
            <w:pPr>
              <w:jc w:val="left"/>
            </w:pPr>
            <w:r>
              <w:rPr>
                <w:b/>
                <w:bCs/>
                <w:sz w:val="19"/>
                <w:szCs w:val="19"/>
              </w:rPr>
              <w:t xml:space="preserve">“Auto-Fill”</w:t>
            </w:r>
          </w:p>
        </w:tc>
        <w:tc>
          <w:tcPr>
            <w:tcW w:type="dxa" w:w="2900"/>
            <w:shd w:fill="F8FAFC" w:color="auto" w:val="clear"/>
            <w:tcMar>
              <w:top w:type="dxa" w:w="60"/>
              <w:left w:type="dxa" w:w="90"/>
              <w:bottom w:type="dxa" w:w="60"/>
              <w:right w:type="dxa" w:w="90"/>
            </w:tcMar>
            <w:vAlign w:val="center"/>
          </w:tcPr>
          <w:p>
            <w:pPr>
              <w:jc w:val="left"/>
            </w:pPr>
            <w:r>
              <w:rPr>
                <w:sz w:val="19"/>
                <w:szCs w:val="19"/>
              </w:rPr>
              <w:t xml:space="preserve">Beside each subsystem’s Function field</w:t>
            </w:r>
          </w:p>
        </w:tc>
        <w:tc>
          <w:tcPr>
            <w:tcW w:type="dxa" w:w="4160"/>
            <w:shd w:fill="F8FAFC" w:color="auto" w:val="clear"/>
            <w:tcMar>
              <w:top w:type="dxa" w:w="60"/>
              <w:left w:type="dxa" w:w="90"/>
              <w:bottom w:type="dxa" w:w="60"/>
              <w:right w:type="dxa" w:w="90"/>
            </w:tcMar>
            <w:vAlign w:val="center"/>
          </w:tcPr>
          <w:p>
            <w:pPr>
              <w:jc w:val="left"/>
            </w:pPr>
            <w:r>
              <w:rPr>
                <w:sz w:val="19"/>
                <w:szCs w:val="19"/>
              </w:rPr>
              <w:t xml:space="preserve">All functional failures and their modes (mode, effect, cause and mitigation) for that one subsystem</w:t>
            </w:r>
          </w:p>
        </w:tc>
      </w:tr>
      <w:tr>
        <w:tc>
          <w:tcPr>
            <w:tcW w:type="dxa" w:w="2300"/>
            <w:shd w:fill="FFFFFF" w:color="auto" w:val="clear"/>
            <w:tcMar>
              <w:top w:type="dxa" w:w="60"/>
              <w:left w:type="dxa" w:w="90"/>
              <w:bottom w:type="dxa" w:w="60"/>
              <w:right w:type="dxa" w:w="90"/>
            </w:tcMar>
            <w:vAlign w:val="center"/>
          </w:tcPr>
          <w:p>
            <w:pPr>
              <w:jc w:val="left"/>
            </w:pPr>
            <w:r>
              <w:rPr>
                <w:b/>
                <w:bCs/>
                <w:sz w:val="19"/>
                <w:szCs w:val="19"/>
              </w:rPr>
              <w:t xml:space="preserve">“Generate Modes”</w:t>
            </w:r>
          </w:p>
        </w:tc>
        <w:tc>
          <w:tcPr>
            <w:tcW w:type="dxa" w:w="2900"/>
            <w:shd w:fill="FFFFFF" w:color="auto" w:val="clear"/>
            <w:tcMar>
              <w:top w:type="dxa" w:w="60"/>
              <w:left w:type="dxa" w:w="90"/>
              <w:bottom w:type="dxa" w:w="60"/>
              <w:right w:type="dxa" w:w="90"/>
            </w:tcMar>
            <w:vAlign w:val="center"/>
          </w:tcPr>
          <w:p>
            <w:pPr>
              <w:jc w:val="left"/>
            </w:pPr>
            <w:r>
              <w:rPr>
                <w:sz w:val="19"/>
                <w:szCs w:val="19"/>
              </w:rPr>
              <w:t xml:space="preserve">Under each functional failure</w:t>
            </w:r>
          </w:p>
        </w:tc>
        <w:tc>
          <w:tcPr>
            <w:tcW w:type="dxa" w:w="4160"/>
            <w:shd w:fill="FFFFFF" w:color="auto" w:val="clear"/>
            <w:tcMar>
              <w:top w:type="dxa" w:w="60"/>
              <w:left w:type="dxa" w:w="90"/>
              <w:bottom w:type="dxa" w:w="60"/>
              <w:right w:type="dxa" w:w="90"/>
            </w:tcMar>
            <w:vAlign w:val="center"/>
          </w:tcPr>
          <w:p>
            <w:pPr>
              <w:jc w:val="left"/>
            </w:pPr>
            <w:r>
              <w:rPr>
                <w:sz w:val="19"/>
                <w:szCs w:val="19"/>
              </w:rPr>
              <w:t xml:space="preserve">A set of failure-mode rows for that failure — each row filled with mode, effect, cause and mitigation</w:t>
            </w:r>
          </w:p>
        </w:tc>
      </w:tr>
      <w:tr>
        <w:tc>
          <w:tcPr>
            <w:tcW w:type="dxa" w:w="2300"/>
            <w:shd w:fill="F8FAFC" w:color="auto" w:val="clear"/>
            <w:tcMar>
              <w:top w:type="dxa" w:w="60"/>
              <w:left w:type="dxa" w:w="90"/>
              <w:bottom w:type="dxa" w:w="60"/>
              <w:right w:type="dxa" w:w="90"/>
            </w:tcMar>
            <w:vAlign w:val="center"/>
          </w:tcPr>
          <w:p>
            <w:pPr>
              <w:jc w:val="left"/>
            </w:pPr>
            <w:r>
              <w:rPr>
                <w:b/>
                <w:bCs/>
                <w:sz w:val="19"/>
                <w:szCs w:val="19"/>
              </w:rPr>
              <w:t xml:space="preserve">Magic wand</w:t>
            </w:r>
          </w:p>
        </w:tc>
        <w:tc>
          <w:tcPr>
            <w:tcW w:type="dxa" w:w="2900"/>
            <w:shd w:fill="F8FAFC" w:color="auto" w:val="clear"/>
            <w:tcMar>
              <w:top w:type="dxa" w:w="60"/>
              <w:left w:type="dxa" w:w="90"/>
              <w:bottom w:type="dxa" w:w="60"/>
              <w:right w:type="dxa" w:w="90"/>
            </w:tcMar>
            <w:vAlign w:val="center"/>
          </w:tcPr>
          <w:p>
            <w:pPr>
              <w:jc w:val="left"/>
            </w:pPr>
            <w:r>
              <w:rPr>
                <w:sz w:val="19"/>
                <w:szCs w:val="19"/>
              </w:rPr>
              <w:t xml:space="preserve">Inside every text field</w:t>
            </w:r>
          </w:p>
        </w:tc>
        <w:tc>
          <w:tcPr>
            <w:tcW w:type="dxa" w:w="4160"/>
            <w:shd w:fill="F8FAFC" w:color="auto" w:val="clear"/>
            <w:tcMar>
              <w:top w:type="dxa" w:w="60"/>
              <w:left w:type="dxa" w:w="90"/>
              <w:bottom w:type="dxa" w:w="60"/>
              <w:right w:type="dxa" w:w="90"/>
            </w:tcMar>
            <w:vAlign w:val="center"/>
          </w:tcPr>
          <w:p>
            <w:pPr>
              <w:jc w:val="left"/>
            </w:pPr>
            <w:r>
              <w:rPr>
                <w:sz w:val="19"/>
                <w:szCs w:val="19"/>
              </w:rPr>
              <w:t xml:space="preserve">Content for that single field — writes it if empty, or fixes typos / grammar on short text</w:t>
            </w:r>
          </w:p>
        </w:tc>
      </w:tr>
    </w:tbl>
    <w:p>
      <w:pPr>
        <w:spacing w:after="80"/>
      </w:pPr>
    </w:p>
    <w:p>
      <w:pPr>
        <w:pStyle w:val="Heading3"/>
        <w:spacing w:after="70" w:before="200"/>
      </w:pPr>
      <w:r>
        <w:t xml:space="preserve">The master “Generate” button — build the whole FMECA at once</w:t>
      </w:r>
    </w:p>
    <w:p>
      <w:pPr>
        <w:spacing w:after="140" w:line="276"/>
        <w:jc w:val="left"/>
      </w:pPr>
      <w:r>
        <w:rPr>
          <w:sz w:val="21"/>
          <w:szCs w:val="21"/>
        </w:rPr>
        <w:t xml:space="preserve">This is the fastest way to start. On a new, empty project, fill in the project name and a rich Context, then click the blue </w:t>
      </w:r>
      <w:r>
        <w:rPr>
          <w:b/>
          <w:bCs/>
          <w:sz w:val="21"/>
          <w:szCs w:val="21"/>
        </w:rPr>
        <w:t xml:space="preserve">Generate</w:t>
      </w:r>
      <w:r>
        <w:rPr>
          <w:sz w:val="21"/>
          <w:szCs w:val="21"/>
        </w:rPr>
        <w:t xml:space="preserve"> button. The tool identifies the subsystems, decomposes each function, and creates the functional failures and failure modes for the entire asset, showing a live progress bar (you can click </w:t>
      </w:r>
      <w:r>
        <w:rPr>
          <w:b/>
          <w:bCs/>
          <w:sz w:val="21"/>
          <w:szCs w:val="21"/>
        </w:rPr>
        <w:t xml:space="preserve">Cancel</w:t>
      </w:r>
      <w:r>
        <w:rPr>
          <w:sz w:val="21"/>
          <w:szCs w:val="21"/>
        </w:rPr>
        <w:t xml:space="preserve"> at any point). When it finishes you have a complete draft to review and refine.</w:t>
      </w:r>
    </w:p>
    <w:p>
      <w:pPr>
        <w:spacing w:after="6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19500"/>
                    </a:xfrm>
                    <a:prstGeom prst="rect">
                      <a:avLst/>
                    </a:prstGeom>
                  </pic:spPr>
                </pic:pic>
              </a:graphicData>
            </a:graphic>
          </wp:inline>
        </w:drawing>
      </w:r>
    </w:p>
    <w:p>
      <w:pPr>
        <w:spacing w:after="200"/>
        <w:jc w:val="center"/>
      </w:pPr>
      <w:r>
        <w:rPr>
          <w:i/>
          <w:iCs/>
          <w:color w:val="475569"/>
          <w:sz w:val="17"/>
          <w:szCs w:val="17"/>
        </w:rPr>
        <w:t xml:space="preserve">Figure 4.2 — On an empty project the master “Generate” button (top-right) is active and builds the whole FMECA from the project context.</w:t>
      </w:r>
    </w:p>
    <w:tbl>
      <w:tblPr>
        <w:tblW w:type="dxa" w:w="9360"/>
        <w:tblBorders>
          <w:top w:val="single" w:color="2563EB" w:sz="2"/>
          <w:left w:val="single" w:color="2563EB" w:sz="12"/>
          <w:bottom w:val="single" w:color="2563EB" w:sz="2"/>
          <w:right w:val="single" w:color="2563EB" w:sz="2"/>
          <w:insideH w:val="none"/>
          <w:insideV w:val="none"/>
        </w:tblBorders>
      </w:tblPr>
      <w:tblGrid>
        <w:gridCol w:w="9360"/>
      </w:tblGrid>
      <w:tr>
        <w:tc>
          <w:tcPr>
            <w:tcW w:type="dxa" w:w="9360"/>
            <w:shd w:fill="EFF6FF" w:color="auto" w:val="clear"/>
            <w:tcMar>
              <w:top w:type="dxa" w:w="120"/>
              <w:left w:type="dxa" w:w="160"/>
              <w:bottom w:type="dxa" w:w="120"/>
              <w:right w:type="dxa" w:w="160"/>
            </w:tcMar>
          </w:tcPr>
          <w:p>
            <w:pPr>
              <w:spacing w:after="60"/>
            </w:pPr>
            <w:r>
              <w:rPr>
                <w:b/>
                <w:bCs/>
                <w:color w:val="2563EB"/>
                <w:sz w:val="21"/>
                <w:szCs w:val="21"/>
              </w:rPr>
              <w:t xml:space="preserve">“Generate” works only on an empty FMECA</w:t>
            </w:r>
          </w:p>
          <w:p>
            <w:pPr>
              <w:spacing w:after="0"/>
            </w:pPr>
            <w:r>
              <w:rPr>
                <w:sz w:val="20"/>
                <w:szCs w:val="20"/>
              </w:rPr>
              <w:t xml:space="preserve">The master Generate button is available only while the project has no subsystems yet — it is greyed out (“Available only when the FMECA is empty”) once content exists, so it can never overwrite your work. To regenerate from scratch, delete the subsystems first. To add to an existing analysis, use Auto-Fill and Generate Modes instead.</w:t>
            </w:r>
          </w:p>
        </w:tc>
      </w:tr>
    </w:tbl>
    <w:p>
      <w:pPr>
        <w:pStyle w:val="Heading3"/>
        <w:spacing w:after="70" w:before="200"/>
      </w:pPr>
      <w:r>
        <w:t xml:space="preserve">“Auto-Fill” — draft one subsystem</w:t>
      </w:r>
    </w:p>
    <w:p>
      <w:pPr>
        <w:spacing w:after="140" w:line="276"/>
        <w:jc w:val="left"/>
      </w:pPr>
      <w:r>
        <w:rPr>
          <w:sz w:val="21"/>
          <w:szCs w:val="21"/>
        </w:rPr>
        <w:t xml:space="preserve">Once a subsystem has a name, specs and a function, click </w:t>
      </w:r>
      <w:r>
        <w:rPr>
          <w:b/>
          <w:bCs/>
          <w:sz w:val="21"/>
          <w:szCs w:val="21"/>
        </w:rPr>
        <w:t xml:space="preserve">Auto-Fill</w:t>
      </w:r>
      <w:r>
        <w:rPr>
          <w:sz w:val="21"/>
          <w:szCs w:val="21"/>
        </w:rPr>
        <w:t xml:space="preserve"> (the wand button next to the Function field) to generate that subsystem’s complete failure analysis — its functional failures and, under each, the failure modes with their effects, causes and mitigations (both the current-controls context and the suggested mitigation actions). Use this to fill out subsystems one at a time, or to add analysis to a subsystem you created manually.</w:t>
      </w:r>
    </w:p>
    <w:p>
      <w:pPr>
        <w:pStyle w:val="Heading3"/>
        <w:spacing w:after="70" w:before="200"/>
      </w:pPr>
      <w:r>
        <w:t xml:space="preserve">“Generate Modes” — draft the rows under one failure</w:t>
      </w:r>
    </w:p>
    <w:p>
      <w:pPr>
        <w:spacing w:after="140" w:line="276"/>
        <w:jc w:val="left"/>
      </w:pPr>
      <w:r>
        <w:rPr>
          <w:sz w:val="21"/>
          <w:szCs w:val="21"/>
        </w:rPr>
        <w:t xml:space="preserve">On any functional failure, click the </w:t>
      </w:r>
      <w:r>
        <w:rPr>
          <w:b/>
          <w:bCs/>
          <w:sz w:val="21"/>
          <w:szCs w:val="21"/>
        </w:rPr>
        <w:t xml:space="preserve">Generate Modes</w:t>
      </w:r>
      <w:r>
        <w:rPr>
          <w:sz w:val="21"/>
          <w:szCs w:val="21"/>
        </w:rPr>
        <w:t xml:space="preserve"> link (the lightning icon). The AI proposes several credible failure-mode rows for that specific failure, each already populated with the </w:t>
      </w:r>
      <w:r>
        <w:rPr>
          <w:b/>
          <w:bCs/>
          <w:sz w:val="21"/>
          <w:szCs w:val="21"/>
        </w:rPr>
        <w:t xml:space="preserve">mode, effect, cause and mitigation</w:t>
      </w:r>
      <w:r>
        <w:rPr>
          <w:sz w:val="21"/>
          <w:szCs w:val="21"/>
        </w:rPr>
        <w:t xml:space="preserve">. This is the right tool when you have written the functional failures yourself and only want the modes drafted.</w:t>
      </w:r>
    </w:p>
    <w:p>
      <w:pPr>
        <w:pStyle w:val="Heading3"/>
        <w:spacing w:after="70" w:before="200"/>
      </w:pPr>
      <w:r>
        <w:t xml:space="preserve">The magic wand — one field at a time</w:t>
      </w:r>
    </w:p>
    <w:p>
      <w:pPr>
        <w:spacing w:after="140" w:line="276"/>
        <w:jc w:val="left"/>
      </w:pPr>
      <w:r>
        <w:rPr>
          <w:sz w:val="21"/>
          <w:szCs w:val="21"/>
        </w:rPr>
        <w:t xml:space="preserve">Every text field (Function, Specs, functional-failure description, mode, effect, cause, mitigation) carries a small </w:t>
      </w:r>
      <w:r>
        <w:rPr>
          <w:i/>
          <w:iCs/>
          <w:sz w:val="21"/>
          <w:szCs w:val="21"/>
        </w:rPr>
        <w:t xml:space="preserve">magic-wand</w:t>
      </w:r>
      <w:r>
        <w:rPr>
          <w:sz w:val="21"/>
          <w:szCs w:val="21"/>
        </w:rPr>
        <w:t xml:space="preserve"> icon that appears on hover. It is context-aware and behaves according to how much text is already there:</w:t>
      </w:r>
    </w:p>
    <w:p>
      <w:pPr>
        <w:pStyle w:val="ListParagraph"/>
        <w:numPr>
          <w:ilvl w:val="0"/>
          <w:numId w:val="2"/>
        </w:numPr>
        <w:spacing w:after="70" w:line="264"/>
      </w:pPr>
      <w:r>
        <w:rPr>
          <w:b/>
          <w:bCs/>
          <w:sz w:val="21"/>
          <w:szCs w:val="21"/>
        </w:rPr>
        <w:t xml:space="preserve">Empty field — </w:t>
      </w:r>
      <w:r>
        <w:rPr>
          <w:sz w:val="21"/>
          <w:szCs w:val="21"/>
        </w:rPr>
        <w:t xml:space="preserve">writes appropriate content from scratch, using the project and subsystem context.</w:t>
      </w:r>
    </w:p>
    <w:p>
      <w:pPr>
        <w:pStyle w:val="ListParagraph"/>
        <w:numPr>
          <w:ilvl w:val="0"/>
          <w:numId w:val="2"/>
        </w:numPr>
        <w:spacing w:after="70" w:line="264"/>
      </w:pPr>
      <w:r>
        <w:rPr>
          <w:b/>
          <w:bCs/>
          <w:sz w:val="21"/>
          <w:szCs w:val="21"/>
        </w:rPr>
        <w:t xml:space="preserve">Short text (a few words) — </w:t>
      </w:r>
      <w:r>
        <w:rPr>
          <w:sz w:val="21"/>
          <w:szCs w:val="21"/>
        </w:rPr>
        <w:t xml:space="preserve">corrects spelling and grammar only, leaving your wording intact.</w:t>
      </w:r>
    </w:p>
    <w:p>
      <w:pPr>
        <w:pStyle w:val="ListParagraph"/>
        <w:numPr>
          <w:ilvl w:val="0"/>
          <w:numId w:val="2"/>
        </w:numPr>
        <w:spacing w:after="70" w:line="264"/>
      </w:pPr>
      <w:r>
        <w:rPr>
          <w:b/>
          <w:bCs/>
          <w:sz w:val="21"/>
          <w:szCs w:val="21"/>
        </w:rPr>
        <w:t xml:space="preserve">Longer text — </w:t>
      </w:r>
      <w:r>
        <w:rPr>
          <w:sz w:val="21"/>
          <w:szCs w:val="21"/>
        </w:rPr>
        <w:t xml:space="preserve">enhances and expands what you have already written, keeping your meaning.</w:t>
      </w:r>
    </w:p>
    <w:tbl>
      <w:tblPr>
        <w:tblW w:type="dxa" w:w="9360"/>
        <w:tblBorders>
          <w:top w:val="single" w:color="475569" w:sz="2"/>
          <w:left w:val="single" w:color="475569" w:sz="12"/>
          <w:bottom w:val="single" w:color="475569" w:sz="2"/>
          <w:right w:val="single" w:color="475569" w:sz="2"/>
          <w:insideH w:val="none"/>
          <w:insideV w:val="none"/>
        </w:tblBorders>
      </w:tblPr>
      <w:tblGrid>
        <w:gridCol w:w="9360"/>
      </w:tblGrid>
      <w:tr>
        <w:tc>
          <w:tcPr>
            <w:tcW w:type="dxa" w:w="9360"/>
            <w:shd w:fill="F1F5F9" w:color="auto" w:val="clear"/>
            <w:tcMar>
              <w:top w:type="dxa" w:w="120"/>
              <w:left w:type="dxa" w:w="160"/>
              <w:bottom w:type="dxa" w:w="120"/>
              <w:right w:type="dxa" w:w="160"/>
            </w:tcMar>
          </w:tcPr>
          <w:p>
            <w:pPr>
              <w:spacing w:after="60"/>
            </w:pPr>
            <w:r>
              <w:rPr>
                <w:b/>
                <w:bCs/>
                <w:color w:val="475569"/>
                <w:sz w:val="21"/>
                <w:szCs w:val="21"/>
              </w:rPr>
              <w:t xml:space="preserve">Recommended generation workflow</w:t>
            </w:r>
          </w:p>
          <w:p>
            <w:pPr>
              <w:spacing w:after="60"/>
            </w:pPr>
            <w:r>
              <w:rPr>
                <w:b/>
                <w:bCs/>
                <w:sz w:val="20"/>
                <w:szCs w:val="20"/>
              </w:rPr>
              <w:t xml:space="preserve">New asset: </w:t>
            </w:r>
            <w:r>
              <w:rPr>
                <w:sz w:val="20"/>
                <w:szCs w:val="20"/>
              </w:rPr>
              <w:t xml:space="preserve">click </w:t>
            </w:r>
            <w:r>
              <w:rPr>
                <w:b/>
                <w:bCs/>
                <w:sz w:val="20"/>
                <w:szCs w:val="20"/>
              </w:rPr>
              <w:t xml:space="preserve">Generate</w:t>
            </w:r>
            <w:r>
              <w:rPr>
                <w:sz w:val="20"/>
                <w:szCs w:val="20"/>
              </w:rPr>
              <w:t xml:space="preserve"> for a full first draft → review. </w:t>
            </w:r>
          </w:p>
          <w:p>
            <w:pPr>
              <w:spacing w:after="60"/>
            </w:pPr>
            <w:r>
              <w:rPr>
                <w:b/>
                <w:bCs/>
                <w:sz w:val="20"/>
                <w:szCs w:val="20"/>
              </w:rPr>
              <w:t xml:space="preserve">Adding to it: </w:t>
            </w:r>
            <w:r>
              <w:rPr>
                <w:sz w:val="20"/>
                <w:szCs w:val="20"/>
              </w:rPr>
              <w:t xml:space="preserve">use </w:t>
            </w:r>
            <w:r>
              <w:rPr>
                <w:b/>
                <w:bCs/>
                <w:sz w:val="20"/>
                <w:szCs w:val="20"/>
              </w:rPr>
              <w:t xml:space="preserve">Auto-Fill</w:t>
            </w:r>
            <w:r>
              <w:rPr>
                <w:sz w:val="20"/>
                <w:szCs w:val="20"/>
              </w:rPr>
              <w:t xml:space="preserve"> per subsystem or </w:t>
            </w:r>
            <w:r>
              <w:rPr>
                <w:b/>
                <w:bCs/>
                <w:sz w:val="20"/>
                <w:szCs w:val="20"/>
              </w:rPr>
              <w:t xml:space="preserve">Generate Modes</w:t>
            </w:r>
            <w:r>
              <w:rPr>
                <w:sz w:val="20"/>
                <w:szCs w:val="20"/>
              </w:rPr>
              <w:t xml:space="preserve"> per failure. </w:t>
            </w:r>
          </w:p>
          <w:p>
            <w:pPr>
              <w:spacing w:after="0"/>
            </w:pPr>
            <w:r>
              <w:rPr>
                <w:b/>
                <w:bCs/>
                <w:sz w:val="20"/>
                <w:szCs w:val="20"/>
              </w:rPr>
              <w:t xml:space="preserve">Polishing: </w:t>
            </w:r>
            <w:r>
              <w:rPr>
                <w:sz w:val="20"/>
                <w:szCs w:val="20"/>
              </w:rPr>
              <w:t xml:space="preserve">use the </w:t>
            </w:r>
            <w:r>
              <w:rPr>
                <w:b/>
                <w:bCs/>
                <w:sz w:val="20"/>
                <w:szCs w:val="20"/>
              </w:rPr>
              <w:t xml:space="preserve">magic wand</w:t>
            </w:r>
            <w:r>
              <w:rPr>
                <w:sz w:val="20"/>
                <w:szCs w:val="20"/>
              </w:rPr>
              <w:t xml:space="preserve"> on individual fields. Then score RPN (Section 4.7). Always review AI output against plant history.</w:t>
            </w:r>
          </w:p>
        </w:tc>
      </w:tr>
    </w:tbl>
    <w:p>
      <w:pPr>
        <w:pStyle w:val="Heading2"/>
        <w:spacing w:after="100" w:before="260"/>
      </w:pPr>
      <w:r>
        <w:t xml:space="preserve">4.3  Add subsystems, specifications and function</w:t>
      </w:r>
    </w:p>
    <w:p>
      <w:pPr>
        <w:spacing w:after="140" w:line="276"/>
        <w:jc w:val="left"/>
      </w:pPr>
      <w:r>
        <w:rPr>
          <w:sz w:val="21"/>
          <w:szCs w:val="21"/>
        </w:rPr>
        <w:t xml:space="preserve">If you prefer to build manually (or need to add to a generated draft), use Add Subsystem to create each maintainable sub-assembly, then fill three fields:</w:t>
      </w:r>
    </w:p>
    <w:p>
      <w:pPr>
        <w:pStyle w:val="ListParagraph"/>
        <w:numPr>
          <w:ilvl w:val="0"/>
          <w:numId w:val="3"/>
        </w:numPr>
        <w:spacing w:after="90" w:line="264"/>
      </w:pPr>
      <w:r>
        <w:rPr>
          <w:b/>
          <w:bCs/>
          <w:sz w:val="21"/>
          <w:szCs w:val="21"/>
        </w:rPr>
        <w:t xml:space="preserve">Subsystem name </w:t>
      </w:r>
      <w:r>
        <w:rPr>
          <w:sz w:val="21"/>
          <w:szCs w:val="21"/>
        </w:rPr>
        <w:t xml:space="preserve">— e.g. “Screw Compressor”.</w:t>
      </w:r>
    </w:p>
    <w:p>
      <w:pPr>
        <w:pStyle w:val="ListParagraph"/>
        <w:numPr>
          <w:ilvl w:val="0"/>
          <w:numId w:val="3"/>
        </w:numPr>
        <w:spacing w:after="90" w:line="264"/>
      </w:pPr>
      <w:r>
        <w:rPr>
          <w:b/>
          <w:bCs/>
          <w:sz w:val="21"/>
          <w:szCs w:val="21"/>
        </w:rPr>
        <w:t xml:space="preserve">Specs </w:t>
      </w:r>
      <w:r>
        <w:rPr>
          <w:sz w:val="21"/>
          <w:szCs w:val="21"/>
        </w:rPr>
        <w:t xml:space="preserve">— the nameplate / design data (type, capacity, pressure, motor rating, configuration). The example lists “Oil-Flooded Rotary Screw, 600 SCFM, 10 barg, 110 kW, 2980 rpm, 1 Active + 1 Standby”.</w:t>
      </w:r>
    </w:p>
    <w:p>
      <w:pPr>
        <w:pStyle w:val="ListParagraph"/>
        <w:numPr>
          <w:ilvl w:val="0"/>
          <w:numId w:val="3"/>
        </w:numPr>
        <w:spacing w:after="90" w:line="264"/>
      </w:pPr>
      <w:r>
        <w:rPr>
          <w:b/>
          <w:bCs/>
          <w:sz w:val="21"/>
          <w:szCs w:val="21"/>
        </w:rPr>
        <w:t xml:space="preserve">Function </w:t>
      </w:r>
      <w:r>
        <w:rPr>
          <w:sz w:val="21"/>
          <w:szCs w:val="21"/>
        </w:rPr>
        <w:t xml:space="preserve">— a full statement of what the subsystem must do and to what standard. Write this carefully; it is the anchor for the whole failure analysis below it.</w:t>
      </w:r>
    </w:p>
    <w:p>
      <w:pPr>
        <w:spacing w:after="140" w:line="276"/>
        <w:jc w:val="left"/>
      </w:pPr>
      <w:r>
        <w:rPr>
          <w:sz w:val="21"/>
          <w:szCs w:val="21"/>
        </w:rPr>
        <w:t xml:space="preserve">You do not have to write everything by hand. The </w:t>
      </w:r>
      <w:r>
        <w:rPr>
          <w:b/>
          <w:bCs/>
          <w:sz w:val="21"/>
          <w:szCs w:val="21"/>
        </w:rPr>
        <w:t xml:space="preserve">Auto-Fill</w:t>
      </w:r>
      <w:r>
        <w:rPr>
          <w:sz w:val="21"/>
          <w:szCs w:val="21"/>
        </w:rPr>
        <w:t xml:space="preserve"> button (beside the Function field) asks the AI to draft the function from the subsystem name and specs, and the small </w:t>
      </w:r>
      <w:r>
        <w:rPr>
          <w:i/>
          <w:iCs/>
          <w:sz w:val="21"/>
          <w:szCs w:val="21"/>
        </w:rPr>
        <w:t xml:space="preserve">magic-wand</w:t>
      </w:r>
      <w:r>
        <w:rPr>
          <w:sz w:val="21"/>
          <w:szCs w:val="21"/>
        </w:rPr>
        <w:t xml:space="preserve"> icon inside any text field will generate text from scratch when the field is empty, fix grammar on short text, or enhance longer text you have already written.</w:t>
      </w:r>
    </w:p>
    <w:p>
      <w:pPr>
        <w:pStyle w:val="Heading2"/>
        <w:spacing w:after="100" w:before="260"/>
      </w:pPr>
      <w:r>
        <w:t xml:space="preserve">4.4  Decompose the function (Function Breakdown)</w:t>
      </w:r>
    </w:p>
    <w:p>
      <w:pPr>
        <w:spacing w:after="140" w:line="276"/>
        <w:jc w:val="left"/>
      </w:pPr>
      <w:r>
        <w:rPr>
          <w:sz w:val="21"/>
          <w:szCs w:val="21"/>
        </w:rPr>
        <w:t xml:space="preserve">A single function statement usually bundles several distinct performance requirements. Click the </w:t>
      </w:r>
      <w:r>
        <w:rPr>
          <w:b/>
          <w:bCs/>
          <w:sz w:val="21"/>
          <w:szCs w:val="21"/>
        </w:rPr>
        <w:t xml:space="preserve">⊞</w:t>
      </w:r>
      <w:r>
        <w:rPr>
          <w:sz w:val="21"/>
          <w:szCs w:val="21"/>
        </w:rPr>
        <w:t xml:space="preserve"> icon next to the FUNCTION label to open the </w:t>
      </w:r>
      <w:r>
        <w:rPr>
          <w:b/>
          <w:bCs/>
          <w:sz w:val="21"/>
          <w:szCs w:val="21"/>
        </w:rPr>
        <w:t xml:space="preserve">Function Breakdown</w:t>
      </w:r>
      <w:r>
        <w:rPr>
          <w:sz w:val="21"/>
          <w:szCs w:val="21"/>
        </w:rPr>
        <w:t xml:space="preserve"> tool. It splits the function into discrete function / expectation pairs and lets you verify that each one is covered by a functional failure — the backbone of RCM traceability.</w:t>
      </w:r>
    </w:p>
    <w:p>
      <w:pPr>
        <w:spacing w:after="6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19500"/>
                    </a:xfrm>
                    <a:prstGeom prst="rect">
                      <a:avLst/>
                    </a:prstGeom>
                  </pic:spPr>
                </pic:pic>
              </a:graphicData>
            </a:graphic>
          </wp:inline>
        </w:drawing>
      </w:r>
    </w:p>
    <w:p>
      <w:pPr>
        <w:spacing w:after="200"/>
        <w:jc w:val="center"/>
      </w:pPr>
      <w:r>
        <w:rPr>
          <w:i/>
          <w:iCs/>
          <w:color w:val="475569"/>
          <w:sz w:val="17"/>
          <w:szCs w:val="17"/>
        </w:rPr>
        <w:t xml:space="preserve">Figure 4.3 — Function Breakdown: each performance standard is matched to a functional failure. “No match found” flags a gap.</w:t>
      </w:r>
    </w:p>
    <w:p>
      <w:pPr>
        <w:spacing w:after="140" w:line="276"/>
        <w:jc w:val="left"/>
      </w:pPr>
      <w:r>
        <w:rPr>
          <w:sz w:val="21"/>
          <w:szCs w:val="21"/>
        </w:rPr>
        <w:t xml:space="preserve">Use </w:t>
      </w:r>
      <w:r>
        <w:rPr>
          <w:b/>
          <w:bCs/>
          <w:sz w:val="21"/>
          <w:szCs w:val="21"/>
        </w:rPr>
        <w:t xml:space="preserve">Re-decompose</w:t>
      </w:r>
      <w:r>
        <w:rPr>
          <w:sz w:val="21"/>
          <w:szCs w:val="21"/>
        </w:rPr>
        <w:t xml:space="preserve"> to regenerate the breakdown after editing the function, and </w:t>
      </w:r>
      <w:r>
        <w:rPr>
          <w:b/>
          <w:bCs/>
          <w:sz w:val="21"/>
          <w:szCs w:val="21"/>
        </w:rPr>
        <w:t xml:space="preserve">Match Failures to Breakdown</w:t>
      </w:r>
      <w:r>
        <w:rPr>
          <w:sz w:val="21"/>
          <w:szCs w:val="21"/>
        </w:rPr>
        <w:t xml:space="preserve"> to auto-link existing functional failures to each standard. Where the tool shows </w:t>
      </w:r>
      <w:r>
        <w:rPr>
          <w:i/>
          <w:iCs/>
          <w:sz w:val="21"/>
          <w:szCs w:val="21"/>
        </w:rPr>
        <w:t xml:space="preserve">“No match found”</w:t>
      </w:r>
      <w:r>
        <w:rPr>
          <w:sz w:val="21"/>
          <w:szCs w:val="21"/>
        </w:rPr>
        <w:t xml:space="preserve"> (as for the abnormal-vibration standard in the example), you have identified a missing functional failure — click </w:t>
      </w:r>
      <w:r>
        <w:rPr>
          <w:b/>
          <w:bCs/>
          <w:sz w:val="21"/>
          <w:szCs w:val="21"/>
        </w:rPr>
        <w:t xml:space="preserve">+ FF</w:t>
      </w:r>
      <w:r>
        <w:rPr>
          <w:sz w:val="21"/>
          <w:szCs w:val="21"/>
        </w:rPr>
        <w:t xml:space="preserve"> to create it. This is a powerful completeness check before you sign off an analysis.</w:t>
      </w:r>
    </w:p>
    <w:p>
      <w:pPr>
        <w:pStyle w:val="Heading2"/>
        <w:spacing w:after="100" w:before="260"/>
      </w:pPr>
      <w:r>
        <w:t xml:space="preserve">4.5  Add functional failures</w:t>
      </w:r>
    </w:p>
    <w:p>
      <w:pPr>
        <w:spacing w:after="140" w:line="276"/>
        <w:jc w:val="left"/>
      </w:pPr>
      <w:r>
        <w:rPr>
          <w:sz w:val="21"/>
          <w:szCs w:val="21"/>
        </w:rPr>
        <w:t xml:space="preserve">Under each subsystem, use </w:t>
      </w:r>
      <w:r>
        <w:rPr>
          <w:b/>
          <w:bCs/>
          <w:sz w:val="21"/>
          <w:szCs w:val="21"/>
        </w:rPr>
        <w:t xml:space="preserve">+ Add Failure</w:t>
      </w:r>
      <w:r>
        <w:rPr>
          <w:sz w:val="21"/>
          <w:szCs w:val="21"/>
        </w:rPr>
        <w:t xml:space="preserve"> to record each way the function can fail, phrased as a loss of function (e.g. “Produces contaminated or non-instrument-quality air instead of delivering clean instrument-quality air downstream”). Keep functional failures at the level of the performance standard, not the mechanism — mechanisms belong in the failure modes below.</w:t>
      </w:r>
    </w:p>
    <w:p>
      <w:pPr>
        <w:pStyle w:val="Heading2"/>
        <w:spacing w:after="100" w:before="260"/>
      </w:pPr>
      <w:r>
        <w:t xml:space="preserve">4.6  Add failure modes, effects, causes and controls</w:t>
      </w:r>
    </w:p>
    <w:p>
      <w:pPr>
        <w:spacing w:after="140" w:line="276"/>
        <w:jc w:val="left"/>
      </w:pPr>
      <w:r>
        <w:rPr>
          <w:sz w:val="21"/>
          <w:szCs w:val="21"/>
        </w:rPr>
        <w:t xml:space="preserve">For each functional failure, add the specific </w:t>
      </w:r>
      <w:r>
        <w:rPr>
          <w:b/>
          <w:bCs/>
          <w:sz w:val="21"/>
          <w:szCs w:val="21"/>
        </w:rPr>
        <w:t xml:space="preserve">failure modes</w:t>
      </w:r>
      <w:r>
        <w:rPr>
          <w:sz w:val="21"/>
          <w:szCs w:val="21"/>
        </w:rPr>
        <w:t xml:space="preserve"> that cause it. Each mode row captures four analytical fields plus mitigation:</w:t>
      </w:r>
    </w:p>
    <w:p>
      <w:pPr>
        <w:pStyle w:val="ListParagraph"/>
        <w:numPr>
          <w:ilvl w:val="0"/>
          <w:numId w:val="2"/>
        </w:numPr>
        <w:spacing w:after="70" w:line="264"/>
      </w:pPr>
      <w:r>
        <w:rPr>
          <w:b/>
          <w:bCs/>
          <w:sz w:val="21"/>
          <w:szCs w:val="21"/>
        </w:rPr>
        <w:t xml:space="preserve">Failure Mode — </w:t>
      </w:r>
      <w:r>
        <w:rPr>
          <w:sz w:val="21"/>
          <w:szCs w:val="21"/>
        </w:rPr>
        <w:t xml:space="preserve">the mechanism (e.g. “Oil/Air separator element saturation / breakthrough”).</w:t>
      </w:r>
    </w:p>
    <w:p>
      <w:pPr>
        <w:pStyle w:val="ListParagraph"/>
        <w:numPr>
          <w:ilvl w:val="0"/>
          <w:numId w:val="2"/>
        </w:numPr>
        <w:spacing w:after="70" w:line="264"/>
      </w:pPr>
      <w:r>
        <w:rPr>
          <w:b/>
          <w:bCs/>
          <w:sz w:val="21"/>
          <w:szCs w:val="21"/>
        </w:rPr>
        <w:t xml:space="preserve">Failure Effect — </w:t>
      </w:r>
      <w:r>
        <w:rPr>
          <w:sz w:val="21"/>
          <w:szCs w:val="21"/>
        </w:rPr>
        <w:t xml:space="preserve">written as Local and End effects (e.g. separator loses efficiency → oil-laden air reaches the dryer and instruments).</w:t>
      </w:r>
    </w:p>
    <w:p>
      <w:pPr>
        <w:pStyle w:val="ListParagraph"/>
        <w:numPr>
          <w:ilvl w:val="0"/>
          <w:numId w:val="2"/>
        </w:numPr>
        <w:spacing w:after="70" w:line="264"/>
      </w:pPr>
      <w:r>
        <w:rPr>
          <w:b/>
          <w:bCs/>
          <w:sz w:val="21"/>
          <w:szCs w:val="21"/>
        </w:rPr>
        <w:t xml:space="preserve">Failure Cause — </w:t>
      </w:r>
      <w:r>
        <w:rPr>
          <w:sz w:val="21"/>
          <w:szCs w:val="21"/>
        </w:rPr>
        <w:t xml:space="preserve">the underlying reason (e.g. element service-life exceeded).</w:t>
      </w:r>
    </w:p>
    <w:p>
      <w:pPr>
        <w:pStyle w:val="ListParagraph"/>
        <w:numPr>
          <w:ilvl w:val="0"/>
          <w:numId w:val="2"/>
        </w:numPr>
        <w:spacing w:after="70" w:line="264"/>
      </w:pPr>
      <w:r>
        <w:rPr>
          <w:b/>
          <w:bCs/>
          <w:sz w:val="21"/>
          <w:szCs w:val="21"/>
        </w:rPr>
        <w:t xml:space="preserve">Current Controls — </w:t>
      </w:r>
      <w:r>
        <w:rPr>
          <w:sz w:val="21"/>
          <w:szCs w:val="21"/>
        </w:rPr>
        <w:t xml:space="preserve">barriers already in place; the Detection score is judged against these.</w:t>
      </w:r>
    </w:p>
    <w:p>
      <w:pPr>
        <w:pStyle w:val="ListParagraph"/>
        <w:numPr>
          <w:ilvl w:val="0"/>
          <w:numId w:val="2"/>
        </w:numPr>
        <w:spacing w:after="70" w:line="264"/>
      </w:pPr>
      <w:r>
        <w:rPr>
          <w:b/>
          <w:bCs/>
          <w:sz w:val="21"/>
          <w:szCs w:val="21"/>
        </w:rPr>
        <w:t xml:space="preserve">Mitigation — </w:t>
      </w:r>
      <w:r>
        <w:rPr>
          <w:sz w:val="21"/>
          <w:szCs w:val="21"/>
        </w:rPr>
        <w:t xml:space="preserve">recommended actions. The Mitigation builder lets you enter each action with an Owner and auto-numbers the list, so tasks read as “1- … (Mechanical team); 2- … (Instrument team)”.</w:t>
      </w:r>
    </w:p>
    <w:p>
      <w:pPr>
        <w:spacing w:after="140" w:line="276"/>
        <w:jc w:val="left"/>
      </w:pPr>
      <w:r>
        <w:rPr>
          <w:sz w:val="21"/>
          <w:szCs w:val="21"/>
        </w:rPr>
        <w:t xml:space="preserve">The </w:t>
      </w:r>
      <w:r>
        <w:rPr>
          <w:b/>
          <w:bCs/>
          <w:sz w:val="21"/>
          <w:szCs w:val="21"/>
        </w:rPr>
        <w:t xml:space="preserve">Generate Modes</w:t>
      </w:r>
      <w:r>
        <w:rPr>
          <w:sz w:val="21"/>
          <w:szCs w:val="21"/>
        </w:rPr>
        <w:t xml:space="preserve"> link (the lightning icon on a functional failure) asks the AI to propose a set of credible modes with their effects, causes and mitigations, which you then review and edit. Treat AI output as a first draft to be checked against your plant history — never as the final word.</w:t>
      </w:r>
    </w:p>
    <w:p>
      <w:pPr>
        <w:pStyle w:val="Heading2"/>
        <w:spacing w:after="100" w:before="260"/>
      </w:pPr>
      <w:r>
        <w:t xml:space="preserve">4.7  Score the risk (RPN)</w:t>
      </w:r>
    </w:p>
    <w:p>
      <w:pPr>
        <w:spacing w:after="140" w:line="276"/>
        <w:jc w:val="left"/>
      </w:pPr>
      <w:r>
        <w:rPr>
          <w:sz w:val="21"/>
          <w:szCs w:val="21"/>
        </w:rPr>
        <w:t xml:space="preserve">FMECA Studio uses the standard Risk Priority Number: </w:t>
      </w:r>
      <w:r>
        <w:rPr>
          <w:b/>
          <w:bCs/>
          <w:sz w:val="21"/>
          <w:szCs w:val="21"/>
        </w:rPr>
        <w:t xml:space="preserve">RPN = Severity × Occurrence × Detection</w:t>
      </w:r>
      <w:r>
        <w:rPr>
          <w:sz w:val="21"/>
          <w:szCs w:val="21"/>
        </w:rPr>
        <w:t xml:space="preserve">, each rated on a 1–10 scale. Enter the three numbers in the S / O / D boxes on each mode row, or click the </w:t>
      </w:r>
      <w:r>
        <w:rPr>
          <w:b/>
          <w:bCs/>
          <w:sz w:val="21"/>
          <w:szCs w:val="21"/>
        </w:rPr>
        <w:t xml:space="preserve">AI-score (robot) button</w:t>
      </w:r>
      <w:r>
        <w:rPr>
          <w:sz w:val="21"/>
          <w:szCs w:val="21"/>
        </w:rPr>
        <w:t xml:space="preserve"> on the row to have the AI propose a defensible S/O/D based on the effect, cause and current controls. The computed RPN is colour-coded so the worst risks stand out at a glance:</w:t>
      </w:r>
    </w:p>
    <w:p>
      <w:pPr>
        <w:spacing w:after="40"/>
      </w:pP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600"/>
        <w:gridCol w:w="2760"/>
        <w:gridCol w:w="4000"/>
      </w:tblGrid>
      <w:tr>
        <w:trPr>
          <w:tblHeader/>
        </w:trPr>
        <w:tc>
          <w:tcPr>
            <w:tcW w:type="dxa" w:w="2600"/>
            <w:shd w:fill="0F172A" w:color="auto" w:val="clear"/>
            <w:tcMar>
              <w:top w:type="dxa" w:w="60"/>
              <w:left w:type="dxa" w:w="90"/>
              <w:bottom w:type="dxa" w:w="60"/>
              <w:right w:type="dxa" w:w="90"/>
            </w:tcMar>
            <w:vAlign w:val="center"/>
          </w:tcPr>
          <w:p>
            <w:pPr>
              <w:jc w:val="left"/>
            </w:pPr>
            <w:r>
              <w:rPr>
                <w:b/>
                <w:bCs/>
                <w:color w:val="FFFFFF"/>
                <w:sz w:val="19"/>
                <w:szCs w:val="19"/>
              </w:rPr>
              <w:t xml:space="preserve">RPN band</w:t>
            </w:r>
          </w:p>
        </w:tc>
        <w:tc>
          <w:tcPr>
            <w:tcW w:type="dxa" w:w="2760"/>
            <w:shd w:fill="0F172A" w:color="auto" w:val="clear"/>
            <w:tcMar>
              <w:top w:type="dxa" w:w="60"/>
              <w:left w:type="dxa" w:w="90"/>
              <w:bottom w:type="dxa" w:w="60"/>
              <w:right w:type="dxa" w:w="90"/>
            </w:tcMar>
            <w:vAlign w:val="center"/>
          </w:tcPr>
          <w:p>
            <w:pPr>
              <w:jc w:val="center"/>
            </w:pPr>
            <w:r>
              <w:rPr>
                <w:b/>
                <w:bCs/>
                <w:color w:val="FFFFFF"/>
                <w:sz w:val="19"/>
                <w:szCs w:val="19"/>
              </w:rPr>
              <w:t xml:space="preserve">Colour in the app</w:t>
            </w:r>
          </w:p>
        </w:tc>
        <w:tc>
          <w:tcPr>
            <w:tcW w:type="dxa" w:w="4000"/>
            <w:shd w:fill="0F172A" w:color="auto" w:val="clear"/>
            <w:tcMar>
              <w:top w:type="dxa" w:w="60"/>
              <w:left w:type="dxa" w:w="90"/>
              <w:bottom w:type="dxa" w:w="60"/>
              <w:right w:type="dxa" w:w="90"/>
            </w:tcMar>
            <w:vAlign w:val="center"/>
          </w:tcPr>
          <w:p>
            <w:pPr>
              <w:jc w:val="left"/>
            </w:pPr>
            <w:r>
              <w:rPr>
                <w:b/>
                <w:bCs/>
                <w:color w:val="FFFFFF"/>
                <w:sz w:val="19"/>
                <w:szCs w:val="19"/>
              </w:rPr>
              <w:t xml:space="preserve">Interpretation</w:t>
            </w:r>
          </w:p>
        </w:tc>
      </w:tr>
      <w:tr>
        <w:tc>
          <w:tcPr>
            <w:tcW w:type="dxa" w:w="2600"/>
            <w:shd w:fill="FFFFFF" w:color="auto" w:val="clear"/>
            <w:tcMar>
              <w:top w:type="dxa" w:w="60"/>
              <w:left w:type="dxa" w:w="90"/>
              <w:bottom w:type="dxa" w:w="60"/>
              <w:right w:type="dxa" w:w="90"/>
            </w:tcMar>
            <w:vAlign w:val="center"/>
          </w:tcPr>
          <w:p>
            <w:pPr>
              <w:jc w:val="left"/>
            </w:pPr>
            <w:r>
              <w:rPr>
                <w:b/>
                <w:bCs/>
                <w:sz w:val="19"/>
                <w:szCs w:val="19"/>
              </w:rPr>
              <w:t xml:space="preserve">RPN ≥ 100</w:t>
            </w:r>
          </w:p>
        </w:tc>
        <w:tc>
          <w:tcPr>
            <w:tcW w:type="dxa" w:w="2760"/>
            <w:shd w:fill="FFFFFF" w:color="auto" w:val="clear"/>
            <w:tcMar>
              <w:top w:type="dxa" w:w="60"/>
              <w:left w:type="dxa" w:w="90"/>
              <w:bottom w:type="dxa" w:w="60"/>
              <w:right w:type="dxa" w:w="90"/>
            </w:tcMar>
            <w:vAlign w:val="center"/>
          </w:tcPr>
          <w:p>
            <w:pPr>
              <w:jc w:val="center"/>
            </w:pPr>
            <w:r>
              <w:rPr>
                <w:sz w:val="19"/>
                <w:szCs w:val="19"/>
              </w:rPr>
              <w:t xml:space="preserve">Red</w:t>
            </w:r>
          </w:p>
        </w:tc>
        <w:tc>
          <w:tcPr>
            <w:tcW w:type="dxa" w:w="4000"/>
            <w:shd w:fill="FFFFFF" w:color="auto" w:val="clear"/>
            <w:tcMar>
              <w:top w:type="dxa" w:w="60"/>
              <w:left w:type="dxa" w:w="90"/>
              <w:bottom w:type="dxa" w:w="60"/>
              <w:right w:type="dxa" w:w="90"/>
            </w:tcMar>
            <w:vAlign w:val="center"/>
          </w:tcPr>
          <w:p>
            <w:pPr>
              <w:jc w:val="left"/>
            </w:pPr>
            <w:r>
              <w:rPr>
                <w:sz w:val="19"/>
                <w:szCs w:val="19"/>
              </w:rPr>
              <w:t xml:space="preserve">High priority — act first; strengthen detection / prevention</w:t>
            </w:r>
          </w:p>
        </w:tc>
      </w:tr>
      <w:tr>
        <w:tc>
          <w:tcPr>
            <w:tcW w:type="dxa" w:w="2600"/>
            <w:shd w:fill="F8FAFC" w:color="auto" w:val="clear"/>
            <w:tcMar>
              <w:top w:type="dxa" w:w="60"/>
              <w:left w:type="dxa" w:w="90"/>
              <w:bottom w:type="dxa" w:w="60"/>
              <w:right w:type="dxa" w:w="90"/>
            </w:tcMar>
            <w:vAlign w:val="center"/>
          </w:tcPr>
          <w:p>
            <w:pPr>
              <w:jc w:val="left"/>
            </w:pPr>
            <w:r>
              <w:rPr>
                <w:b/>
                <w:bCs/>
                <w:sz w:val="19"/>
                <w:szCs w:val="19"/>
              </w:rPr>
              <w:t xml:space="preserve">40 – 99</w:t>
            </w:r>
          </w:p>
        </w:tc>
        <w:tc>
          <w:tcPr>
            <w:tcW w:type="dxa" w:w="2760"/>
            <w:shd w:fill="F8FAFC" w:color="auto" w:val="clear"/>
            <w:tcMar>
              <w:top w:type="dxa" w:w="60"/>
              <w:left w:type="dxa" w:w="90"/>
              <w:bottom w:type="dxa" w:w="60"/>
              <w:right w:type="dxa" w:w="90"/>
            </w:tcMar>
            <w:vAlign w:val="center"/>
          </w:tcPr>
          <w:p>
            <w:pPr>
              <w:jc w:val="center"/>
            </w:pPr>
            <w:r>
              <w:rPr>
                <w:sz w:val="19"/>
                <w:szCs w:val="19"/>
              </w:rPr>
              <w:t xml:space="preserve">Yellow</w:t>
            </w:r>
          </w:p>
        </w:tc>
        <w:tc>
          <w:tcPr>
            <w:tcW w:type="dxa" w:w="4000"/>
            <w:shd w:fill="F8FAFC" w:color="auto" w:val="clear"/>
            <w:tcMar>
              <w:top w:type="dxa" w:w="60"/>
              <w:left w:type="dxa" w:w="90"/>
              <w:bottom w:type="dxa" w:w="60"/>
              <w:right w:type="dxa" w:w="90"/>
            </w:tcMar>
            <w:vAlign w:val="center"/>
          </w:tcPr>
          <w:p>
            <w:pPr>
              <w:jc w:val="left"/>
            </w:pPr>
            <w:r>
              <w:rPr>
                <w:sz w:val="19"/>
                <w:szCs w:val="19"/>
              </w:rPr>
              <w:t xml:space="preserve">Medium — plan mitigation</w:t>
            </w:r>
          </w:p>
        </w:tc>
      </w:tr>
      <w:tr>
        <w:tc>
          <w:tcPr>
            <w:tcW w:type="dxa" w:w="2600"/>
            <w:shd w:fill="FFFFFF" w:color="auto" w:val="clear"/>
            <w:tcMar>
              <w:top w:type="dxa" w:w="60"/>
              <w:left w:type="dxa" w:w="90"/>
              <w:bottom w:type="dxa" w:w="60"/>
              <w:right w:type="dxa" w:w="90"/>
            </w:tcMar>
            <w:vAlign w:val="center"/>
          </w:tcPr>
          <w:p>
            <w:pPr>
              <w:jc w:val="left"/>
            </w:pPr>
            <w:r>
              <w:rPr>
                <w:b/>
                <w:bCs/>
                <w:sz w:val="19"/>
                <w:szCs w:val="19"/>
              </w:rPr>
              <w:t xml:space="preserve">Below 40</w:t>
            </w:r>
          </w:p>
        </w:tc>
        <w:tc>
          <w:tcPr>
            <w:tcW w:type="dxa" w:w="2760"/>
            <w:shd w:fill="FFFFFF" w:color="auto" w:val="clear"/>
            <w:tcMar>
              <w:top w:type="dxa" w:w="60"/>
              <w:left w:type="dxa" w:w="90"/>
              <w:bottom w:type="dxa" w:w="60"/>
              <w:right w:type="dxa" w:w="90"/>
            </w:tcMar>
            <w:vAlign w:val="center"/>
          </w:tcPr>
          <w:p>
            <w:pPr>
              <w:jc w:val="center"/>
            </w:pPr>
            <w:r>
              <w:rPr>
                <w:sz w:val="19"/>
                <w:szCs w:val="19"/>
              </w:rPr>
              <w:t xml:space="preserve">Green</w:t>
            </w:r>
          </w:p>
        </w:tc>
        <w:tc>
          <w:tcPr>
            <w:tcW w:type="dxa" w:w="4000"/>
            <w:shd w:fill="FFFFFF" w:color="auto" w:val="clear"/>
            <w:tcMar>
              <w:top w:type="dxa" w:w="60"/>
              <w:left w:type="dxa" w:w="90"/>
              <w:bottom w:type="dxa" w:w="60"/>
              <w:right w:type="dxa" w:w="90"/>
            </w:tcMar>
            <w:vAlign w:val="center"/>
          </w:tcPr>
          <w:p>
            <w:pPr>
              <w:jc w:val="left"/>
            </w:pPr>
            <w:r>
              <w:rPr>
                <w:sz w:val="19"/>
                <w:szCs w:val="19"/>
              </w:rPr>
              <w:t xml:space="preserve">Low — monitor</w:t>
            </w:r>
          </w:p>
        </w:tc>
      </w:tr>
      <w:tr>
        <w:tc>
          <w:tcPr>
            <w:tcW w:type="dxa" w:w="2600"/>
            <w:shd w:fill="F8FAFC" w:color="auto" w:val="clear"/>
            <w:tcMar>
              <w:top w:type="dxa" w:w="60"/>
              <w:left w:type="dxa" w:w="90"/>
              <w:bottom w:type="dxa" w:w="60"/>
              <w:right w:type="dxa" w:w="90"/>
            </w:tcMar>
            <w:vAlign w:val="center"/>
          </w:tcPr>
          <w:p>
            <w:pPr>
              <w:jc w:val="left"/>
            </w:pPr>
            <w:r>
              <w:rPr>
                <w:b/>
                <w:bCs/>
                <w:sz w:val="19"/>
                <w:szCs w:val="19"/>
              </w:rPr>
              <w:t xml:space="preserve">Blank / Unscored</w:t>
            </w:r>
          </w:p>
        </w:tc>
        <w:tc>
          <w:tcPr>
            <w:tcW w:type="dxa" w:w="2760"/>
            <w:shd w:fill="F8FAFC" w:color="auto" w:val="clear"/>
            <w:tcMar>
              <w:top w:type="dxa" w:w="60"/>
              <w:left w:type="dxa" w:w="90"/>
              <w:bottom w:type="dxa" w:w="60"/>
              <w:right w:type="dxa" w:w="90"/>
            </w:tcMar>
            <w:vAlign w:val="center"/>
          </w:tcPr>
          <w:p>
            <w:pPr>
              <w:jc w:val="center"/>
            </w:pPr>
            <w:r>
              <w:rPr>
                <w:sz w:val="19"/>
                <w:szCs w:val="19"/>
              </w:rPr>
              <w:t xml:space="preserve">Grey</w:t>
            </w:r>
          </w:p>
        </w:tc>
        <w:tc>
          <w:tcPr>
            <w:tcW w:type="dxa" w:w="4000"/>
            <w:shd w:fill="F8FAFC" w:color="auto" w:val="clear"/>
            <w:tcMar>
              <w:top w:type="dxa" w:w="60"/>
              <w:left w:type="dxa" w:w="90"/>
              <w:bottom w:type="dxa" w:w="60"/>
              <w:right w:type="dxa" w:w="90"/>
            </w:tcMar>
            <w:vAlign w:val="center"/>
          </w:tcPr>
          <w:p>
            <w:pPr>
              <w:jc w:val="left"/>
            </w:pPr>
            <w:r>
              <w:rPr>
                <w:sz w:val="19"/>
                <w:szCs w:val="19"/>
              </w:rPr>
              <w:t xml:space="preserve">Not yet assessed</w:t>
            </w:r>
          </w:p>
        </w:tc>
      </w:tr>
    </w:tbl>
    <w:p>
      <w:pPr>
        <w:spacing w:after="80"/>
      </w:pPr>
    </w:p>
    <w:tbl>
      <w:tblPr>
        <w:tblW w:type="dxa" w:w="9360"/>
        <w:tblBorders>
          <w:top w:val="single" w:color="475569" w:sz="2"/>
          <w:left w:val="single" w:color="475569" w:sz="12"/>
          <w:bottom w:val="single" w:color="475569" w:sz="2"/>
          <w:right w:val="single" w:color="475569" w:sz="2"/>
          <w:insideH w:val="none"/>
          <w:insideV w:val="none"/>
        </w:tblBorders>
      </w:tblPr>
      <w:tblGrid>
        <w:gridCol w:w="9360"/>
      </w:tblGrid>
      <w:tr>
        <w:tc>
          <w:tcPr>
            <w:tcW w:type="dxa" w:w="9360"/>
            <w:shd w:fill="F1F5F9" w:color="auto" w:val="clear"/>
            <w:tcMar>
              <w:top w:type="dxa" w:w="120"/>
              <w:left w:type="dxa" w:w="160"/>
              <w:bottom w:type="dxa" w:w="120"/>
              <w:right w:type="dxa" w:w="160"/>
            </w:tcMar>
          </w:tcPr>
          <w:p>
            <w:pPr>
              <w:spacing w:after="60"/>
            </w:pPr>
            <w:r>
              <w:rPr>
                <w:b/>
                <w:bCs/>
                <w:color w:val="475569"/>
                <w:sz w:val="21"/>
                <w:szCs w:val="21"/>
              </w:rPr>
              <w:t xml:space="preserve">Baseline vs. mitigated RPN</w:t>
            </w:r>
          </w:p>
          <w:p>
            <w:pPr>
              <w:spacing w:after="0"/>
            </w:pPr>
            <w:r>
              <w:rPr>
                <w:sz w:val="20"/>
                <w:szCs w:val="20"/>
              </w:rPr>
              <w:t xml:space="preserve">The AI scorer can record a baseline RPN (using only the current controls) alongside the mitigated RPN (after the recommended actions), so you can demonstrate the risk reduction your maintenance strategy delivers. Turn the RPN column on or off with the RPN toggle in the toolbar.</w:t>
            </w:r>
          </w:p>
        </w:tc>
      </w:tr>
    </w:tbl>
    <w:p>
      <w:r>
        <w:br w:type="page"/>
      </w:r>
    </w:p>
    <w:p>
      <w:pPr>
        <w:pStyle w:val="Heading1"/>
        <w:spacing w:after="140" w:before="320"/>
      </w:pPr>
      <w:r>
        <w:t xml:space="preserve">5.  AI-assisted features</w:t>
      </w:r>
    </w:p>
    <w:p>
      <w:pPr>
        <w:spacing w:after="140" w:line="276"/>
        <w:jc w:val="left"/>
      </w:pPr>
      <w:r>
        <w:rPr>
          <w:sz w:val="21"/>
          <w:szCs w:val="21"/>
        </w:rPr>
        <w:t xml:space="preserve">Beyond the per-field wand and the Generate buttons, two features help you bring real operating knowledge and a reference library into the analysis.</w:t>
      </w:r>
    </w:p>
    <w:p>
      <w:pPr>
        <w:pStyle w:val="Heading2"/>
        <w:spacing w:after="100" w:before="260"/>
      </w:pPr>
      <w:r>
        <w:t xml:space="preserve">5.1  System Modes — injecting operational failure data</w:t>
      </w:r>
    </w:p>
    <w:p>
      <w:pPr>
        <w:spacing w:after="140" w:line="276"/>
        <w:jc w:val="left"/>
      </w:pPr>
      <w:r>
        <w:rPr>
          <w:sz w:val="21"/>
          <w:szCs w:val="21"/>
        </w:rPr>
        <w:t xml:space="preserve">The </w:t>
      </w:r>
      <w:r>
        <w:rPr>
          <w:b/>
          <w:bCs/>
          <w:sz w:val="21"/>
          <w:szCs w:val="21"/>
        </w:rPr>
        <w:t xml:space="preserve">System Modes</w:t>
      </w:r>
      <w:r>
        <w:rPr>
          <w:sz w:val="21"/>
          <w:szCs w:val="21"/>
        </w:rPr>
        <w:t xml:space="preserve"> button (top-right of the editor) lets you upload real failure history — an Excel sheet with two columns, Failure Mode and Failure Count (occurrences). FMECA Studio ranks this data and injects it as context into every AI prompt, so generated modes reflect what actually fails on your equipment rather than generic textbook modes.</w:t>
      </w:r>
    </w:p>
    <w:p>
      <w:pPr>
        <w:spacing w:after="6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19500"/>
                    </a:xfrm>
                    <a:prstGeom prst="rect">
                      <a:avLst/>
                    </a:prstGeom>
                  </pic:spPr>
                </pic:pic>
              </a:graphicData>
            </a:graphic>
          </wp:inline>
        </w:drawing>
      </w:r>
    </w:p>
    <w:p>
      <w:pPr>
        <w:spacing w:after="200"/>
        <w:jc w:val="center"/>
      </w:pPr>
      <w:r>
        <w:rPr>
          <w:i/>
          <w:iCs/>
          <w:color w:val="475569"/>
          <w:sz w:val="17"/>
          <w:szCs w:val="17"/>
        </w:rPr>
        <w:t xml:space="preserve">Figure 5.1 — System Modes: upload ranked operational failure counts to ground the AI in real plant history.</w:t>
      </w:r>
    </w:p>
    <w:p>
      <w:pPr>
        <w:pStyle w:val="Heading2"/>
        <w:spacing w:after="100" w:before="260"/>
      </w:pPr>
      <w:r>
        <w:t xml:space="preserve">5.2  The failure library</w:t>
      </w:r>
    </w:p>
    <w:p>
      <w:pPr>
        <w:spacing w:after="140" w:line="276"/>
        <w:jc w:val="left"/>
      </w:pPr>
      <w:r>
        <w:rPr>
          <w:sz w:val="21"/>
          <w:szCs w:val="21"/>
        </w:rPr>
        <w:t xml:space="preserve">The </w:t>
      </w:r>
      <w:r>
        <w:rPr>
          <w:b/>
          <w:bCs/>
          <w:sz w:val="21"/>
          <w:szCs w:val="21"/>
        </w:rPr>
        <w:t xml:space="preserve">Library</w:t>
      </w:r>
      <w:r>
        <w:rPr>
          <w:sz w:val="21"/>
          <w:szCs w:val="21"/>
        </w:rPr>
        <w:t xml:space="preserve"> panel (open the toolbar, then click Library) holds reusable failure records grouped by equipment class — for example Centrifugal Pumps and Electric Motors — each with a Mode, Effect, Cause and suggested Task. Use it as a starting palette for common equipment, and load your own library with the upload icon (download the template first with “Get Template”).</w:t>
      </w:r>
    </w:p>
    <w:p>
      <w:pPr>
        <w:spacing w:after="6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19500"/>
                    </a:xfrm>
                    <a:prstGeom prst="rect">
                      <a:avLst/>
                    </a:prstGeom>
                  </pic:spPr>
                </pic:pic>
              </a:graphicData>
            </a:graphic>
          </wp:inline>
        </w:drawing>
      </w:r>
    </w:p>
    <w:p>
      <w:pPr>
        <w:spacing w:after="200"/>
        <w:jc w:val="center"/>
      </w:pPr>
      <w:r>
        <w:rPr>
          <w:i/>
          <w:iCs/>
          <w:color w:val="475569"/>
          <w:sz w:val="17"/>
          <w:szCs w:val="17"/>
        </w:rPr>
        <w:t xml:space="preserve">Figure 5.2 — The failure library, grouped by equipment type.</w:t>
      </w:r>
    </w:p>
    <w:p>
      <w:pPr>
        <w:pStyle w:val="Heading2"/>
        <w:spacing w:after="100" w:before="260"/>
      </w:pPr>
      <w:r>
        <w:t xml:space="preserve">5.3  The FMECA Copilot chatbot</w:t>
      </w:r>
    </w:p>
    <w:p>
      <w:pPr>
        <w:spacing w:after="140" w:line="276"/>
        <w:jc w:val="left"/>
      </w:pPr>
      <w:r>
        <w:rPr>
          <w:sz w:val="21"/>
          <w:szCs w:val="21"/>
        </w:rPr>
        <w:t xml:space="preserve">The floating </w:t>
      </w:r>
      <w:r>
        <w:rPr>
          <w:b/>
          <w:bCs/>
          <w:sz w:val="21"/>
          <w:szCs w:val="21"/>
        </w:rPr>
        <w:t xml:space="preserve">FMECA Consultant</w:t>
      </w:r>
      <w:r>
        <w:rPr>
          <w:sz w:val="21"/>
          <w:szCs w:val="21"/>
        </w:rPr>
        <w:t xml:space="preserve"> (the wand tab on the right edge of the editor) is a senior-reliability-engineer chat assistant. With </w:t>
      </w:r>
      <w:r>
        <w:rPr>
          <w:b/>
          <w:bCs/>
          <w:sz w:val="21"/>
          <w:szCs w:val="21"/>
        </w:rPr>
        <w:t xml:space="preserve">RAG ON</w:t>
      </w:r>
      <w:r>
        <w:rPr>
          <w:sz w:val="21"/>
          <w:szCs w:val="21"/>
        </w:rPr>
        <w:t xml:space="preserve"> it retrieves exact data from your open project — subsystems, failure modes and RPN summaries — before answering, so you can ask questions such as “Which modes have the highest RPN?” or “Suggest additional detection for the oil-carryover mode.” The green “Project Context Active” badge confirms it is reading your live data.</w:t>
      </w:r>
    </w:p>
    <w:p>
      <w:pPr>
        <w:spacing w:after="6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19500"/>
                    </a:xfrm>
                    <a:prstGeom prst="rect">
                      <a:avLst/>
                    </a:prstGeom>
                  </pic:spPr>
                </pic:pic>
              </a:graphicData>
            </a:graphic>
          </wp:inline>
        </w:drawing>
      </w:r>
    </w:p>
    <w:p>
      <w:pPr>
        <w:spacing w:after="200"/>
        <w:jc w:val="center"/>
      </w:pPr>
      <w:r>
        <w:rPr>
          <w:i/>
          <w:iCs/>
          <w:color w:val="475569"/>
          <w:sz w:val="17"/>
          <w:szCs w:val="17"/>
        </w:rPr>
        <w:t xml:space="preserve">Figure 5.3 — The FMECA Consultant chatbot with retrieval (RAG) over the open project.</w:t>
      </w:r>
    </w:p>
    <w:p>
      <w:r>
        <w:br w:type="page"/>
      </w:r>
    </w:p>
    <w:p>
      <w:pPr>
        <w:pStyle w:val="Heading1"/>
        <w:spacing w:after="140" w:before="320"/>
      </w:pPr>
      <w:r>
        <w:t xml:space="preserve">6.  Views and the toolbar</w:t>
      </w:r>
    </w:p>
    <w:p>
      <w:pPr>
        <w:spacing w:after="140" w:line="276"/>
        <w:jc w:val="left"/>
      </w:pPr>
      <w:r>
        <w:rPr>
          <w:sz w:val="21"/>
          <w:szCs w:val="21"/>
        </w:rPr>
        <w:t xml:space="preserve">The editor offers three views of the same data, switched from the Build / Table / Map buttons in the header. The toolbar (the gear/arrow button) reveals the RPN toggle and the export buttons.</w:t>
      </w:r>
    </w:p>
    <w:p>
      <w:pPr>
        <w:spacing w:after="6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619500"/>
                    </a:xfrm>
                    <a:prstGeom prst="rect">
                      <a:avLst/>
                    </a:prstGeom>
                  </pic:spPr>
                </pic:pic>
              </a:graphicData>
            </a:graphic>
          </wp:inline>
        </w:drawing>
      </w:r>
    </w:p>
    <w:p>
      <w:pPr>
        <w:spacing w:after="200"/>
        <w:jc w:val="center"/>
      </w:pPr>
      <w:r>
        <w:rPr>
          <w:i/>
          <w:iCs/>
          <w:color w:val="475569"/>
          <w:sz w:val="17"/>
          <w:szCs w:val="17"/>
        </w:rPr>
        <w:t xml:space="preserve">Figure 6.1 — The expanded toolbar: RPN toggle, Excel Download, JSON Export and Library.</w:t>
      </w:r>
    </w:p>
    <w:p>
      <w:pPr>
        <w:pStyle w:val="Heading2"/>
        <w:spacing w:after="100" w:before="260"/>
      </w:pPr>
      <w:r>
        <w:t xml:space="preserve">6.1  Table view</w:t>
      </w:r>
    </w:p>
    <w:p>
      <w:pPr>
        <w:spacing w:after="140" w:line="276"/>
        <w:jc w:val="left"/>
      </w:pPr>
      <w:r>
        <w:rPr>
          <w:sz w:val="21"/>
          <w:szCs w:val="21"/>
        </w:rPr>
        <w:t xml:space="preserve">The Table view renders the analysis as a classic spreadsheet-style FMECA worksheet, with subsystem and functional-failure cells merged across their modes and the S / O / D / RPN columns on the right. This is the review-and-sign-off view and the layout that matches the exported Excel file.</w:t>
      </w:r>
    </w:p>
    <w:p>
      <w:pPr>
        <w:spacing w:after="6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19500"/>
                    </a:xfrm>
                    <a:prstGeom prst="rect">
                      <a:avLst/>
                    </a:prstGeom>
                  </pic:spPr>
                </pic:pic>
              </a:graphicData>
            </a:graphic>
          </wp:inline>
        </w:drawing>
      </w:r>
    </w:p>
    <w:p>
      <w:pPr>
        <w:spacing w:after="200"/>
        <w:jc w:val="center"/>
      </w:pPr>
      <w:r>
        <w:rPr>
          <w:i/>
          <w:iCs/>
          <w:color w:val="475569"/>
          <w:sz w:val="17"/>
          <w:szCs w:val="17"/>
        </w:rPr>
        <w:t xml:space="preserve">Figure 6.2 — Table view: the structured FMECA worksheet with merged cells and RPN.</w:t>
      </w:r>
    </w:p>
    <w:p>
      <w:pPr>
        <w:pStyle w:val="Heading2"/>
        <w:spacing w:after="100" w:before="260"/>
      </w:pPr>
      <w:r>
        <w:t xml:space="preserve">6.2  Map view</w:t>
      </w:r>
    </w:p>
    <w:p>
      <w:pPr>
        <w:spacing w:after="140" w:line="276"/>
        <w:jc w:val="left"/>
      </w:pPr>
      <w:r>
        <w:rPr>
          <w:sz w:val="21"/>
          <w:szCs w:val="21"/>
        </w:rPr>
        <w:t xml:space="preserve">The Map view draws the analysis as a top-down tree — project → subsystems → functional failures → modes. Use </w:t>
      </w:r>
      <w:r>
        <w:rPr>
          <w:b/>
          <w:bCs/>
          <w:sz w:val="21"/>
          <w:szCs w:val="21"/>
        </w:rPr>
        <w:t xml:space="preserve">Expand</w:t>
      </w:r>
      <w:r>
        <w:rPr>
          <w:sz w:val="21"/>
          <w:szCs w:val="21"/>
        </w:rPr>
        <w:t xml:space="preserve"> / </w:t>
      </w:r>
      <w:r>
        <w:rPr>
          <w:b/>
          <w:bCs/>
          <w:sz w:val="21"/>
          <w:szCs w:val="21"/>
        </w:rPr>
        <w:t xml:space="preserve">Collapse</w:t>
      </w:r>
      <w:r>
        <w:rPr>
          <w:sz w:val="21"/>
          <w:szCs w:val="21"/>
        </w:rPr>
        <w:t xml:space="preserve">, the zoom control and the level selector (Subsystems / deeper levels) to focus the diagram.</w:t>
      </w:r>
    </w:p>
    <w:p>
      <w:pPr>
        <w:spacing w:after="6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19500"/>
                    </a:xfrm>
                    <a:prstGeom prst="rect">
                      <a:avLst/>
                    </a:prstGeom>
                  </pic:spPr>
                </pic:pic>
              </a:graphicData>
            </a:graphic>
          </wp:inline>
        </w:drawing>
      </w:r>
    </w:p>
    <w:p>
      <w:pPr>
        <w:spacing w:after="200"/>
        <w:jc w:val="center"/>
      </w:pPr>
      <w:r>
        <w:rPr>
          <w:i/>
          <w:iCs/>
          <w:color w:val="475569"/>
          <w:sz w:val="17"/>
          <w:szCs w:val="17"/>
        </w:rPr>
        <w:t xml:space="preserve">Figure 6.3 — Map view: a navigable tree of the asset breakdown.</w:t>
      </w:r>
    </w:p>
    <w:p>
      <w:pPr>
        <w:pStyle w:val="Heading3"/>
        <w:spacing w:after="70" w:before="200"/>
      </w:pPr>
      <w:r>
        <w:t xml:space="preserve">Downloading the map</w:t>
      </w:r>
    </w:p>
    <w:p>
      <w:pPr>
        <w:spacing w:after="140" w:line="276"/>
        <w:jc w:val="left"/>
      </w:pPr>
      <w:r>
        <w:rPr>
          <w:sz w:val="21"/>
          <w:szCs w:val="21"/>
        </w:rPr>
        <w:t xml:space="preserve">Click the </w:t>
      </w:r>
      <w:r>
        <w:rPr>
          <w:b/>
          <w:bCs/>
          <w:sz w:val="21"/>
          <w:szCs w:val="21"/>
        </w:rPr>
        <w:t xml:space="preserve">Download</w:t>
      </w:r>
      <w:r>
        <w:rPr>
          <w:sz w:val="21"/>
          <w:szCs w:val="21"/>
        </w:rPr>
        <w:t xml:space="preserve"> button (top-right of the Map) to open a menu with four export formats. Choose the one that suits the destination:</w:t>
      </w:r>
    </w:p>
    <w:p>
      <w:pPr>
        <w:spacing w:after="6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619500"/>
                    </a:xfrm>
                    <a:prstGeom prst="rect">
                      <a:avLst/>
                    </a:prstGeom>
                  </pic:spPr>
                </pic:pic>
              </a:graphicData>
            </a:graphic>
          </wp:inline>
        </w:drawing>
      </w:r>
    </w:p>
    <w:p>
      <w:pPr>
        <w:spacing w:after="200"/>
        <w:jc w:val="center"/>
      </w:pPr>
      <w:r>
        <w:rPr>
          <w:i/>
          <w:iCs/>
          <w:color w:val="475569"/>
          <w:sz w:val="17"/>
          <w:szCs w:val="17"/>
        </w:rPr>
        <w:t xml:space="preserve">Figure 6.4 — The Map Download menu offers PDF, an interactive HTML map, and two PNG resolutions.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900"/>
        <w:gridCol w:w="1500"/>
        <w:gridCol w:w="4960"/>
      </w:tblGrid>
      <w:tr>
        <w:trPr>
          <w:tblHeader/>
        </w:trPr>
        <w:tc>
          <w:tcPr>
            <w:tcW w:type="dxa" w:w="2900"/>
            <w:shd w:fill="0F172A" w:color="auto" w:val="clear"/>
            <w:tcMar>
              <w:top w:type="dxa" w:w="60"/>
              <w:left w:type="dxa" w:w="90"/>
              <w:bottom w:type="dxa" w:w="60"/>
              <w:right w:type="dxa" w:w="90"/>
            </w:tcMar>
            <w:vAlign w:val="center"/>
          </w:tcPr>
          <w:p>
            <w:pPr>
              <w:jc w:val="left"/>
            </w:pPr>
            <w:r>
              <w:rPr>
                <w:b/>
                <w:bCs/>
                <w:color w:val="FFFFFF"/>
                <w:sz w:val="19"/>
                <w:szCs w:val="19"/>
              </w:rPr>
              <w:t xml:space="preserve">Menu option</w:t>
            </w:r>
          </w:p>
        </w:tc>
        <w:tc>
          <w:tcPr>
            <w:tcW w:type="dxa" w:w="1500"/>
            <w:shd w:fill="0F172A" w:color="auto" w:val="clear"/>
            <w:tcMar>
              <w:top w:type="dxa" w:w="60"/>
              <w:left w:type="dxa" w:w="90"/>
              <w:bottom w:type="dxa" w:w="60"/>
              <w:right w:type="dxa" w:w="90"/>
            </w:tcMar>
            <w:vAlign w:val="center"/>
          </w:tcPr>
          <w:p>
            <w:pPr>
              <w:jc w:val="center"/>
            </w:pPr>
            <w:r>
              <w:rPr>
                <w:b/>
                <w:bCs/>
                <w:color w:val="FFFFFF"/>
                <w:sz w:val="19"/>
                <w:szCs w:val="19"/>
              </w:rPr>
              <w:t xml:space="preserve">File type</w:t>
            </w:r>
          </w:p>
        </w:tc>
        <w:tc>
          <w:tcPr>
            <w:tcW w:type="dxa" w:w="4960"/>
            <w:shd w:fill="0F172A" w:color="auto" w:val="clear"/>
            <w:tcMar>
              <w:top w:type="dxa" w:w="60"/>
              <w:left w:type="dxa" w:w="90"/>
              <w:bottom w:type="dxa" w:w="60"/>
              <w:right w:type="dxa" w:w="90"/>
            </w:tcMar>
            <w:vAlign w:val="center"/>
          </w:tcPr>
          <w:p>
            <w:pPr>
              <w:jc w:val="left"/>
            </w:pPr>
            <w:r>
              <w:rPr>
                <w:b/>
                <w:bCs/>
                <w:color w:val="FFFFFF"/>
                <w:sz w:val="19"/>
                <w:szCs w:val="19"/>
              </w:rPr>
              <w:t xml:space="preserve">Best for</w:t>
            </w:r>
          </w:p>
        </w:tc>
      </w:tr>
      <w:tr>
        <w:tc>
          <w:tcPr>
            <w:tcW w:type="dxa" w:w="2900"/>
            <w:shd w:fill="FFFFFF" w:color="auto" w:val="clear"/>
            <w:tcMar>
              <w:top w:type="dxa" w:w="60"/>
              <w:left w:type="dxa" w:w="90"/>
              <w:bottom w:type="dxa" w:w="60"/>
              <w:right w:type="dxa" w:w="90"/>
            </w:tcMar>
            <w:vAlign w:val="center"/>
          </w:tcPr>
          <w:p>
            <w:pPr>
              <w:jc w:val="left"/>
            </w:pPr>
            <w:r>
              <w:rPr>
                <w:b/>
                <w:bCs/>
                <w:sz w:val="19"/>
                <w:szCs w:val="19"/>
              </w:rPr>
              <w:t xml:space="preserve">PDF</w:t>
            </w:r>
          </w:p>
        </w:tc>
        <w:tc>
          <w:tcPr>
            <w:tcW w:type="dxa" w:w="1500"/>
            <w:shd w:fill="FFFFFF" w:color="auto" w:val="clear"/>
            <w:tcMar>
              <w:top w:type="dxa" w:w="60"/>
              <w:left w:type="dxa" w:w="90"/>
              <w:bottom w:type="dxa" w:w="60"/>
              <w:right w:type="dxa" w:w="90"/>
            </w:tcMar>
            <w:vAlign w:val="center"/>
          </w:tcPr>
          <w:p>
            <w:pPr>
              <w:jc w:val="center"/>
            </w:pPr>
            <w:r>
              <w:rPr>
                <w:sz w:val="19"/>
                <w:szCs w:val="19"/>
              </w:rPr>
              <w:t xml:space="preserve">PDF</w:t>
            </w:r>
          </w:p>
        </w:tc>
        <w:tc>
          <w:tcPr>
            <w:tcW w:type="dxa" w:w="4960"/>
            <w:shd w:fill="FFFFFF" w:color="auto" w:val="clear"/>
            <w:tcMar>
              <w:top w:type="dxa" w:w="60"/>
              <w:left w:type="dxa" w:w="90"/>
              <w:bottom w:type="dxa" w:w="60"/>
              <w:right w:type="dxa" w:w="90"/>
            </w:tcMar>
            <w:vAlign w:val="center"/>
          </w:tcPr>
          <w:p>
            <w:pPr>
              <w:jc w:val="left"/>
            </w:pPr>
            <w:r>
              <w:rPr>
                <w:sz w:val="19"/>
                <w:szCs w:val="19"/>
              </w:rPr>
              <w:t xml:space="preserve">A print-ready page of the map for reports, sign-off packs and archiving</w:t>
            </w:r>
          </w:p>
        </w:tc>
      </w:tr>
      <w:tr>
        <w:tc>
          <w:tcPr>
            <w:tcW w:type="dxa" w:w="2900"/>
            <w:shd w:fill="F8FAFC" w:color="auto" w:val="clear"/>
            <w:tcMar>
              <w:top w:type="dxa" w:w="60"/>
              <w:left w:type="dxa" w:w="90"/>
              <w:bottom w:type="dxa" w:w="60"/>
              <w:right w:type="dxa" w:w="90"/>
            </w:tcMar>
            <w:vAlign w:val="center"/>
          </w:tcPr>
          <w:p>
            <w:pPr>
              <w:jc w:val="left"/>
            </w:pPr>
            <w:r>
              <w:rPr>
                <w:b/>
                <w:bCs/>
                <w:sz w:val="19"/>
                <w:szCs w:val="19"/>
              </w:rPr>
              <w:t xml:space="preserve">Interactive Map</w:t>
            </w:r>
          </w:p>
        </w:tc>
        <w:tc>
          <w:tcPr>
            <w:tcW w:type="dxa" w:w="1500"/>
            <w:shd w:fill="F8FAFC" w:color="auto" w:val="clear"/>
            <w:tcMar>
              <w:top w:type="dxa" w:w="60"/>
              <w:left w:type="dxa" w:w="90"/>
              <w:bottom w:type="dxa" w:w="60"/>
              <w:right w:type="dxa" w:w="90"/>
            </w:tcMar>
            <w:vAlign w:val="center"/>
          </w:tcPr>
          <w:p>
            <w:pPr>
              <w:jc w:val="center"/>
            </w:pPr>
            <w:r>
              <w:rPr>
                <w:sz w:val="19"/>
                <w:szCs w:val="19"/>
              </w:rPr>
              <w:t xml:space="preserve">HTML</w:t>
            </w:r>
          </w:p>
        </w:tc>
        <w:tc>
          <w:tcPr>
            <w:tcW w:type="dxa" w:w="4960"/>
            <w:shd w:fill="F8FAFC" w:color="auto" w:val="clear"/>
            <w:tcMar>
              <w:top w:type="dxa" w:w="60"/>
              <w:left w:type="dxa" w:w="90"/>
              <w:bottom w:type="dxa" w:w="60"/>
              <w:right w:type="dxa" w:w="90"/>
            </w:tcMar>
            <w:vAlign w:val="center"/>
          </w:tcPr>
          <w:p>
            <w:pPr>
              <w:jc w:val="left"/>
            </w:pPr>
            <w:r>
              <w:rPr>
                <w:sz w:val="19"/>
                <w:szCs w:val="19"/>
              </w:rPr>
              <w:t xml:space="preserve">A self-contained web page you can open in a browser and pan / expand — ideal for sharing a clickable map by email</w:t>
            </w:r>
          </w:p>
        </w:tc>
      </w:tr>
      <w:tr>
        <w:tc>
          <w:tcPr>
            <w:tcW w:type="dxa" w:w="2900"/>
            <w:shd w:fill="FFFFFF" w:color="auto" w:val="clear"/>
            <w:tcMar>
              <w:top w:type="dxa" w:w="60"/>
              <w:left w:type="dxa" w:w="90"/>
              <w:bottom w:type="dxa" w:w="60"/>
              <w:right w:type="dxa" w:w="90"/>
            </w:tcMar>
            <w:vAlign w:val="center"/>
          </w:tcPr>
          <w:p>
            <w:pPr>
              <w:jc w:val="left"/>
            </w:pPr>
            <w:r>
              <w:rPr>
                <w:b/>
                <w:bCs/>
                <w:sz w:val="19"/>
                <w:szCs w:val="19"/>
              </w:rPr>
              <w:t xml:space="preserve">Standard Quality IMG</w:t>
            </w:r>
          </w:p>
        </w:tc>
        <w:tc>
          <w:tcPr>
            <w:tcW w:type="dxa" w:w="1500"/>
            <w:shd w:fill="FFFFFF" w:color="auto" w:val="clear"/>
            <w:tcMar>
              <w:top w:type="dxa" w:w="60"/>
              <w:left w:type="dxa" w:w="90"/>
              <w:bottom w:type="dxa" w:w="60"/>
              <w:right w:type="dxa" w:w="90"/>
            </w:tcMar>
            <w:vAlign w:val="center"/>
          </w:tcPr>
          <w:p>
            <w:pPr>
              <w:jc w:val="center"/>
            </w:pPr>
            <w:r>
              <w:rPr>
                <w:sz w:val="19"/>
                <w:szCs w:val="19"/>
              </w:rPr>
              <w:t xml:space="preserve">PNG</w:t>
            </w:r>
          </w:p>
        </w:tc>
        <w:tc>
          <w:tcPr>
            <w:tcW w:type="dxa" w:w="4960"/>
            <w:shd w:fill="FFFFFF" w:color="auto" w:val="clear"/>
            <w:tcMar>
              <w:top w:type="dxa" w:w="60"/>
              <w:left w:type="dxa" w:w="90"/>
              <w:bottom w:type="dxa" w:w="60"/>
              <w:right w:type="dxa" w:w="90"/>
            </w:tcMar>
            <w:vAlign w:val="center"/>
          </w:tcPr>
          <w:p>
            <w:pPr>
              <w:jc w:val="left"/>
            </w:pPr>
            <w:r>
              <w:rPr>
                <w:sz w:val="19"/>
                <w:szCs w:val="19"/>
              </w:rPr>
              <w:t xml:space="preserve">A quick, screen-resolution image for slides and documents</w:t>
            </w:r>
          </w:p>
        </w:tc>
      </w:tr>
      <w:tr>
        <w:tc>
          <w:tcPr>
            <w:tcW w:type="dxa" w:w="2900"/>
            <w:shd w:fill="F8FAFC" w:color="auto" w:val="clear"/>
            <w:tcMar>
              <w:top w:type="dxa" w:w="60"/>
              <w:left w:type="dxa" w:w="90"/>
              <w:bottom w:type="dxa" w:w="60"/>
              <w:right w:type="dxa" w:w="90"/>
            </w:tcMar>
            <w:vAlign w:val="center"/>
          </w:tcPr>
          <w:p>
            <w:pPr>
              <w:jc w:val="left"/>
            </w:pPr>
            <w:r>
              <w:rPr>
                <w:b/>
                <w:bCs/>
                <w:sz w:val="19"/>
                <w:szCs w:val="19"/>
              </w:rPr>
              <w:t xml:space="preserve">High Resolution IMG</w:t>
            </w:r>
          </w:p>
        </w:tc>
        <w:tc>
          <w:tcPr>
            <w:tcW w:type="dxa" w:w="1500"/>
            <w:shd w:fill="F8FAFC" w:color="auto" w:val="clear"/>
            <w:tcMar>
              <w:top w:type="dxa" w:w="60"/>
              <w:left w:type="dxa" w:w="90"/>
              <w:bottom w:type="dxa" w:w="60"/>
              <w:right w:type="dxa" w:w="90"/>
            </w:tcMar>
            <w:vAlign w:val="center"/>
          </w:tcPr>
          <w:p>
            <w:pPr>
              <w:jc w:val="center"/>
            </w:pPr>
            <w:r>
              <w:rPr>
                <w:sz w:val="19"/>
                <w:szCs w:val="19"/>
              </w:rPr>
              <w:t xml:space="preserve">PNG</w:t>
            </w:r>
          </w:p>
        </w:tc>
        <w:tc>
          <w:tcPr>
            <w:tcW w:type="dxa" w:w="4960"/>
            <w:shd w:fill="F8FAFC" w:color="auto" w:val="clear"/>
            <w:tcMar>
              <w:top w:type="dxa" w:w="60"/>
              <w:left w:type="dxa" w:w="90"/>
              <w:bottom w:type="dxa" w:w="60"/>
              <w:right w:type="dxa" w:w="90"/>
            </w:tcMar>
            <w:vAlign w:val="center"/>
          </w:tcPr>
          <w:p>
            <w:pPr>
              <w:jc w:val="left"/>
            </w:pPr>
            <w:r>
              <w:rPr>
                <w:sz w:val="19"/>
                <w:szCs w:val="19"/>
              </w:rPr>
              <w:t xml:space="preserve">A high-resolution (4×) image for large-format printing or zooming in</w:t>
            </w:r>
          </w:p>
        </w:tc>
      </w:tr>
    </w:tbl>
    <w:p>
      <w:pPr>
        <w:spacing w:after="60"/>
      </w:pPr>
    </w:p>
    <w:tbl>
      <w:tblPr>
        <w:tblW w:type="dxa" w:w="9360"/>
        <w:tblBorders>
          <w:top w:val="single" w:color="475569" w:sz="2"/>
          <w:left w:val="single" w:color="475569" w:sz="12"/>
          <w:bottom w:val="single" w:color="475569" w:sz="2"/>
          <w:right w:val="single" w:color="475569" w:sz="2"/>
          <w:insideH w:val="none"/>
          <w:insideV w:val="none"/>
        </w:tblBorders>
      </w:tblPr>
      <w:tblGrid>
        <w:gridCol w:w="9360"/>
      </w:tblGrid>
      <w:tr>
        <w:tc>
          <w:tcPr>
            <w:tcW w:type="dxa" w:w="9360"/>
            <w:shd w:fill="F1F5F9" w:color="auto" w:val="clear"/>
            <w:tcMar>
              <w:top w:type="dxa" w:w="120"/>
              <w:left w:type="dxa" w:w="160"/>
              <w:bottom w:type="dxa" w:w="120"/>
              <w:right w:type="dxa" w:w="160"/>
            </w:tcMar>
          </w:tcPr>
          <w:p>
            <w:pPr>
              <w:spacing w:after="60"/>
            </w:pPr>
            <w:r>
              <w:rPr>
                <w:b/>
                <w:bCs/>
                <w:color w:val="475569"/>
                <w:sz w:val="21"/>
                <w:szCs w:val="21"/>
              </w:rPr>
              <w:t xml:space="preserve">Tip</w:t>
            </w:r>
          </w:p>
          <w:p>
            <w:pPr>
              <w:spacing w:after="0"/>
            </w:pPr>
            <w:r>
              <w:rPr>
                <w:sz w:val="20"/>
                <w:szCs w:val="20"/>
              </w:rPr>
              <w:t xml:space="preserve">The PDF and HTML exports capture the map exactly as it is currently expanded and zoomed, so set the level selector and Expand / Collapse the way you want before exporting.</w:t>
            </w:r>
          </w:p>
        </w:tc>
      </w:tr>
    </w:tbl>
    <w:p>
      <w:r>
        <w:br w:type="page"/>
      </w:r>
    </w:p>
    <w:p>
      <w:pPr>
        <w:pStyle w:val="Heading1"/>
        <w:spacing w:after="140" w:before="320"/>
      </w:pPr>
      <w:r>
        <w:t xml:space="preserve">7.  Exporting and sharing</w:t>
      </w:r>
    </w:p>
    <w:p>
      <w:pPr>
        <w:spacing w:after="140" w:line="276"/>
        <w:jc w:val="left"/>
      </w:pPr>
      <w:r>
        <w:rPr>
          <w:sz w:val="21"/>
          <w:szCs w:val="21"/>
        </w:rPr>
        <w:t xml:space="preserve">FMECA Studio produces several export formats from the toolbar and the Map view:</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400"/>
        <w:gridCol w:w="2560"/>
        <w:gridCol w:w="4400"/>
      </w:tblGrid>
      <w:tr>
        <w:trPr>
          <w:tblHeader/>
        </w:trPr>
        <w:tc>
          <w:tcPr>
            <w:tcW w:type="dxa" w:w="2400"/>
            <w:shd w:fill="0F172A" w:color="auto" w:val="clear"/>
            <w:tcMar>
              <w:top w:type="dxa" w:w="60"/>
              <w:left w:type="dxa" w:w="90"/>
              <w:bottom w:type="dxa" w:w="60"/>
              <w:right w:type="dxa" w:w="90"/>
            </w:tcMar>
            <w:vAlign w:val="center"/>
          </w:tcPr>
          <w:p>
            <w:pPr>
              <w:jc w:val="left"/>
            </w:pPr>
            <w:r>
              <w:rPr>
                <w:b/>
                <w:bCs/>
                <w:color w:val="FFFFFF"/>
                <w:sz w:val="19"/>
                <w:szCs w:val="19"/>
              </w:rPr>
              <w:t xml:space="preserve">Format</w:t>
            </w:r>
          </w:p>
        </w:tc>
        <w:tc>
          <w:tcPr>
            <w:tcW w:type="dxa" w:w="2560"/>
            <w:shd w:fill="0F172A" w:color="auto" w:val="clear"/>
            <w:tcMar>
              <w:top w:type="dxa" w:w="60"/>
              <w:left w:type="dxa" w:w="90"/>
              <w:bottom w:type="dxa" w:w="60"/>
              <w:right w:type="dxa" w:w="90"/>
            </w:tcMar>
            <w:vAlign w:val="center"/>
          </w:tcPr>
          <w:p>
            <w:pPr>
              <w:jc w:val="left"/>
            </w:pPr>
            <w:r>
              <w:rPr>
                <w:b/>
                <w:bCs/>
                <w:color w:val="FFFFFF"/>
                <w:sz w:val="19"/>
                <w:szCs w:val="19"/>
              </w:rPr>
              <w:t xml:space="preserve">Where</w:t>
            </w:r>
          </w:p>
        </w:tc>
        <w:tc>
          <w:tcPr>
            <w:tcW w:type="dxa" w:w="4400"/>
            <w:shd w:fill="0F172A" w:color="auto" w:val="clear"/>
            <w:tcMar>
              <w:top w:type="dxa" w:w="60"/>
              <w:left w:type="dxa" w:w="90"/>
              <w:bottom w:type="dxa" w:w="60"/>
              <w:right w:type="dxa" w:w="90"/>
            </w:tcMar>
            <w:vAlign w:val="center"/>
          </w:tcPr>
          <w:p>
            <w:pPr>
              <w:jc w:val="left"/>
            </w:pPr>
            <w:r>
              <w:rPr>
                <w:b/>
                <w:bCs/>
                <w:color w:val="FFFFFF"/>
                <w:sz w:val="19"/>
                <w:szCs w:val="19"/>
              </w:rPr>
              <w:t xml:space="preserve">Use it for</w:t>
            </w:r>
          </w:p>
        </w:tc>
      </w:tr>
      <w:tr>
        <w:tc>
          <w:tcPr>
            <w:tcW w:type="dxa" w:w="2400"/>
            <w:shd w:fill="FFFFFF" w:color="auto" w:val="clear"/>
            <w:tcMar>
              <w:top w:type="dxa" w:w="60"/>
              <w:left w:type="dxa" w:w="90"/>
              <w:bottom w:type="dxa" w:w="60"/>
              <w:right w:type="dxa" w:w="90"/>
            </w:tcMar>
            <w:vAlign w:val="center"/>
          </w:tcPr>
          <w:p>
            <w:pPr>
              <w:jc w:val="left"/>
            </w:pPr>
            <w:r>
              <w:rPr>
                <w:b/>
                <w:bCs/>
                <w:sz w:val="19"/>
                <w:szCs w:val="19"/>
              </w:rPr>
              <w:t xml:space="preserve">Excel (.xlsx)</w:t>
            </w:r>
          </w:p>
        </w:tc>
        <w:tc>
          <w:tcPr>
            <w:tcW w:type="dxa" w:w="2560"/>
            <w:shd w:fill="FFFFFF" w:color="auto" w:val="clear"/>
            <w:tcMar>
              <w:top w:type="dxa" w:w="60"/>
              <w:left w:type="dxa" w:w="90"/>
              <w:bottom w:type="dxa" w:w="60"/>
              <w:right w:type="dxa" w:w="90"/>
            </w:tcMar>
            <w:vAlign w:val="center"/>
          </w:tcPr>
          <w:p>
            <w:pPr>
              <w:jc w:val="left"/>
            </w:pPr>
            <w:r>
              <w:rPr>
                <w:sz w:val="19"/>
                <w:szCs w:val="19"/>
              </w:rPr>
              <w:t xml:space="preserve">Download (toolbar)</w:t>
            </w:r>
          </w:p>
        </w:tc>
        <w:tc>
          <w:tcPr>
            <w:tcW w:type="dxa" w:w="4400"/>
            <w:shd w:fill="FFFFFF" w:color="auto" w:val="clear"/>
            <w:tcMar>
              <w:top w:type="dxa" w:w="60"/>
              <w:left w:type="dxa" w:w="90"/>
              <w:bottom w:type="dxa" w:w="60"/>
              <w:right w:type="dxa" w:w="90"/>
            </w:tcMar>
            <w:vAlign w:val="center"/>
          </w:tcPr>
          <w:p>
            <w:pPr>
              <w:jc w:val="left"/>
            </w:pPr>
            <w:r>
              <w:rPr>
                <w:sz w:val="19"/>
                <w:szCs w:val="19"/>
              </w:rPr>
              <w:t xml:space="preserve">The formatted FMECA worksheet with merged cells — the main deliverable for review and archiving</w:t>
            </w:r>
          </w:p>
        </w:tc>
      </w:tr>
      <w:tr>
        <w:tc>
          <w:tcPr>
            <w:tcW w:type="dxa" w:w="2400"/>
            <w:shd w:fill="F8FAFC" w:color="auto" w:val="clear"/>
            <w:tcMar>
              <w:top w:type="dxa" w:w="60"/>
              <w:left w:type="dxa" w:w="90"/>
              <w:bottom w:type="dxa" w:w="60"/>
              <w:right w:type="dxa" w:w="90"/>
            </w:tcMar>
            <w:vAlign w:val="center"/>
          </w:tcPr>
          <w:p>
            <w:pPr>
              <w:jc w:val="left"/>
            </w:pPr>
            <w:r>
              <w:rPr>
                <w:b/>
                <w:bCs/>
                <w:sz w:val="19"/>
                <w:szCs w:val="19"/>
              </w:rPr>
              <w:t xml:space="preserve">JSON</w:t>
            </w:r>
          </w:p>
        </w:tc>
        <w:tc>
          <w:tcPr>
            <w:tcW w:type="dxa" w:w="2560"/>
            <w:shd w:fill="F8FAFC" w:color="auto" w:val="clear"/>
            <w:tcMar>
              <w:top w:type="dxa" w:w="60"/>
              <w:left w:type="dxa" w:w="90"/>
              <w:bottom w:type="dxa" w:w="60"/>
              <w:right w:type="dxa" w:w="90"/>
            </w:tcMar>
            <w:vAlign w:val="center"/>
          </w:tcPr>
          <w:p>
            <w:pPr>
              <w:jc w:val="left"/>
            </w:pPr>
            <w:r>
              <w:rPr>
                <w:sz w:val="19"/>
                <w:szCs w:val="19"/>
              </w:rPr>
              <w:t xml:space="preserve">Export (toolbar)</w:t>
            </w:r>
          </w:p>
        </w:tc>
        <w:tc>
          <w:tcPr>
            <w:tcW w:type="dxa" w:w="4400"/>
            <w:shd w:fill="F8FAFC" w:color="auto" w:val="clear"/>
            <w:tcMar>
              <w:top w:type="dxa" w:w="60"/>
              <w:left w:type="dxa" w:w="90"/>
              <w:bottom w:type="dxa" w:w="60"/>
              <w:right w:type="dxa" w:w="90"/>
            </w:tcMar>
            <w:vAlign w:val="center"/>
          </w:tcPr>
          <w:p>
            <w:pPr>
              <w:jc w:val="left"/>
            </w:pPr>
            <w:r>
              <w:rPr>
                <w:sz w:val="19"/>
                <w:szCs w:val="19"/>
              </w:rPr>
              <w:t xml:space="preserve">A complete backup of the project; re-import it on any machine or share with a colleague</w:t>
            </w:r>
          </w:p>
        </w:tc>
      </w:tr>
      <w:tr>
        <w:tc>
          <w:tcPr>
            <w:tcW w:type="dxa" w:w="2400"/>
            <w:shd w:fill="FFFFFF" w:color="auto" w:val="clear"/>
            <w:tcMar>
              <w:top w:type="dxa" w:w="60"/>
              <w:left w:type="dxa" w:w="90"/>
              <w:bottom w:type="dxa" w:w="60"/>
              <w:right w:type="dxa" w:w="90"/>
            </w:tcMar>
            <w:vAlign w:val="center"/>
          </w:tcPr>
          <w:p>
            <w:pPr>
              <w:jc w:val="left"/>
            </w:pPr>
            <w:r>
              <w:rPr>
                <w:b/>
                <w:bCs/>
                <w:sz w:val="19"/>
                <w:szCs w:val="19"/>
              </w:rPr>
              <w:t xml:space="preserve">PDF</w:t>
            </w:r>
          </w:p>
        </w:tc>
        <w:tc>
          <w:tcPr>
            <w:tcW w:type="dxa" w:w="2560"/>
            <w:shd w:fill="FFFFFF" w:color="auto" w:val="clear"/>
            <w:tcMar>
              <w:top w:type="dxa" w:w="60"/>
              <w:left w:type="dxa" w:w="90"/>
              <w:bottom w:type="dxa" w:w="60"/>
              <w:right w:type="dxa" w:w="90"/>
            </w:tcMar>
            <w:vAlign w:val="center"/>
          </w:tcPr>
          <w:p>
            <w:pPr>
              <w:jc w:val="left"/>
            </w:pPr>
            <w:r>
              <w:rPr>
                <w:sz w:val="19"/>
                <w:szCs w:val="19"/>
              </w:rPr>
              <w:t xml:space="preserve">Download menu (Map view)</w:t>
            </w:r>
          </w:p>
        </w:tc>
        <w:tc>
          <w:tcPr>
            <w:tcW w:type="dxa" w:w="4400"/>
            <w:shd w:fill="FFFFFF" w:color="auto" w:val="clear"/>
            <w:tcMar>
              <w:top w:type="dxa" w:w="60"/>
              <w:left w:type="dxa" w:w="90"/>
              <w:bottom w:type="dxa" w:w="60"/>
              <w:right w:type="dxa" w:w="90"/>
            </w:tcMar>
            <w:vAlign w:val="center"/>
          </w:tcPr>
          <w:p>
            <w:pPr>
              <w:jc w:val="left"/>
            </w:pPr>
            <w:r>
              <w:rPr>
                <w:sz w:val="19"/>
                <w:szCs w:val="19"/>
              </w:rPr>
              <w:t xml:space="preserve">A print-ready page of the asset-breakdown tree</w:t>
            </w:r>
          </w:p>
        </w:tc>
      </w:tr>
      <w:tr>
        <w:tc>
          <w:tcPr>
            <w:tcW w:type="dxa" w:w="2400"/>
            <w:shd w:fill="F8FAFC" w:color="auto" w:val="clear"/>
            <w:tcMar>
              <w:top w:type="dxa" w:w="60"/>
              <w:left w:type="dxa" w:w="90"/>
              <w:bottom w:type="dxa" w:w="60"/>
              <w:right w:type="dxa" w:w="90"/>
            </w:tcMar>
            <w:vAlign w:val="center"/>
          </w:tcPr>
          <w:p>
            <w:pPr>
              <w:jc w:val="left"/>
            </w:pPr>
            <w:r>
              <w:rPr>
                <w:b/>
                <w:bCs/>
                <w:sz w:val="19"/>
                <w:szCs w:val="19"/>
              </w:rPr>
              <w:t xml:space="preserve">HTML (Interactive Map)</w:t>
            </w:r>
          </w:p>
        </w:tc>
        <w:tc>
          <w:tcPr>
            <w:tcW w:type="dxa" w:w="2560"/>
            <w:shd w:fill="F8FAFC" w:color="auto" w:val="clear"/>
            <w:tcMar>
              <w:top w:type="dxa" w:w="60"/>
              <w:left w:type="dxa" w:w="90"/>
              <w:bottom w:type="dxa" w:w="60"/>
              <w:right w:type="dxa" w:w="90"/>
            </w:tcMar>
            <w:vAlign w:val="center"/>
          </w:tcPr>
          <w:p>
            <w:pPr>
              <w:jc w:val="left"/>
            </w:pPr>
            <w:r>
              <w:rPr>
                <w:sz w:val="19"/>
                <w:szCs w:val="19"/>
              </w:rPr>
              <w:t xml:space="preserve">Download menu (Map view)</w:t>
            </w:r>
          </w:p>
        </w:tc>
        <w:tc>
          <w:tcPr>
            <w:tcW w:type="dxa" w:w="4400"/>
            <w:shd w:fill="F8FAFC" w:color="auto" w:val="clear"/>
            <w:tcMar>
              <w:top w:type="dxa" w:w="60"/>
              <w:left w:type="dxa" w:w="90"/>
              <w:bottom w:type="dxa" w:w="60"/>
              <w:right w:type="dxa" w:w="90"/>
            </w:tcMar>
            <w:vAlign w:val="center"/>
          </w:tcPr>
          <w:p>
            <w:pPr>
              <w:jc w:val="left"/>
            </w:pPr>
            <w:r>
              <w:rPr>
                <w:sz w:val="19"/>
                <w:szCs w:val="19"/>
              </w:rPr>
              <w:t xml:space="preserve">A shareable, browser-openable interactive map</w:t>
            </w:r>
          </w:p>
        </w:tc>
      </w:tr>
      <w:tr>
        <w:tc>
          <w:tcPr>
            <w:tcW w:type="dxa" w:w="2400"/>
            <w:shd w:fill="FFFFFF" w:color="auto" w:val="clear"/>
            <w:tcMar>
              <w:top w:type="dxa" w:w="60"/>
              <w:left w:type="dxa" w:w="90"/>
              <w:bottom w:type="dxa" w:w="60"/>
              <w:right w:type="dxa" w:w="90"/>
            </w:tcMar>
            <w:vAlign w:val="center"/>
          </w:tcPr>
          <w:p>
            <w:pPr>
              <w:jc w:val="left"/>
            </w:pPr>
            <w:r>
              <w:rPr>
                <w:b/>
                <w:bCs/>
                <w:sz w:val="19"/>
                <w:szCs w:val="19"/>
              </w:rPr>
              <w:t xml:space="preserve">PNG (Standard / High-Res)</w:t>
            </w:r>
          </w:p>
        </w:tc>
        <w:tc>
          <w:tcPr>
            <w:tcW w:type="dxa" w:w="2560"/>
            <w:shd w:fill="FFFFFF" w:color="auto" w:val="clear"/>
            <w:tcMar>
              <w:top w:type="dxa" w:w="60"/>
              <w:left w:type="dxa" w:w="90"/>
              <w:bottom w:type="dxa" w:w="60"/>
              <w:right w:type="dxa" w:w="90"/>
            </w:tcMar>
            <w:vAlign w:val="center"/>
          </w:tcPr>
          <w:p>
            <w:pPr>
              <w:jc w:val="left"/>
            </w:pPr>
            <w:r>
              <w:rPr>
                <w:sz w:val="19"/>
                <w:szCs w:val="19"/>
              </w:rPr>
              <w:t xml:space="preserve">Download menu (Map view)</w:t>
            </w:r>
          </w:p>
        </w:tc>
        <w:tc>
          <w:tcPr>
            <w:tcW w:type="dxa" w:w="4400"/>
            <w:shd w:fill="FFFFFF" w:color="auto" w:val="clear"/>
            <w:tcMar>
              <w:top w:type="dxa" w:w="60"/>
              <w:left w:type="dxa" w:w="90"/>
              <w:bottom w:type="dxa" w:w="60"/>
              <w:right w:type="dxa" w:w="90"/>
            </w:tcMar>
            <w:vAlign w:val="center"/>
          </w:tcPr>
          <w:p>
            <w:pPr>
              <w:jc w:val="left"/>
            </w:pPr>
            <w:r>
              <w:rPr>
                <w:sz w:val="19"/>
                <w:szCs w:val="19"/>
              </w:rPr>
              <w:t xml:space="preserve">The tree diagram as an image for slides, documents and printing</w:t>
            </w:r>
          </w:p>
        </w:tc>
      </w:tr>
    </w:tbl>
    <w:p>
      <w:pPr>
        <w:spacing w:after="80"/>
      </w:pPr>
    </w:p>
    <w:tbl>
      <w:tblPr>
        <w:tblW w:type="dxa" w:w="9360"/>
        <w:tblBorders>
          <w:top w:val="single" w:color="475569" w:sz="2"/>
          <w:left w:val="single" w:color="475569" w:sz="12"/>
          <w:bottom w:val="single" w:color="475569" w:sz="2"/>
          <w:right w:val="single" w:color="475569" w:sz="2"/>
          <w:insideH w:val="none"/>
          <w:insideV w:val="none"/>
        </w:tblBorders>
      </w:tblPr>
      <w:tblGrid>
        <w:gridCol w:w="9360"/>
      </w:tblGrid>
      <w:tr>
        <w:tc>
          <w:tcPr>
            <w:tcW w:type="dxa" w:w="9360"/>
            <w:shd w:fill="F1F5F9" w:color="auto" w:val="clear"/>
            <w:tcMar>
              <w:top w:type="dxa" w:w="120"/>
              <w:left w:type="dxa" w:w="160"/>
              <w:bottom w:type="dxa" w:w="120"/>
              <w:right w:type="dxa" w:w="160"/>
            </w:tcMar>
          </w:tcPr>
          <w:p>
            <w:pPr>
              <w:spacing w:after="60"/>
            </w:pPr>
            <w:r>
              <w:rPr>
                <w:b/>
                <w:bCs/>
                <w:color w:val="475569"/>
                <w:sz w:val="21"/>
                <w:szCs w:val="21"/>
              </w:rPr>
              <w:t xml:space="preserve">Back up regularly</w:t>
            </w:r>
          </w:p>
          <w:p>
            <w:pPr>
              <w:spacing w:after="0"/>
            </w:pPr>
            <w:r>
              <w:rPr>
                <w:sz w:val="20"/>
                <w:szCs w:val="20"/>
              </w:rPr>
              <w:t xml:space="preserve">Because projects live in your browser’s local storage, export a JSON file at the end of every working session and store it with your project records. This is your only backup if the browser data is cleared.</w:t>
            </w:r>
          </w:p>
        </w:tc>
      </w:tr>
    </w:tbl>
    <w:p>
      <w:r>
        <w:br w:type="page"/>
      </w:r>
    </w:p>
    <w:p>
      <w:pPr>
        <w:pStyle w:val="Heading1"/>
        <w:spacing w:after="140" w:before="320"/>
      </w:pPr>
      <w:r>
        <w:t xml:space="preserve">8.  Best practice for a professional FMECA</w:t>
      </w:r>
    </w:p>
    <w:p>
      <w:pPr>
        <w:spacing w:after="140" w:line="276"/>
        <w:jc w:val="left"/>
      </w:pPr>
      <w:r>
        <w:rPr>
          <w:sz w:val="21"/>
          <w:szCs w:val="21"/>
        </w:rPr>
        <w:t xml:space="preserve">The tool accelerates the work, but a defensible FMECA still depends on engineering discipline. The following practices produce a worksheet that will stand up to audit.</w:t>
      </w:r>
    </w:p>
    <w:p>
      <w:pPr>
        <w:pStyle w:val="ListParagraph"/>
        <w:numPr>
          <w:ilvl w:val="0"/>
          <w:numId w:val="2"/>
        </w:numPr>
        <w:spacing w:after="70" w:line="264"/>
      </w:pPr>
      <w:r>
        <w:rPr>
          <w:b/>
          <w:bCs/>
          <w:sz w:val="21"/>
          <w:szCs w:val="21"/>
        </w:rPr>
        <w:t xml:space="preserve">Write functions to a measurable standard. </w:t>
      </w:r>
      <w:r>
        <w:rPr>
          <w:sz w:val="21"/>
          <w:szCs w:val="21"/>
        </w:rPr>
        <w:t xml:space="preserve">“Deliver 600 SCFM at 10 barg” is auditable; “supply air” is not. Strong function statements make every failure below them sharper.</w:t>
      </w:r>
    </w:p>
    <w:p>
      <w:pPr>
        <w:pStyle w:val="ListParagraph"/>
        <w:numPr>
          <w:ilvl w:val="0"/>
          <w:numId w:val="2"/>
        </w:numPr>
        <w:spacing w:after="70" w:line="264"/>
      </w:pPr>
      <w:r>
        <w:rPr>
          <w:b/>
          <w:bCs/>
          <w:sz w:val="21"/>
          <w:szCs w:val="21"/>
        </w:rPr>
        <w:t xml:space="preserve">Close every gap in the Function Breakdown. </w:t>
      </w:r>
      <w:r>
        <w:rPr>
          <w:sz w:val="21"/>
          <w:szCs w:val="21"/>
        </w:rPr>
        <w:t xml:space="preserve">Treat each “No match found” as an action to add a functional failure before sign-off.</w:t>
      </w:r>
    </w:p>
    <w:p>
      <w:pPr>
        <w:pStyle w:val="ListParagraph"/>
        <w:numPr>
          <w:ilvl w:val="0"/>
          <w:numId w:val="2"/>
        </w:numPr>
        <w:spacing w:after="70" w:line="264"/>
      </w:pPr>
      <w:r>
        <w:rPr>
          <w:b/>
          <w:bCs/>
          <w:sz w:val="21"/>
          <w:szCs w:val="21"/>
        </w:rPr>
        <w:t xml:space="preserve">Ground the AI in real data. </w:t>
      </w:r>
      <w:r>
        <w:rPr>
          <w:sz w:val="21"/>
          <w:szCs w:val="21"/>
        </w:rPr>
        <w:t xml:space="preserve">Load operating history through System Modes and a PM checklist through Checklist Knowledge so mitigations reflect your plant, not a generic template.</w:t>
      </w:r>
    </w:p>
    <w:p>
      <w:pPr>
        <w:pStyle w:val="ListParagraph"/>
        <w:numPr>
          <w:ilvl w:val="0"/>
          <w:numId w:val="2"/>
        </w:numPr>
        <w:spacing w:after="70" w:line="264"/>
      </w:pPr>
      <w:r>
        <w:rPr>
          <w:b/>
          <w:bCs/>
          <w:sz w:val="21"/>
          <w:szCs w:val="21"/>
        </w:rPr>
        <w:t xml:space="preserve">Always review AI output. </w:t>
      </w:r>
      <w:r>
        <w:rPr>
          <w:sz w:val="21"/>
          <w:szCs w:val="21"/>
        </w:rPr>
        <w:t xml:space="preserve">Generated modes, effects and RPN scores are drafts. Confirm them against plant history and your own judgement — you remain the author of record.</w:t>
      </w:r>
    </w:p>
    <w:p>
      <w:pPr>
        <w:pStyle w:val="ListParagraph"/>
        <w:numPr>
          <w:ilvl w:val="0"/>
          <w:numId w:val="2"/>
        </w:numPr>
        <w:spacing w:after="70" w:line="264"/>
      </w:pPr>
      <w:r>
        <w:rPr>
          <w:b/>
          <w:bCs/>
          <w:sz w:val="21"/>
          <w:szCs w:val="21"/>
        </w:rPr>
        <w:t xml:space="preserve">Score detection against real controls. </w:t>
      </w:r>
      <w:r>
        <w:rPr>
          <w:sz w:val="21"/>
          <w:szCs w:val="21"/>
        </w:rPr>
        <w:t xml:space="preserve">Fill Current Controls before scoring D, and use the baseline-vs-mitigated RPN to show the value of your recommendations.</w:t>
      </w:r>
    </w:p>
    <w:p>
      <w:pPr>
        <w:pStyle w:val="ListParagraph"/>
        <w:numPr>
          <w:ilvl w:val="0"/>
          <w:numId w:val="2"/>
        </w:numPr>
        <w:spacing w:after="70" w:line="264"/>
      </w:pPr>
      <w:r>
        <w:rPr>
          <w:b/>
          <w:bCs/>
          <w:sz w:val="21"/>
          <w:szCs w:val="21"/>
        </w:rPr>
        <w:t xml:space="preserve">Name an owner for every action. </w:t>
      </w:r>
      <w:r>
        <w:rPr>
          <w:sz w:val="21"/>
          <w:szCs w:val="21"/>
        </w:rPr>
        <w:t xml:space="preserve">The Mitigation builder’s Owner field turns recommendations into assignable tasks.</w:t>
      </w:r>
    </w:p>
    <w:p>
      <w:pPr>
        <w:pStyle w:val="ListParagraph"/>
        <w:numPr>
          <w:ilvl w:val="0"/>
          <w:numId w:val="2"/>
        </w:numPr>
        <w:spacing w:after="70" w:line="264"/>
      </w:pPr>
      <w:r>
        <w:rPr>
          <w:b/>
          <w:bCs/>
          <w:sz w:val="21"/>
          <w:szCs w:val="21"/>
        </w:rPr>
        <w:t xml:space="preserve">Export a JSON backup and an Excel deliverable at each milestone. </w:t>
      </w:r>
      <w:r>
        <w:rPr>
          <w:sz w:val="21"/>
          <w:szCs w:val="21"/>
        </w:rPr>
        <w:t xml:space="preserve">Version them with the analysis date.</w:t>
      </w:r>
    </w:p>
    <w:p>
      <w:pPr>
        <w:pStyle w:val="Heading2"/>
        <w:spacing w:after="100" w:before="260"/>
      </w:pPr>
      <w:r>
        <w:t xml:space="preserve">Quick-reference: end-to-end workflow</w:t>
      </w:r>
    </w:p>
    <w:p>
      <w:pPr>
        <w:pStyle w:val="ListParagraph"/>
        <w:numPr>
          <w:ilvl w:val="0"/>
          <w:numId w:val="4"/>
        </w:numPr>
        <w:spacing w:after="90" w:line="264"/>
      </w:pPr>
      <w:r>
        <w:rPr>
          <w:sz w:val="21"/>
          <w:szCs w:val="21"/>
        </w:rPr>
        <w:t xml:space="preserve">Import or create a project and write a clear Context.</w:t>
      </w:r>
    </w:p>
    <w:p>
      <w:pPr>
        <w:pStyle w:val="ListParagraph"/>
        <w:numPr>
          <w:ilvl w:val="0"/>
          <w:numId w:val="4"/>
        </w:numPr>
        <w:spacing w:after="90" w:line="264"/>
      </w:pPr>
      <w:r>
        <w:rPr>
          <w:sz w:val="21"/>
          <w:szCs w:val="21"/>
        </w:rPr>
        <w:t xml:space="preserve">Add each subsystem with its specs and function (use Auto-Fill to draft).</w:t>
      </w:r>
    </w:p>
    <w:p>
      <w:pPr>
        <w:pStyle w:val="ListParagraph"/>
        <w:numPr>
          <w:ilvl w:val="0"/>
          <w:numId w:val="4"/>
        </w:numPr>
        <w:spacing w:after="90" w:line="264"/>
      </w:pPr>
      <w:r>
        <w:rPr>
          <w:sz w:val="21"/>
          <w:szCs w:val="21"/>
        </w:rPr>
        <w:t xml:space="preserve">Run Function Breakdown and close any unmatched standards.</w:t>
      </w:r>
    </w:p>
    <w:p>
      <w:pPr>
        <w:pStyle w:val="ListParagraph"/>
        <w:numPr>
          <w:ilvl w:val="0"/>
          <w:numId w:val="4"/>
        </w:numPr>
        <w:spacing w:after="90" w:line="264"/>
      </w:pPr>
      <w:r>
        <w:rPr>
          <w:sz w:val="21"/>
          <w:szCs w:val="21"/>
        </w:rPr>
        <w:t xml:space="preserve">Add functional failures, then generate and refine failure modes.</w:t>
      </w:r>
    </w:p>
    <w:p>
      <w:pPr>
        <w:pStyle w:val="ListParagraph"/>
        <w:numPr>
          <w:ilvl w:val="0"/>
          <w:numId w:val="4"/>
        </w:numPr>
        <w:spacing w:after="90" w:line="264"/>
      </w:pPr>
      <w:r>
        <w:rPr>
          <w:sz w:val="21"/>
          <w:szCs w:val="21"/>
        </w:rPr>
        <w:t xml:space="preserve">Complete effects, causes, current controls and mitigations (with owners).</w:t>
      </w:r>
    </w:p>
    <w:p>
      <w:pPr>
        <w:pStyle w:val="ListParagraph"/>
        <w:numPr>
          <w:ilvl w:val="0"/>
          <w:numId w:val="4"/>
        </w:numPr>
        <w:spacing w:after="90" w:line="264"/>
      </w:pPr>
      <w:r>
        <w:rPr>
          <w:sz w:val="21"/>
          <w:szCs w:val="21"/>
        </w:rPr>
        <w:t xml:space="preserve">Score S/O/D (manually or with the robot); review the coloured RPNs.</w:t>
      </w:r>
    </w:p>
    <w:p>
      <w:pPr>
        <w:pStyle w:val="ListParagraph"/>
        <w:numPr>
          <w:ilvl w:val="0"/>
          <w:numId w:val="4"/>
        </w:numPr>
        <w:spacing w:after="90" w:line="264"/>
      </w:pPr>
      <w:r>
        <w:rPr>
          <w:sz w:val="21"/>
          <w:szCs w:val="21"/>
        </w:rPr>
        <w:t xml:space="preserve">Check the Table view; ask the Copilot to sanity-check the highest risks.</w:t>
      </w:r>
    </w:p>
    <w:p>
      <w:pPr>
        <w:pStyle w:val="ListParagraph"/>
        <w:numPr>
          <w:ilvl w:val="0"/>
          <w:numId w:val="4"/>
        </w:numPr>
        <w:spacing w:after="90" w:line="264"/>
      </w:pPr>
      <w:r>
        <w:rPr>
          <w:sz w:val="21"/>
          <w:szCs w:val="21"/>
        </w:rPr>
        <w:t xml:space="preserve">Export Excel for the deliverable and JSON for backup.</w:t>
      </w:r>
    </w:p>
    <w:p>
      <w:pPr>
        <w:spacing w:after="200"/>
      </w:pPr>
    </w:p>
    <w:p>
      <w:pPr>
        <w:jc w:val="center"/>
      </w:pPr>
      <w:r>
        <w:rPr>
          <w:i/>
          <w:iCs/>
          <w:color w:val="475569"/>
          <w:sz w:val="20"/>
          <w:szCs w:val="20"/>
        </w:rPr>
        <w:t xml:space="preserve">— End of guide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color w:val="475569"/>
        <w:sz w:val="16"/>
        <w:szCs w:val="16"/>
      </w:rPr>
      <w:t xml:space="preserve">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color w:val="475569"/>
        <w:sz w:val="16"/>
        <w:szCs w:val="16"/>
      </w:rPr>
      <w:t xml:space="preserve">FMECA Studio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6"/>
      </w:pBdr>
      <w:spacing w:after="140" w:before="320"/>
      <w:outlineLvl w:val="0"/>
    </w:pPr>
    <w:rPr>
      <w:rFonts w:ascii="Calibri" w:cs="Calibri" w:eastAsia="Calibri" w:hAnsi="Calibri"/>
      <w:b/>
      <w:bCs/>
      <w:color w:val="0F172A"/>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014162bb6c99b4d773928ff60f5ccf2a71f8ff3.png"/><Relationship Id="rId10" Type="http://schemas.openxmlformats.org/officeDocument/2006/relationships/image" Target="media/e107cb493aaea43d57e9595ca02f897c33bbae74.png"/><Relationship Id="rId11" Type="http://schemas.openxmlformats.org/officeDocument/2006/relationships/image" Target="media/bf87a5f49433b0e3dad37f2a0dcf1c6d9dc81e16.png"/><Relationship Id="rId12" Type="http://schemas.openxmlformats.org/officeDocument/2006/relationships/image" Target="media/fc264ce873df609f6b294e535d6cfde23f7effeb.png"/><Relationship Id="rId13" Type="http://schemas.openxmlformats.org/officeDocument/2006/relationships/image" Target="media/23ed10516417b44c90fffae8d1c94b14d8470146.png"/><Relationship Id="rId14" Type="http://schemas.openxmlformats.org/officeDocument/2006/relationships/image" Target="media/99f2ce5aa119531310a00ef2b3ec4d2f5257d84c.png"/><Relationship Id="rId15" Type="http://schemas.openxmlformats.org/officeDocument/2006/relationships/image" Target="media/4ceb7dfd26dba84c7425f463f1d0d1152549f742.png"/><Relationship Id="rId16" Type="http://schemas.openxmlformats.org/officeDocument/2006/relationships/image" Target="media/273f9bbdb56168f93106cbe8de830e8cd6f627c1.png"/><Relationship Id="rId17" Type="http://schemas.openxmlformats.org/officeDocument/2006/relationships/image" Target="media/2a3ab92986067a3744a666eddb847e3370924bfa.png"/><Relationship Id="rId18" Type="http://schemas.openxmlformats.org/officeDocument/2006/relationships/image" Target="media/ac5c7f445c5ebadfd1ff462b7ff66665a131c745.png"/><Relationship Id="rId19" Type="http://schemas.openxmlformats.org/officeDocument/2006/relationships/image" Target="media/d8e0ff20a14740b058c5fdd94fe3c92c15b3488d.png"/><Relationship Id="rId20" Type="http://schemas.openxmlformats.org/officeDocument/2006/relationships/image" Target="media/f75148c32c19390502558ca7fadf57316f01843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FMECA Studio — User Guide</dc:title>
  <dc:creator>FMECA Studio</dc:creator>
  <cp:lastModifiedBy>Un-named</cp:lastModifiedBy>
  <cp:revision>1</cp:revision>
  <dcterms:created xsi:type="dcterms:W3CDTF">2026-07-11T21:53:53.189Z</dcterms:created>
  <dcterms:modified xsi:type="dcterms:W3CDTF">2026-07-11T21:53:53.189Z</dcterms:modified>
</cp:coreProperties>
</file>

<file path=docProps/custom.xml><?xml version="1.0" encoding="utf-8"?>
<Properties xmlns="http://schemas.openxmlformats.org/officeDocument/2006/custom-properties" xmlns:vt="http://schemas.openxmlformats.org/officeDocument/2006/docPropsVTypes"/>
</file>