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rFonts w:ascii="Diodrum Arabic" w:hAnsi="Diodrum Arabic" w:cs="Diodrum Arabic"/>
          <w:b/>
          <w:color w:val="00ABAF"/>
          <w:sz w:val="22"/>
        </w:rPr>
        <w:t>هيئة الحكومة الرقمية — برنامج «قدراتك»</w:t>
      </w:r>
    </w:p>
    <w:p>
      <w:pPr>
        <w:jc w:val="right"/>
        <w:bidi w:val="1"/>
      </w:pPr>
      <w:r>
        <w:rPr>
          <w:rFonts w:ascii="Diodrum Arabic" w:hAnsi="Diodrum Arabic" w:cs="Diodrum Arabic"/>
          <w:b/>
          <w:color w:val="7C32C9"/>
          <w:sz w:val="40"/>
        </w:rPr>
        <w:t>تقرير الجودة التصميمية والتحريرية</w:t>
      </w:r>
    </w:p>
    <w:p>
      <w:pPr>
        <w:jc w:val="right"/>
        <w:bidi w:val="1"/>
      </w:pPr>
      <w:r>
        <w:rPr>
          <w:rFonts w:ascii="Diodrum Arabic" w:hAnsi="Diodrum Arabic" w:cs="Diodrum Arabic"/>
          <w:b w:val="0"/>
          <w:color w:val="232046"/>
          <w:sz w:val="22"/>
        </w:rPr>
        <w:t>Design and Editorial QA Report — الدراسة المعيارية لتطوير القيادات الحكومية العليا في الذكاء الاصطناعي (الإصدار 3.1 → الإخراج التنفيذي النهائي)</w:t>
      </w:r>
    </w:p>
    <w:p>
      <w:pPr>
        <w:jc w:val="right"/>
        <w:bidi w:val="1"/>
      </w:pPr>
      <w:r>
        <w:rPr>
          <w:rFonts w:ascii="Diodrum Arabic" w:hAnsi="Diodrum Arabic" w:cs="Diodrum Arabic"/>
          <w:b w:val="0"/>
          <w:color w:val="6E7077"/>
          <w:sz w:val="20"/>
        </w:rPr>
        <w:t>تاريخ التقرير: 21 أغسطس 2026</w:t>
      </w:r>
    </w:p>
    <w:p>
      <w:pPr>
        <w:jc w:val="right"/>
        <w:bidi w:val="1"/>
      </w:pPr>
      <w:r>
        <w:rPr>
          <w:rFonts w:ascii="Diodrum Arabic" w:hAnsi="Diodrum Arabic" w:cs="Diodrum Arabic"/>
          <w:b/>
          <w:color w:val="7C32C9"/>
          <w:sz w:val="32"/>
        </w:rPr>
        <w:t>أولاً — ملخص ما تم إنجازه</w:t>
      </w:r>
    </w:p>
    <w:p>
      <w:pPr>
        <w:jc w:val="right"/>
        <w:bidi w:val="1"/>
      </w:pPr>
      <w:r>
        <w:rPr>
          <w:rFonts w:ascii="Diodrum Arabic" w:hAnsi="Diodrum Arabic" w:cs="Diodrum Arabic"/>
          <w:b w:val="0"/>
          <w:color w:val="474956"/>
          <w:sz w:val="21"/>
        </w:rPr>
        <w:t>حُوّلت النسخة v3.1 (ملفا DOCX العربي والإنجليزي) إلى إصدار تنفيذي مصمم وفق الهوية البصرية المعتمدة في ملف «التصميم بالألوان المعتمدة من ريان المصمم»، في نسختين متطابقتين (عربية وإنجليزية) من 39 صفحة لكل منهما، بصيغتي PPTX قابلة للتحرير بالكامل وPDF عالي الجودة بروابط حية. حُفظ الهيكل السداسي المعتمد مع قسم مستقل للمراجع [1]–[71]، وطُبق نظام ألوان المستويات الأربعة ضمن اللوحة المعتمدة (بنفسجي 7C32C9 للوزراء، كحلي 2A206A لنواب الوزراء وأصحاب المعالي، فيروزي 00ABAF للوكلاء، أخضر 1CC182 للوكلاء المساعدين).</w:t>
      </w:r>
    </w:p>
    <w:tbl>
      <w:tblPr>
        <w:tblStyle w:val="TableGrid"/>
        <w:tblW w:type="auto" w:w="0"/>
        <w:jc w:val="center"/>
        <w:tblLook w:firstColumn="1" w:firstRow="1" w:lastColumn="0" w:lastRow="0" w:noHBand="0" w:noVBand="1" w:val="04A0"/>
        <w:bidiVisual/>
      </w:tblPr>
      <w:tblGrid>
        <w:gridCol w:w="4986"/>
        <w:gridCol w:w="4986"/>
      </w:tblGrid>
      <w:tr>
        <w:tc>
          <w:tcPr>
            <w:tcW w:type="dxa" w:w="4986"/>
            <w:shd w:val="clear" w:fill="2A206A"/>
          </w:tcPr>
          <w:p>
            <w:pPr>
              <w:jc w:val="right"/>
              <w:bidi w:val="1"/>
            </w:pPr>
            <w:r/>
            <w:r>
              <w:rPr>
                <w:rFonts w:ascii="Diodrum Arabic" w:hAnsi="Diodrum Arabic"/>
                <w:b/>
                <w:color w:val="FFFFFF"/>
                <w:sz w:val="19"/>
              </w:rPr>
              <w:t>البند</w:t>
            </w:r>
          </w:p>
        </w:tc>
        <w:tc>
          <w:tcPr>
            <w:tcW w:type="dxa" w:w="4986"/>
            <w:shd w:val="clear" w:fill="2A206A"/>
          </w:tcPr>
          <w:p>
            <w:pPr>
              <w:jc w:val="right"/>
              <w:bidi w:val="1"/>
            </w:pPr>
            <w:r/>
            <w:r>
              <w:rPr>
                <w:rFonts w:ascii="Diodrum Arabic" w:hAnsi="Diodrum Arabic"/>
                <w:b/>
                <w:color w:val="FFFFFF"/>
                <w:sz w:val="19"/>
              </w:rPr>
              <w:t>القيمة</w:t>
            </w:r>
          </w:p>
        </w:tc>
      </w:tr>
      <w:tr>
        <w:tc>
          <w:tcPr>
            <w:tcW w:type="dxa" w:w="4986"/>
          </w:tcPr>
          <w:p>
            <w:pPr>
              <w:jc w:val="right"/>
              <w:bidi w:val="1"/>
            </w:pPr>
            <w:r/>
            <w:r>
              <w:rPr>
                <w:rFonts w:ascii="Diodrum Arabic" w:hAnsi="Diodrum Arabic"/>
                <w:sz w:val="19"/>
              </w:rPr>
              <w:t>عدد الصفحات (لكل نسخة)</w:t>
            </w:r>
          </w:p>
        </w:tc>
        <w:tc>
          <w:tcPr>
            <w:tcW w:type="dxa" w:w="4986"/>
          </w:tcPr>
          <w:p>
            <w:pPr>
              <w:jc w:val="right"/>
              <w:bidi w:val="1"/>
            </w:pPr>
            <w:r/>
            <w:r>
              <w:rPr>
                <w:rFonts w:ascii="Diodrum Arabic" w:hAnsi="Diodrum Arabic"/>
                <w:sz w:val="19"/>
              </w:rPr>
              <w:t>39 صفحة A4 عمودي</w:t>
            </w:r>
          </w:p>
        </w:tc>
      </w:tr>
      <w:tr>
        <w:tc>
          <w:tcPr>
            <w:tcW w:type="dxa" w:w="4986"/>
          </w:tcPr>
          <w:p>
            <w:pPr>
              <w:jc w:val="right"/>
              <w:bidi w:val="1"/>
            </w:pPr>
            <w:r/>
            <w:r>
              <w:rPr>
                <w:rFonts w:ascii="Diodrum Arabic" w:hAnsi="Diodrum Arabic"/>
                <w:sz w:val="19"/>
              </w:rPr>
              <w:t>الخط</w:t>
            </w:r>
          </w:p>
        </w:tc>
        <w:tc>
          <w:tcPr>
            <w:tcW w:type="dxa" w:w="4986"/>
          </w:tcPr>
          <w:p>
            <w:pPr>
              <w:jc w:val="right"/>
              <w:bidi w:val="1"/>
            </w:pPr>
            <w:r/>
            <w:r>
              <w:rPr>
                <w:rFonts w:ascii="Diodrum Arabic" w:hAnsi="Diodrum Arabic"/>
                <w:sz w:val="19"/>
              </w:rPr>
              <w:t>Diodrum Arabic (جميع الأوزان، وفق هوية ريان — مطابق لخط ملف التصميم المرجعي)</w:t>
            </w:r>
          </w:p>
        </w:tc>
      </w:tr>
      <w:tr>
        <w:tc>
          <w:tcPr>
            <w:tcW w:type="dxa" w:w="4986"/>
          </w:tcPr>
          <w:p>
            <w:pPr>
              <w:jc w:val="right"/>
              <w:bidi w:val="1"/>
            </w:pPr>
            <w:r/>
            <w:r>
              <w:rPr>
                <w:rFonts w:ascii="Diodrum Arabic" w:hAnsi="Diodrum Arabic"/>
                <w:sz w:val="19"/>
              </w:rPr>
              <w:t>المراجع</w:t>
            </w:r>
          </w:p>
        </w:tc>
        <w:tc>
          <w:tcPr>
            <w:tcW w:type="dxa" w:w="4986"/>
          </w:tcPr>
          <w:p>
            <w:pPr>
              <w:jc w:val="right"/>
              <w:bidi w:val="1"/>
            </w:pPr>
            <w:r/>
            <w:r>
              <w:rPr>
                <w:rFonts w:ascii="Diodrum Arabic" w:hAnsi="Diodrum Arabic"/>
                <w:sz w:val="19"/>
              </w:rPr>
              <w:t>71 مرجعاً محفوظة نصاً وروابط، مع وسوم أدلة ملونة (S/E/P/R/N/I/J/T)</w:t>
            </w:r>
          </w:p>
        </w:tc>
      </w:tr>
      <w:tr>
        <w:tc>
          <w:tcPr>
            <w:tcW w:type="dxa" w:w="4986"/>
          </w:tcPr>
          <w:p>
            <w:pPr>
              <w:jc w:val="right"/>
              <w:bidi w:val="1"/>
            </w:pPr>
            <w:r/>
            <w:r>
              <w:rPr>
                <w:rFonts w:ascii="Diodrum Arabic" w:hAnsi="Diodrum Arabic"/>
                <w:sz w:val="19"/>
              </w:rPr>
              <w:t>الروابط الحية في PDF</w:t>
            </w:r>
          </w:p>
        </w:tc>
        <w:tc>
          <w:tcPr>
            <w:tcW w:type="dxa" w:w="4986"/>
          </w:tcPr>
          <w:p>
            <w:pPr>
              <w:jc w:val="right"/>
              <w:bidi w:val="1"/>
            </w:pPr>
            <w:r/>
            <w:r>
              <w:rPr>
                <w:rFonts w:ascii="Diodrum Arabic" w:hAnsi="Diodrum Arabic"/>
                <w:sz w:val="19"/>
              </w:rPr>
              <w:t>132 رابطاً قابلاً للنقر في كل نسخة</w:t>
            </w:r>
          </w:p>
        </w:tc>
      </w:tr>
      <w:tr>
        <w:tc>
          <w:tcPr>
            <w:tcW w:type="dxa" w:w="4986"/>
          </w:tcPr>
          <w:p>
            <w:pPr>
              <w:jc w:val="right"/>
              <w:bidi w:val="1"/>
            </w:pPr>
            <w:r/>
            <w:r>
              <w:rPr>
                <w:rFonts w:ascii="Diodrum Arabic" w:hAnsi="Diodrum Arabic"/>
                <w:sz w:val="19"/>
              </w:rPr>
              <w:t>التحقق التقني للملفات</w:t>
            </w:r>
          </w:p>
        </w:tc>
        <w:tc>
          <w:tcPr>
            <w:tcW w:type="dxa" w:w="4986"/>
          </w:tcPr>
          <w:p>
            <w:pPr>
              <w:jc w:val="right"/>
              <w:bidi w:val="1"/>
            </w:pPr>
            <w:r/>
            <w:r>
              <w:rPr>
                <w:rFonts w:ascii="Diodrum Arabic" w:hAnsi="Diodrum Arabic"/>
                <w:sz w:val="19"/>
              </w:rPr>
              <w:t>اجتاز كلا ملفي PPTX فحص validate.py (بنية OOXML سليمة)</w:t>
            </w:r>
          </w:p>
        </w:tc>
      </w:tr>
      <w:tr>
        <w:tc>
          <w:tcPr>
            <w:tcW w:type="dxa" w:w="4986"/>
          </w:tcPr>
          <w:p>
            <w:pPr>
              <w:jc w:val="right"/>
              <w:bidi w:val="1"/>
            </w:pPr>
            <w:r/>
            <w:r>
              <w:rPr>
                <w:rFonts w:ascii="Diodrum Arabic" w:hAnsi="Diodrum Arabic"/>
                <w:sz w:val="19"/>
              </w:rPr>
              <w:t>العناصر البصرية</w:t>
            </w:r>
          </w:p>
        </w:tc>
        <w:tc>
          <w:tcPr>
            <w:tcW w:type="dxa" w:w="4986"/>
          </w:tcPr>
          <w:p>
            <w:pPr>
              <w:jc w:val="right"/>
              <w:bidi w:val="1"/>
            </w:pPr>
            <w:r/>
            <w:r>
              <w:rPr>
                <w:rFonts w:ascii="Diodrum Arabic" w:hAnsi="Diodrum Arabic"/>
                <w:sz w:val="19"/>
              </w:rPr>
              <w:t>كل الجداول والبطاقات والرسوم عناصر أصلية قابلة للتحرير؛ لا صفحات مصورة</w:t>
            </w:r>
          </w:p>
        </w:tc>
      </w:tr>
    </w:tbl>
    <w:p>
      <w:pPr>
        <w:jc w:val="right"/>
        <w:bidi w:val="1"/>
      </w:pPr>
      <w:r>
        <w:rPr>
          <w:rFonts w:ascii="Diodrum Arabic" w:hAnsi="Diodrum Arabic" w:cs="Diodrum Arabic"/>
          <w:b/>
          <w:color w:val="7C32C9"/>
          <w:sz w:val="32"/>
        </w:rPr>
        <w:t>ثانياً — ما تم تعديله وتصحيحه</w:t>
      </w:r>
    </w:p>
    <w:p>
      <w:pPr>
        <w:jc w:val="right"/>
        <w:bidi w:val="1"/>
      </w:pPr>
      <w:r>
        <w:rPr>
          <w:rFonts w:ascii="Diodrum Arabic" w:hAnsi="Diodrum Arabic" w:cs="Diodrum Arabic"/>
          <w:b/>
          <w:color w:val="00ABAF"/>
          <w:sz w:val="26"/>
        </w:rPr>
        <w:t>1) تصحيحات المصطلحات القيادية (النسخة الإنجليزية)</w:t>
      </w:r>
    </w:p>
    <w:p>
      <w:pPr>
        <w:jc w:val="right"/>
        <w:bidi w:val="1"/>
      </w:pPr>
      <w:r>
        <w:rPr>
          <w:rFonts w:ascii="Diodrum Arabic" w:hAnsi="Diodrum Arabic" w:cs="Diodrum Arabic"/>
          <w:b w:val="0"/>
          <w:color w:val="474956"/>
          <w:sz w:val="21"/>
        </w:rPr>
        <w:t>أزيلت جميع الاستخدامات المخالفة وفق القاموس الملزم، ونتيجة المسح الآلي النهائي: صفر ظهور لكلمة Undersecretary/Assistant Undersecretary في كامل النسخة الإنجليزية.</w:t>
      </w:r>
    </w:p>
    <w:tbl>
      <w:tblPr>
        <w:tblStyle w:val="TableGrid"/>
        <w:tblW w:type="auto" w:w="0"/>
        <w:jc w:val="center"/>
        <w:tblLook w:firstColumn="1" w:firstRow="1" w:lastColumn="0" w:lastRow="0" w:noHBand="0" w:noVBand="1" w:val="04A0"/>
        <w:bidiVisual/>
      </w:tblPr>
      <w:tblGrid>
        <w:gridCol w:w="3324"/>
        <w:gridCol w:w="3324"/>
        <w:gridCol w:w="3324"/>
      </w:tblGrid>
      <w:tr>
        <w:tc>
          <w:tcPr>
            <w:tcW w:type="dxa" w:w="3324"/>
            <w:shd w:val="clear" w:fill="2A206A"/>
          </w:tcPr>
          <w:p>
            <w:pPr>
              <w:jc w:val="right"/>
              <w:bidi w:val="1"/>
            </w:pPr>
            <w:r/>
            <w:r>
              <w:rPr>
                <w:rFonts w:ascii="Diodrum Arabic" w:hAnsi="Diodrum Arabic"/>
                <w:b/>
                <w:color w:val="FFFFFF"/>
                <w:sz w:val="19"/>
              </w:rPr>
              <w:t>الموضع في v3.1</w:t>
            </w:r>
          </w:p>
        </w:tc>
        <w:tc>
          <w:tcPr>
            <w:tcW w:type="dxa" w:w="3324"/>
            <w:shd w:val="clear" w:fill="2A206A"/>
          </w:tcPr>
          <w:p>
            <w:pPr>
              <w:jc w:val="right"/>
              <w:bidi w:val="1"/>
            </w:pPr>
            <w:r/>
            <w:r>
              <w:rPr>
                <w:rFonts w:ascii="Diodrum Arabic" w:hAnsi="Diodrum Arabic"/>
                <w:b/>
                <w:color w:val="FFFFFF"/>
                <w:sz w:val="19"/>
              </w:rPr>
              <w:t>قبل</w:t>
            </w:r>
          </w:p>
        </w:tc>
        <w:tc>
          <w:tcPr>
            <w:tcW w:type="dxa" w:w="3324"/>
            <w:shd w:val="clear" w:fill="2A206A"/>
          </w:tcPr>
          <w:p>
            <w:pPr>
              <w:jc w:val="right"/>
              <w:bidi w:val="1"/>
            </w:pPr>
            <w:r/>
            <w:r>
              <w:rPr>
                <w:rFonts w:ascii="Diodrum Arabic" w:hAnsi="Diodrum Arabic"/>
                <w:b/>
                <w:color w:val="FFFFFF"/>
                <w:sz w:val="19"/>
              </w:rPr>
              <w:t>بعد</w:t>
            </w:r>
          </w:p>
        </w:tc>
      </w:tr>
      <w:tr>
        <w:tc>
          <w:tcPr>
            <w:tcW w:type="dxa" w:w="3324"/>
          </w:tcPr>
          <w:p>
            <w:pPr>
              <w:jc w:val="right"/>
              <w:bidi w:val="1"/>
            </w:pPr>
            <w:r/>
            <w:r>
              <w:rPr>
                <w:rFonts w:ascii="Diodrum Arabic" w:hAnsi="Diodrum Arabic"/>
                <w:sz w:val="19"/>
              </w:rPr>
              <w:t>§2.4 العنوان والفئة</w:t>
            </w:r>
          </w:p>
        </w:tc>
        <w:tc>
          <w:tcPr>
            <w:tcW w:type="dxa" w:w="3324"/>
          </w:tcPr>
          <w:p>
            <w:pPr>
              <w:jc w:val="right"/>
              <w:bidi w:val="1"/>
            </w:pPr>
            <w:r/>
            <w:r>
              <w:rPr>
                <w:rFonts w:ascii="Diodrum Arabic" w:hAnsi="Diodrum Arabic"/>
                <w:sz w:val="19"/>
              </w:rPr>
              <w:t>Level 3: Undersecretaries / Ministry undersecretaries</w:t>
            </w:r>
          </w:p>
        </w:tc>
        <w:tc>
          <w:tcPr>
            <w:tcW w:type="dxa" w:w="3324"/>
          </w:tcPr>
          <w:p>
            <w:pPr>
              <w:jc w:val="right"/>
              <w:bidi w:val="1"/>
            </w:pPr>
            <w:r/>
            <w:r>
              <w:rPr>
                <w:rFonts w:ascii="Diodrum Arabic" w:hAnsi="Diodrum Arabic"/>
                <w:sz w:val="19"/>
              </w:rPr>
              <w:t>Level 3: Deputy Ministers, Deputy Governors, and Equivalent Leaders / deputy ministers</w:t>
            </w:r>
          </w:p>
        </w:tc>
      </w:tr>
      <w:tr>
        <w:tc>
          <w:tcPr>
            <w:tcW w:type="dxa" w:w="3324"/>
          </w:tcPr>
          <w:p>
            <w:pPr>
              <w:jc w:val="right"/>
              <w:bidi w:val="1"/>
            </w:pPr>
            <w:r/>
            <w:r>
              <w:rPr>
                <w:rFonts w:ascii="Diodrum Arabic" w:hAnsi="Diodrum Arabic"/>
                <w:sz w:val="19"/>
              </w:rPr>
              <w:t>§2.5 العنوان والفئة</w:t>
            </w:r>
          </w:p>
        </w:tc>
        <w:tc>
          <w:tcPr>
            <w:tcW w:type="dxa" w:w="3324"/>
          </w:tcPr>
          <w:p>
            <w:pPr>
              <w:jc w:val="right"/>
              <w:bidi w:val="1"/>
            </w:pPr>
            <w:r/>
            <w:r>
              <w:rPr>
                <w:rFonts w:ascii="Diodrum Arabic" w:hAnsi="Diodrum Arabic"/>
                <w:sz w:val="19"/>
              </w:rPr>
              <w:t>Assistant Undersecretaries</w:t>
            </w:r>
          </w:p>
        </w:tc>
        <w:tc>
          <w:tcPr>
            <w:tcW w:type="dxa" w:w="3324"/>
          </w:tcPr>
          <w:p>
            <w:pPr>
              <w:jc w:val="right"/>
              <w:bidi w:val="1"/>
            </w:pPr>
            <w:r/>
            <w:r>
              <w:rPr>
                <w:rFonts w:ascii="Diodrum Arabic" w:hAnsi="Diodrum Arabic"/>
                <w:sz w:val="19"/>
              </w:rPr>
              <w:t>Assistant Deputy Ministers</w:t>
            </w:r>
          </w:p>
        </w:tc>
      </w:tr>
      <w:tr>
        <w:tc>
          <w:tcPr>
            <w:tcW w:type="dxa" w:w="3324"/>
          </w:tcPr>
          <w:p>
            <w:pPr>
              <w:jc w:val="right"/>
              <w:bidi w:val="1"/>
            </w:pPr>
            <w:r/>
            <w:r>
              <w:rPr>
                <w:rFonts w:ascii="Diodrum Arabic" w:hAnsi="Diodrum Arabic"/>
                <w:sz w:val="19"/>
              </w:rPr>
              <w:t>§2.3 طبيعة الفئة</w:t>
            </w:r>
          </w:p>
        </w:tc>
        <w:tc>
          <w:tcPr>
            <w:tcW w:type="dxa" w:w="3324"/>
          </w:tcPr>
          <w:p>
            <w:pPr>
              <w:jc w:val="right"/>
              <w:bidi w:val="1"/>
            </w:pPr>
            <w:r/>
            <w:r>
              <w:rPr>
                <w:rFonts w:ascii="Diodrum Arabic" w:hAnsi="Diodrum Arabic"/>
                <w:sz w:val="19"/>
              </w:rPr>
              <w:t>merged with undersecretaries</w:t>
            </w:r>
          </w:p>
        </w:tc>
        <w:tc>
          <w:tcPr>
            <w:tcW w:type="dxa" w:w="3324"/>
          </w:tcPr>
          <w:p>
            <w:pPr>
              <w:jc w:val="right"/>
              <w:bidi w:val="1"/>
            </w:pPr>
            <w:r/>
            <w:r>
              <w:rPr>
                <w:rFonts w:ascii="Diodrum Arabic" w:hAnsi="Diodrum Arabic"/>
                <w:sz w:val="19"/>
              </w:rPr>
              <w:t>merged with deputy ministers</w:t>
            </w:r>
          </w:p>
        </w:tc>
      </w:tr>
      <w:tr>
        <w:tc>
          <w:tcPr>
            <w:tcW w:type="dxa" w:w="3324"/>
          </w:tcPr>
          <w:p>
            <w:pPr>
              <w:jc w:val="right"/>
              <w:bidi w:val="1"/>
            </w:pPr>
            <w:r/>
            <w:r>
              <w:rPr>
                <w:rFonts w:ascii="Diodrum Arabic" w:hAnsi="Diodrum Arabic"/>
                <w:sz w:val="19"/>
              </w:rPr>
              <w:t>§2.6 و§4.5 و§5.1 الجداول</w:t>
            </w:r>
          </w:p>
        </w:tc>
        <w:tc>
          <w:tcPr>
            <w:tcW w:type="dxa" w:w="3324"/>
          </w:tcPr>
          <w:p>
            <w:pPr>
              <w:jc w:val="right"/>
              <w:bidi w:val="1"/>
            </w:pPr>
            <w:r/>
            <w:r>
              <w:rPr>
                <w:rFonts w:ascii="Diodrum Arabic" w:hAnsi="Diodrum Arabic"/>
                <w:sz w:val="19"/>
              </w:rPr>
              <w:t>Ministry undersecretary / Assistant undersecretary</w:t>
            </w:r>
          </w:p>
        </w:tc>
        <w:tc>
          <w:tcPr>
            <w:tcW w:type="dxa" w:w="3324"/>
          </w:tcPr>
          <w:p>
            <w:pPr>
              <w:jc w:val="right"/>
              <w:bidi w:val="1"/>
            </w:pPr>
            <w:r/>
            <w:r>
              <w:rPr>
                <w:rFonts w:ascii="Diodrum Arabic" w:hAnsi="Diodrum Arabic"/>
                <w:sz w:val="19"/>
              </w:rPr>
              <w:t>Deputy minister / Assistant deputy minister</w:t>
            </w:r>
          </w:p>
        </w:tc>
      </w:tr>
      <w:tr>
        <w:tc>
          <w:tcPr>
            <w:tcW w:type="dxa" w:w="3324"/>
          </w:tcPr>
          <w:p>
            <w:pPr>
              <w:jc w:val="right"/>
              <w:bidi w:val="1"/>
            </w:pPr>
            <w:r/>
            <w:r>
              <w:rPr>
                <w:rFonts w:ascii="Diodrum Arabic" w:hAnsi="Diodrum Arabic"/>
                <w:sz w:val="19"/>
              </w:rPr>
              <w:t>§4.5 قراءة الجدول</w:t>
            </w:r>
          </w:p>
        </w:tc>
        <w:tc>
          <w:tcPr>
            <w:tcW w:type="dxa" w:w="3324"/>
          </w:tcPr>
          <w:p>
            <w:pPr>
              <w:jc w:val="right"/>
              <w:bidi w:val="1"/>
            </w:pPr>
            <w:r/>
            <w:r>
              <w:rPr>
                <w:rFonts w:ascii="Diodrum Arabic" w:hAnsi="Diodrum Arabic"/>
                <w:sz w:val="19"/>
              </w:rPr>
              <w:t>ministry undersecretaries in the UAE executive programme</w:t>
            </w:r>
          </w:p>
        </w:tc>
        <w:tc>
          <w:tcPr>
            <w:tcW w:type="dxa" w:w="3324"/>
          </w:tcPr>
          <w:p>
            <w:pPr>
              <w:jc w:val="right"/>
              <w:bidi w:val="1"/>
            </w:pPr>
            <w:r/>
            <w:r>
              <w:rPr>
                <w:rFonts w:ascii="Diodrum Arabic" w:hAnsi="Diodrum Arabic"/>
                <w:sz w:val="19"/>
              </w:rPr>
              <w:t>deputy ministers in the UAE executive programme</w:t>
            </w:r>
          </w:p>
        </w:tc>
      </w:tr>
      <w:tr>
        <w:tc>
          <w:tcPr>
            <w:tcW w:type="dxa" w:w="3324"/>
          </w:tcPr>
          <w:p>
            <w:pPr>
              <w:jc w:val="right"/>
              <w:bidi w:val="1"/>
            </w:pPr>
            <w:r/>
            <w:r>
              <w:rPr>
                <w:rFonts w:ascii="Diodrum Arabic" w:hAnsi="Diodrum Arabic"/>
                <w:sz w:val="19"/>
              </w:rPr>
              <w:t>§6.2 التوصية 3</w:t>
            </w:r>
          </w:p>
        </w:tc>
        <w:tc>
          <w:tcPr>
            <w:tcW w:type="dxa" w:w="3324"/>
          </w:tcPr>
          <w:p>
            <w:pPr>
              <w:jc w:val="right"/>
              <w:bidi w:val="1"/>
            </w:pPr>
            <w:r/>
            <w:r>
              <w:rPr>
                <w:rFonts w:ascii="Diodrum Arabic" w:hAnsi="Diodrum Arabic"/>
                <w:sz w:val="19"/>
              </w:rPr>
              <w:t>between minister and undersecretary</w:t>
            </w:r>
          </w:p>
        </w:tc>
        <w:tc>
          <w:tcPr>
            <w:tcW w:type="dxa" w:w="3324"/>
          </w:tcPr>
          <w:p>
            <w:pPr>
              <w:jc w:val="right"/>
              <w:bidi w:val="1"/>
            </w:pPr>
            <w:r/>
            <w:r>
              <w:rPr>
                <w:rFonts w:ascii="Diodrum Arabic" w:hAnsi="Diodrum Arabic"/>
                <w:sz w:val="19"/>
              </w:rPr>
              <w:t>between the minister and the deputy minister</w:t>
            </w:r>
          </w:p>
        </w:tc>
      </w:tr>
      <w:tr>
        <w:tc>
          <w:tcPr>
            <w:tcW w:type="dxa" w:w="3324"/>
          </w:tcPr>
          <w:p>
            <w:pPr>
              <w:jc w:val="right"/>
              <w:bidi w:val="1"/>
            </w:pPr>
            <w:r/>
            <w:r>
              <w:rPr>
                <w:rFonts w:ascii="Diodrum Arabic" w:hAnsi="Diodrum Arabic"/>
                <w:sz w:val="19"/>
              </w:rPr>
              <w:t>§2.3 العنوان</w:t>
            </w:r>
          </w:p>
        </w:tc>
        <w:tc>
          <w:tcPr>
            <w:tcW w:type="dxa" w:w="3324"/>
          </w:tcPr>
          <w:p>
            <w:pPr>
              <w:jc w:val="right"/>
              <w:bidi w:val="1"/>
            </w:pPr>
            <w:r/>
            <w:r>
              <w:rPr>
                <w:rFonts w:ascii="Diodrum Arabic" w:hAnsi="Diodrum Arabic"/>
                <w:sz w:val="19"/>
              </w:rPr>
              <w:t>Excellency-rank Leaders</w:t>
            </w:r>
          </w:p>
        </w:tc>
        <w:tc>
          <w:tcPr>
            <w:tcW w:type="dxa" w:w="3324"/>
          </w:tcPr>
          <w:p>
            <w:pPr>
              <w:jc w:val="right"/>
              <w:bidi w:val="1"/>
            </w:pPr>
            <w:r/>
            <w:r>
              <w:rPr>
                <w:rFonts w:ascii="Diodrum Arabic" w:hAnsi="Diodrum Arabic"/>
                <w:sz w:val="19"/>
              </w:rPr>
              <w:t>Vice Ministers and Excellency-Rank Leaders (الصيغة المعتمدة)</w:t>
            </w:r>
          </w:p>
        </w:tc>
      </w:tr>
    </w:tbl>
    <w:p>
      <w:pPr>
        <w:jc w:val="right"/>
        <w:bidi w:val="1"/>
      </w:pPr>
      <w:r>
        <w:rPr>
          <w:rFonts w:ascii="Diodrum Arabic" w:hAnsi="Diodrum Arabic" w:cs="Diodrum Arabic"/>
          <w:b/>
          <w:color w:val="00ABAF"/>
          <w:sz w:val="26"/>
        </w:rPr>
        <w:t>2) تصحيحات نحوية عربية خفيفة (لا تمس المعنى)</w:t>
      </w:r>
    </w:p>
    <w:tbl>
      <w:tblPr>
        <w:tblStyle w:val="TableGrid"/>
        <w:tblW w:type="auto" w:w="0"/>
        <w:jc w:val="center"/>
        <w:tblLook w:firstColumn="1" w:firstRow="1" w:lastColumn="0" w:lastRow="0" w:noHBand="0" w:noVBand="1" w:val="04A0"/>
        <w:bidiVisual/>
      </w:tblPr>
      <w:tblGrid>
        <w:gridCol w:w="3324"/>
        <w:gridCol w:w="3324"/>
        <w:gridCol w:w="3324"/>
      </w:tblGrid>
      <w:tr>
        <w:tc>
          <w:tcPr>
            <w:tcW w:type="dxa" w:w="3324"/>
            <w:shd w:val="clear" w:fill="2A206A"/>
          </w:tcPr>
          <w:p>
            <w:pPr>
              <w:jc w:val="right"/>
              <w:bidi w:val="1"/>
            </w:pPr>
            <w:r/>
            <w:r>
              <w:rPr>
                <w:rFonts w:ascii="Diodrum Arabic" w:hAnsi="Diodrum Arabic"/>
                <w:b/>
                <w:color w:val="FFFFFF"/>
                <w:sz w:val="19"/>
              </w:rPr>
              <w:t>الموضع</w:t>
            </w:r>
          </w:p>
        </w:tc>
        <w:tc>
          <w:tcPr>
            <w:tcW w:type="dxa" w:w="3324"/>
            <w:shd w:val="clear" w:fill="2A206A"/>
          </w:tcPr>
          <w:p>
            <w:pPr>
              <w:jc w:val="right"/>
              <w:bidi w:val="1"/>
            </w:pPr>
            <w:r/>
            <w:r>
              <w:rPr>
                <w:rFonts w:ascii="Diodrum Arabic" w:hAnsi="Diodrum Arabic"/>
                <w:b/>
                <w:color w:val="FFFFFF"/>
                <w:sz w:val="19"/>
              </w:rPr>
              <w:t>قبل</w:t>
            </w:r>
          </w:p>
        </w:tc>
        <w:tc>
          <w:tcPr>
            <w:tcW w:type="dxa" w:w="3324"/>
            <w:shd w:val="clear" w:fill="2A206A"/>
          </w:tcPr>
          <w:p>
            <w:pPr>
              <w:jc w:val="right"/>
              <w:bidi w:val="1"/>
            </w:pPr>
            <w:r/>
            <w:r>
              <w:rPr>
                <w:rFonts w:ascii="Diodrum Arabic" w:hAnsi="Diodrum Arabic"/>
                <w:b/>
                <w:color w:val="FFFFFF"/>
                <w:sz w:val="19"/>
              </w:rPr>
              <w:t>بعد</w:t>
            </w:r>
          </w:p>
        </w:tc>
      </w:tr>
      <w:tr>
        <w:tc>
          <w:tcPr>
            <w:tcW w:type="dxa" w:w="3324"/>
          </w:tcPr>
          <w:p>
            <w:pPr>
              <w:jc w:val="right"/>
              <w:bidi w:val="1"/>
            </w:pPr>
            <w:r/>
            <w:r>
              <w:rPr>
                <w:rFonts w:ascii="Diodrum Arabic" w:hAnsi="Diodrum Arabic"/>
                <w:sz w:val="19"/>
              </w:rPr>
              <w:t>§3.3 كازاخستان</w:t>
            </w:r>
          </w:p>
        </w:tc>
        <w:tc>
          <w:tcPr>
            <w:tcW w:type="dxa" w:w="3324"/>
          </w:tcPr>
          <w:p>
            <w:pPr>
              <w:jc w:val="right"/>
              <w:bidi w:val="1"/>
            </w:pPr>
            <w:r/>
            <w:r>
              <w:rPr>
                <w:rFonts w:ascii="Diodrum Arabic" w:hAnsi="Diodrum Arabic"/>
                <w:sz w:val="19"/>
              </w:rPr>
              <w:t>فيلق مسماة … مسماة ومساءل</w:t>
            </w:r>
          </w:p>
        </w:tc>
        <w:tc>
          <w:tcPr>
            <w:tcW w:type="dxa" w:w="3324"/>
          </w:tcPr>
          <w:p>
            <w:pPr>
              <w:jc w:val="right"/>
              <w:bidi w:val="1"/>
            </w:pPr>
            <w:r/>
            <w:r>
              <w:rPr>
                <w:rFonts w:ascii="Diodrum Arabic" w:hAnsi="Diodrum Arabic"/>
                <w:sz w:val="19"/>
              </w:rPr>
              <w:t>فيلق مسمّى … مسمّى ومُساءل</w:t>
            </w:r>
          </w:p>
        </w:tc>
      </w:tr>
      <w:tr>
        <w:tc>
          <w:tcPr>
            <w:tcW w:type="dxa" w:w="3324"/>
          </w:tcPr>
          <w:p>
            <w:pPr>
              <w:jc w:val="right"/>
              <w:bidi w:val="1"/>
            </w:pPr>
            <w:r/>
            <w:r>
              <w:rPr>
                <w:rFonts w:ascii="Diodrum Arabic" w:hAnsi="Diodrum Arabic"/>
                <w:sz w:val="19"/>
              </w:rPr>
              <w:t>§4.3 العنوان</w:t>
            </w:r>
          </w:p>
        </w:tc>
        <w:tc>
          <w:tcPr>
            <w:tcW w:type="dxa" w:w="3324"/>
          </w:tcPr>
          <w:p>
            <w:pPr>
              <w:jc w:val="right"/>
              <w:bidi w:val="1"/>
            </w:pPr>
            <w:r/>
            <w:r>
              <w:rPr>
                <w:rFonts w:ascii="Diodrum Arabic" w:hAnsi="Diodrum Arabic"/>
                <w:sz w:val="19"/>
              </w:rPr>
              <w:t>الوكلاء ونواب المحافظون</w:t>
            </w:r>
          </w:p>
        </w:tc>
        <w:tc>
          <w:tcPr>
            <w:tcW w:type="dxa" w:w="3324"/>
          </w:tcPr>
          <w:p>
            <w:pPr>
              <w:jc w:val="right"/>
              <w:bidi w:val="1"/>
            </w:pPr>
            <w:r/>
            <w:r>
              <w:rPr>
                <w:rFonts w:ascii="Diodrum Arabic" w:hAnsi="Diodrum Arabic"/>
                <w:sz w:val="19"/>
              </w:rPr>
              <w:t>وكلاء الوزارات ونواب المحافظين</w:t>
            </w:r>
          </w:p>
        </w:tc>
      </w:tr>
      <w:tr>
        <w:tc>
          <w:tcPr>
            <w:tcW w:type="dxa" w:w="3324"/>
          </w:tcPr>
          <w:p>
            <w:pPr>
              <w:jc w:val="right"/>
              <w:bidi w:val="1"/>
            </w:pPr>
            <w:r/>
            <w:r>
              <w:rPr>
                <w:rFonts w:ascii="Diodrum Arabic" w:hAnsi="Diodrum Arabic"/>
                <w:sz w:val="19"/>
              </w:rPr>
              <w:t>§5.2</w:t>
            </w:r>
          </w:p>
        </w:tc>
        <w:tc>
          <w:tcPr>
            <w:tcW w:type="dxa" w:w="3324"/>
          </w:tcPr>
          <w:p>
            <w:pPr>
              <w:jc w:val="right"/>
              <w:bidi w:val="1"/>
            </w:pPr>
            <w:r/>
            <w:r>
              <w:rPr>
                <w:rFonts w:ascii="Diodrum Arabic" w:hAnsi="Diodrum Arabic"/>
                <w:sz w:val="19"/>
              </w:rPr>
              <w:t>ومسار الوكلاء المساعدون</w:t>
            </w:r>
          </w:p>
        </w:tc>
        <w:tc>
          <w:tcPr>
            <w:tcW w:type="dxa" w:w="3324"/>
          </w:tcPr>
          <w:p>
            <w:pPr>
              <w:jc w:val="right"/>
              <w:bidi w:val="1"/>
            </w:pPr>
            <w:r/>
            <w:r>
              <w:rPr>
                <w:rFonts w:ascii="Diodrum Arabic" w:hAnsi="Diodrum Arabic"/>
                <w:sz w:val="19"/>
              </w:rPr>
              <w:t>ومسار الوكلاء المساعدين</w:t>
            </w:r>
          </w:p>
        </w:tc>
      </w:tr>
      <w:tr>
        <w:tc>
          <w:tcPr>
            <w:tcW w:type="dxa" w:w="3324"/>
          </w:tcPr>
          <w:p>
            <w:pPr>
              <w:jc w:val="right"/>
              <w:bidi w:val="1"/>
            </w:pPr>
            <w:r/>
            <w:r>
              <w:rPr>
                <w:rFonts w:ascii="Diodrum Arabic" w:hAnsi="Diodrum Arabic"/>
                <w:sz w:val="19"/>
              </w:rPr>
              <w:t>§5.7</w:t>
            </w:r>
          </w:p>
        </w:tc>
        <w:tc>
          <w:tcPr>
            <w:tcW w:type="dxa" w:w="3324"/>
          </w:tcPr>
          <w:p>
            <w:pPr>
              <w:jc w:val="right"/>
              <w:bidi w:val="1"/>
            </w:pPr>
            <w:r/>
            <w:r>
              <w:rPr>
                <w:rFonts w:ascii="Diodrum Arabic" w:hAnsi="Diodrum Arabic"/>
                <w:sz w:val="19"/>
              </w:rPr>
              <w:t>ولا يتراكم بقاءه</w:t>
            </w:r>
          </w:p>
        </w:tc>
        <w:tc>
          <w:tcPr>
            <w:tcW w:type="dxa" w:w="3324"/>
          </w:tcPr>
          <w:p>
            <w:pPr>
              <w:jc w:val="right"/>
              <w:bidi w:val="1"/>
            </w:pPr>
            <w:r/>
            <w:r>
              <w:rPr>
                <w:rFonts w:ascii="Diodrum Arabic" w:hAnsi="Diodrum Arabic"/>
                <w:sz w:val="19"/>
              </w:rPr>
              <w:t>ولا يتراكم عند المالك (إعادة صياغة سليمة)</w:t>
            </w:r>
          </w:p>
        </w:tc>
      </w:tr>
      <w:tr>
        <w:tc>
          <w:tcPr>
            <w:tcW w:type="dxa" w:w="3324"/>
          </w:tcPr>
          <w:p>
            <w:pPr>
              <w:jc w:val="right"/>
              <w:bidi w:val="1"/>
            </w:pPr>
            <w:r/>
            <w:r>
              <w:rPr>
                <w:rFonts w:ascii="Diodrum Arabic" w:hAnsi="Diodrum Arabic"/>
                <w:sz w:val="19"/>
              </w:rPr>
              <w:t>§6.1 (3)</w:t>
            </w:r>
          </w:p>
        </w:tc>
        <w:tc>
          <w:tcPr>
            <w:tcW w:type="dxa" w:w="3324"/>
          </w:tcPr>
          <w:p>
            <w:pPr>
              <w:jc w:val="right"/>
              <w:bidi w:val="1"/>
            </w:pPr>
            <w:r/>
            <w:r>
              <w:rPr>
                <w:rFonts w:ascii="Diodrum Arabic" w:hAnsi="Diodrum Arabic"/>
                <w:sz w:val="19"/>
              </w:rPr>
              <w:t>الطلب القيادي العليا قائم</w:t>
            </w:r>
          </w:p>
        </w:tc>
        <w:tc>
          <w:tcPr>
            <w:tcW w:type="dxa" w:w="3324"/>
          </w:tcPr>
          <w:p>
            <w:pPr>
              <w:jc w:val="right"/>
              <w:bidi w:val="1"/>
            </w:pPr>
            <w:r/>
            <w:r>
              <w:rPr>
                <w:rFonts w:ascii="Diodrum Arabic" w:hAnsi="Diodrum Arabic"/>
                <w:sz w:val="19"/>
              </w:rPr>
              <w:t>الطلب لدى القيادات العليا قائم</w:t>
            </w:r>
          </w:p>
        </w:tc>
      </w:tr>
    </w:tbl>
    <w:p>
      <w:pPr>
        <w:jc w:val="right"/>
        <w:bidi w:val="1"/>
      </w:pPr>
      <w:r>
        <w:rPr>
          <w:rFonts w:ascii="Diodrum Arabic" w:hAnsi="Diodrum Arabic" w:cs="Diodrum Arabic"/>
          <w:b/>
          <w:color w:val="00ABAF"/>
          <w:sz w:val="26"/>
        </w:rPr>
        <w:t>3) ما تم اختصاره أو إعادة توزيعه (دون حذف معلومة جوهرية)</w:t>
      </w:r>
    </w:p>
    <w:tbl>
      <w:tblPr>
        <w:tblStyle w:val="TableGrid"/>
        <w:tblW w:type="auto" w:w="0"/>
        <w:jc w:val="center"/>
        <w:tblLook w:firstColumn="1" w:firstRow="1" w:lastColumn="0" w:lastRow="0" w:noHBand="0" w:noVBand="1" w:val="04A0"/>
        <w:bidiVisual/>
      </w:tblPr>
      <w:tblGrid>
        <w:gridCol w:w="4986"/>
        <w:gridCol w:w="4986"/>
      </w:tblGrid>
      <w:tr>
        <w:tc>
          <w:tcPr>
            <w:tcW w:type="dxa" w:w="4986"/>
            <w:shd w:val="clear" w:fill="2A206A"/>
          </w:tcPr>
          <w:p>
            <w:pPr>
              <w:jc w:val="right"/>
              <w:bidi w:val="1"/>
            </w:pPr>
            <w:r/>
            <w:r>
              <w:rPr>
                <w:rFonts w:ascii="Diodrum Arabic" w:hAnsi="Diodrum Arabic"/>
                <w:b/>
                <w:color w:val="FFFFFF"/>
                <w:sz w:val="19"/>
              </w:rPr>
              <w:t>الموضع</w:t>
            </w:r>
          </w:p>
        </w:tc>
        <w:tc>
          <w:tcPr>
            <w:tcW w:type="dxa" w:w="4986"/>
            <w:shd w:val="clear" w:fill="2A206A"/>
          </w:tcPr>
          <w:p>
            <w:pPr>
              <w:jc w:val="right"/>
              <w:bidi w:val="1"/>
            </w:pPr>
            <w:r/>
            <w:r>
              <w:rPr>
                <w:rFonts w:ascii="Diodrum Arabic" w:hAnsi="Diodrum Arabic"/>
                <w:b/>
                <w:color w:val="FFFFFF"/>
                <w:sz w:val="19"/>
              </w:rPr>
              <w:t>الإجراء</w:t>
            </w:r>
          </w:p>
        </w:tc>
      </w:tr>
      <w:tr>
        <w:tc>
          <w:tcPr>
            <w:tcW w:type="dxa" w:w="4986"/>
          </w:tcPr>
          <w:p>
            <w:pPr>
              <w:jc w:val="right"/>
              <w:bidi w:val="1"/>
            </w:pPr>
            <w:r/>
            <w:r>
              <w:rPr>
                <w:rFonts w:ascii="Diodrum Arabic" w:hAnsi="Diodrum Arabic"/>
                <w:sz w:val="19"/>
              </w:rPr>
              <w:t>§1.4</w:t>
            </w:r>
          </w:p>
        </w:tc>
        <w:tc>
          <w:tcPr>
            <w:tcW w:type="dxa" w:w="4986"/>
          </w:tcPr>
          <w:p>
            <w:pPr>
              <w:jc w:val="right"/>
              <w:bidi w:val="1"/>
            </w:pPr>
            <w:r/>
            <w:r>
              <w:rPr>
                <w:rFonts w:ascii="Diodrum Arabic" w:hAnsi="Diodrum Arabic"/>
                <w:sz w:val="19"/>
              </w:rPr>
              <w:t>وُزعت المؤشرات على صفحتين: بطاقات أرقام كبيرة للطلب العالمي، وبطاقتا مؤشر لموقع المملكة، مع صندوق «مؤشرات لا سببية»</w:t>
            </w:r>
          </w:p>
        </w:tc>
      </w:tr>
      <w:tr>
        <w:tc>
          <w:tcPr>
            <w:tcW w:type="dxa" w:w="4986"/>
          </w:tcPr>
          <w:p>
            <w:pPr>
              <w:jc w:val="right"/>
              <w:bidi w:val="1"/>
            </w:pPr>
            <w:r/>
            <w:r>
              <w:rPr>
                <w:rFonts w:ascii="Diodrum Arabic" w:hAnsi="Diodrum Arabic"/>
                <w:sz w:val="19"/>
              </w:rPr>
              <w:t>§2.2–2.5</w:t>
            </w:r>
          </w:p>
        </w:tc>
        <w:tc>
          <w:tcPr>
            <w:tcW w:type="dxa" w:w="4986"/>
          </w:tcPr>
          <w:p>
            <w:pPr>
              <w:jc w:val="right"/>
              <w:bidi w:val="1"/>
            </w:pPr>
            <w:r/>
            <w:r>
              <w:rPr>
                <w:rFonts w:ascii="Diodrum Arabic" w:hAnsi="Diodrum Arabic"/>
                <w:sz w:val="19"/>
              </w:rPr>
              <w:t>قالب موحد لصفحات المستويات بالعناصر الستة الثابتة وبالترتيب نفسه: الفئة، الطبيعة، نوع القرار، البروتوكول، المخرج، قرار البناء/الشراء</w:t>
            </w:r>
          </w:p>
        </w:tc>
      </w:tr>
      <w:tr>
        <w:tc>
          <w:tcPr>
            <w:tcW w:type="dxa" w:w="4986"/>
          </w:tcPr>
          <w:p>
            <w:pPr>
              <w:jc w:val="right"/>
              <w:bidi w:val="1"/>
            </w:pPr>
            <w:r/>
            <w:r>
              <w:rPr>
                <w:rFonts w:ascii="Diodrum Arabic" w:hAnsi="Diodrum Arabic"/>
                <w:sz w:val="19"/>
              </w:rPr>
              <w:t>§3.2 (جدول 12 برنامجاً)</w:t>
            </w:r>
          </w:p>
        </w:tc>
        <w:tc>
          <w:tcPr>
            <w:tcW w:type="dxa" w:w="4986"/>
          </w:tcPr>
          <w:p>
            <w:pPr>
              <w:jc w:val="right"/>
              <w:bidi w:val="1"/>
            </w:pPr>
            <w:r/>
            <w:r>
              <w:rPr>
                <w:rFonts w:ascii="Diodrum Arabic" w:hAnsi="Diodrum Arabic"/>
                <w:sz w:val="19"/>
              </w:rPr>
              <w:t>قُسم على صفحتين (6+6) مع صفحة قراءة مستقلة بثلاثة استنتاجات</w:t>
            </w:r>
          </w:p>
        </w:tc>
      </w:tr>
      <w:tr>
        <w:tc>
          <w:tcPr>
            <w:tcW w:type="dxa" w:w="4986"/>
          </w:tcPr>
          <w:p>
            <w:pPr>
              <w:jc w:val="right"/>
              <w:bidi w:val="1"/>
            </w:pPr>
            <w:r/>
            <w:r>
              <w:rPr>
                <w:rFonts w:ascii="Diodrum Arabic" w:hAnsi="Diodrum Arabic"/>
                <w:sz w:val="19"/>
              </w:rPr>
              <w:t>§3.3</w:t>
            </w:r>
          </w:p>
        </w:tc>
        <w:tc>
          <w:tcPr>
            <w:tcW w:type="dxa" w:w="4986"/>
          </w:tcPr>
          <w:p>
            <w:pPr>
              <w:jc w:val="right"/>
              <w:bidi w:val="1"/>
            </w:pPr>
            <w:r/>
            <w:r>
              <w:rPr>
                <w:rFonts w:ascii="Diodrum Arabic" w:hAnsi="Diodrum Arabic"/>
                <w:sz w:val="19"/>
              </w:rPr>
              <w:t>جدول مضغوط لعشر دول + بطاقات حالات على صفحتين بشارات نوع الدليل (منفذ/هدف معلن/تقييم مستقل)</w:t>
            </w:r>
          </w:p>
        </w:tc>
      </w:tr>
      <w:tr>
        <w:tc>
          <w:tcPr>
            <w:tcW w:type="dxa" w:w="4986"/>
          </w:tcPr>
          <w:p>
            <w:pPr>
              <w:jc w:val="right"/>
              <w:bidi w:val="1"/>
            </w:pPr>
            <w:r/>
            <w:r>
              <w:rPr>
                <w:rFonts w:ascii="Diodrum Arabic" w:hAnsi="Diodrum Arabic"/>
                <w:sz w:val="19"/>
              </w:rPr>
              <w:t>§5.6</w:t>
            </w:r>
          </w:p>
        </w:tc>
        <w:tc>
          <w:tcPr>
            <w:tcW w:type="dxa" w:w="4986"/>
          </w:tcPr>
          <w:p>
            <w:pPr>
              <w:jc w:val="right"/>
              <w:bidi w:val="1"/>
            </w:pPr>
            <w:r/>
            <w:r>
              <w:rPr>
                <w:rFonts w:ascii="Diodrum Arabic" w:hAnsi="Diodrum Arabic"/>
                <w:sz w:val="19"/>
              </w:rPr>
              <w:t>رقما التكلفة الاسترشادية أبرزا في بطاقتين كبيرتين مع صندوق حدود القراءة قبل جدول المكونات</w:t>
            </w:r>
          </w:p>
        </w:tc>
      </w:tr>
      <w:tr>
        <w:tc>
          <w:tcPr>
            <w:tcW w:type="dxa" w:w="4986"/>
          </w:tcPr>
          <w:p>
            <w:pPr>
              <w:jc w:val="right"/>
              <w:bidi w:val="1"/>
            </w:pPr>
            <w:r/>
            <w:r>
              <w:rPr>
                <w:rFonts w:ascii="Diodrum Arabic" w:hAnsi="Diodrum Arabic"/>
                <w:sz w:val="19"/>
              </w:rPr>
              <w:t>المراجع</w:t>
            </w:r>
          </w:p>
        </w:tc>
        <w:tc>
          <w:tcPr>
            <w:tcW w:type="dxa" w:w="4986"/>
          </w:tcPr>
          <w:p>
            <w:pPr>
              <w:jc w:val="right"/>
              <w:bidi w:val="1"/>
            </w:pPr>
            <w:r/>
            <w:r>
              <w:rPr>
                <w:rFonts w:ascii="Diodrum Arabic" w:hAnsi="Diodrum Arabic"/>
                <w:sz w:val="19"/>
              </w:rPr>
              <w:t>أُخرجت في أربع صفحات بشارات أدلة ملونة وروابط على أسطر مستقلة قابلة للنقر</w:t>
            </w:r>
          </w:p>
        </w:tc>
      </w:tr>
      <w:tr>
        <w:tc>
          <w:tcPr>
            <w:tcW w:type="dxa" w:w="4986"/>
          </w:tcPr>
          <w:p>
            <w:pPr>
              <w:jc w:val="right"/>
              <w:bidi w:val="1"/>
            </w:pPr>
            <w:r/>
            <w:r>
              <w:rPr>
                <w:rFonts w:ascii="Diodrum Arabic" w:hAnsi="Diodrum Arabic"/>
                <w:sz w:val="19"/>
              </w:rPr>
              <w:t>التكرارات</w:t>
            </w:r>
          </w:p>
        </w:tc>
        <w:tc>
          <w:tcPr>
            <w:tcW w:type="dxa" w:w="4986"/>
          </w:tcPr>
          <w:p>
            <w:pPr>
              <w:jc w:val="right"/>
              <w:bidi w:val="1"/>
            </w:pPr>
            <w:r/>
            <w:r>
              <w:rPr>
                <w:rFonts w:ascii="Diodrum Arabic" w:hAnsi="Diodrum Arabic"/>
                <w:sz w:val="19"/>
              </w:rPr>
              <w:t>حُفظت الفكرة في موضعها الأقوى (مثال: «هدف لا إنجاز» مفصلة في حالة الإمارات؛ التقييم البريطاني «غير الحاسم» مفصل في §3.3) مع إشارات مختصرة في المواضع الأخرى</w:t>
            </w:r>
          </w:p>
        </w:tc>
      </w:tr>
    </w:tbl>
    <w:p>
      <w:pPr>
        <w:jc w:val="right"/>
        <w:bidi w:val="1"/>
      </w:pPr>
      <w:r>
        <w:rPr>
          <w:rFonts w:ascii="Diodrum Arabic" w:hAnsi="Diodrum Arabic" w:cs="Diodrum Arabic"/>
          <w:b/>
          <w:color w:val="7C32C9"/>
          <w:sz w:val="32"/>
        </w:rPr>
        <w:t>ثالثاً — نتائج المراجعات الخمس الإلزامية</w:t>
      </w:r>
    </w:p>
    <w:tbl>
      <w:tblPr>
        <w:tblStyle w:val="TableGrid"/>
        <w:tblW w:type="auto" w:w="0"/>
        <w:jc w:val="center"/>
        <w:tblLook w:firstColumn="1" w:firstRow="1" w:lastColumn="0" w:lastRow="0" w:noHBand="0" w:noVBand="1" w:val="04A0"/>
        <w:bidiVisual/>
      </w:tblPr>
      <w:tblGrid>
        <w:gridCol w:w="4986"/>
        <w:gridCol w:w="4986"/>
      </w:tblGrid>
      <w:tr>
        <w:tc>
          <w:tcPr>
            <w:tcW w:type="dxa" w:w="4986"/>
            <w:shd w:val="clear" w:fill="2A206A"/>
          </w:tcPr>
          <w:p>
            <w:pPr>
              <w:jc w:val="right"/>
              <w:bidi w:val="1"/>
            </w:pPr>
            <w:r/>
            <w:r>
              <w:rPr>
                <w:rFonts w:ascii="Diodrum Arabic" w:hAnsi="Diodrum Arabic"/>
                <w:b/>
                <w:color w:val="FFFFFF"/>
                <w:sz w:val="19"/>
              </w:rPr>
              <w:t>المراجعة</w:t>
            </w:r>
          </w:p>
        </w:tc>
        <w:tc>
          <w:tcPr>
            <w:tcW w:type="dxa" w:w="4986"/>
            <w:shd w:val="clear" w:fill="2A206A"/>
          </w:tcPr>
          <w:p>
            <w:pPr>
              <w:jc w:val="right"/>
              <w:bidi w:val="1"/>
            </w:pPr>
            <w:r/>
            <w:r>
              <w:rPr>
                <w:rFonts w:ascii="Diodrum Arabic" w:hAnsi="Diodrum Arabic"/>
                <w:b/>
                <w:color w:val="FFFFFF"/>
                <w:sz w:val="19"/>
              </w:rPr>
              <w:t>النتيجة</w:t>
            </w:r>
          </w:p>
        </w:tc>
      </w:tr>
      <w:tr>
        <w:tc>
          <w:tcPr>
            <w:tcW w:type="dxa" w:w="4986"/>
          </w:tcPr>
          <w:p>
            <w:pPr>
              <w:jc w:val="right"/>
              <w:bidi w:val="1"/>
            </w:pPr>
            <w:r/>
            <w:r>
              <w:rPr>
                <w:rFonts w:ascii="Diodrum Arabic" w:hAnsi="Diodrum Arabic"/>
                <w:sz w:val="19"/>
              </w:rPr>
              <w:t>1. المصطلحات</w:t>
            </w:r>
          </w:p>
        </w:tc>
        <w:tc>
          <w:tcPr>
            <w:tcW w:type="dxa" w:w="4986"/>
          </w:tcPr>
          <w:p>
            <w:pPr>
              <w:jc w:val="right"/>
              <w:bidi w:val="1"/>
            </w:pPr>
            <w:r/>
            <w:r>
              <w:rPr>
                <w:rFonts w:ascii="Diodrum Arabic" w:hAnsi="Diodrum Arabic"/>
                <w:sz w:val="19"/>
              </w:rPr>
              <w:t>اجتازت: صفر مصطلح محظور؛ Vice Minister (11)، Deputy Minister (25)، Assistant Deputy Minister (11)، Deputy Governor (6) في مواضعها الصحيحة؛ مساعد الوزير ثابت في المستوى الثاني في النسختين</w:t>
            </w:r>
          </w:p>
        </w:tc>
      </w:tr>
      <w:tr>
        <w:tc>
          <w:tcPr>
            <w:tcW w:type="dxa" w:w="4986"/>
          </w:tcPr>
          <w:p>
            <w:pPr>
              <w:jc w:val="right"/>
              <w:bidi w:val="1"/>
            </w:pPr>
            <w:r/>
            <w:r>
              <w:rPr>
                <w:rFonts w:ascii="Diodrum Arabic" w:hAnsi="Diodrum Arabic"/>
                <w:sz w:val="19"/>
              </w:rPr>
              <w:t>2. التطابق الثنائي</w:t>
            </w:r>
          </w:p>
        </w:tc>
        <w:tc>
          <w:tcPr>
            <w:tcW w:type="dxa" w:w="4986"/>
          </w:tcPr>
          <w:p>
            <w:pPr>
              <w:jc w:val="right"/>
              <w:bidi w:val="1"/>
            </w:pPr>
            <w:r/>
            <w:r>
              <w:rPr>
                <w:rFonts w:ascii="Diodrum Arabic" w:hAnsi="Diodrum Arabic"/>
                <w:sz w:val="19"/>
              </w:rPr>
              <w:t>اجتازت: 39 = 39 صفحة؛ تسلسل الأقسام والجداول والرسوم والألوان متطابق؛ فحص آلي للأرقام صفحةً بصفحة أظهر تطابق القيم، والفروق المرصودة كلها اصطلاحية موثقة في ملف XLSX (أرقام مكتوبة كلمات بالعربية مثل «القسم الرابع»، وصيغة «45 ألفاً» مقابل 45,000)</w:t>
            </w:r>
          </w:p>
        </w:tc>
      </w:tr>
      <w:tr>
        <w:tc>
          <w:tcPr>
            <w:tcW w:type="dxa" w:w="4986"/>
          </w:tcPr>
          <w:p>
            <w:pPr>
              <w:jc w:val="right"/>
              <w:bidi w:val="1"/>
            </w:pPr>
            <w:r/>
            <w:r>
              <w:rPr>
                <w:rFonts w:ascii="Diodrum Arabic" w:hAnsi="Diodrum Arabic"/>
                <w:sz w:val="19"/>
              </w:rPr>
              <w:t>3. الأدلة</w:t>
            </w:r>
          </w:p>
        </w:tc>
        <w:tc>
          <w:tcPr>
            <w:tcW w:type="dxa" w:w="4986"/>
          </w:tcPr>
          <w:p>
            <w:pPr>
              <w:jc w:val="right"/>
              <w:bidi w:val="1"/>
            </w:pPr>
            <w:r/>
            <w:r>
              <w:rPr>
                <w:rFonts w:ascii="Diodrum Arabic" w:hAnsi="Diodrum Arabic"/>
                <w:sz w:val="19"/>
              </w:rPr>
              <w:t>اجتازت: كل ادعاء مهم يحمل علامة مصدر؛ الإعلانات مقدمة إعلانات (الإمارات «هدف لا إنجاز»، سنغافورة «معلن ولم يبدأ»، لي كوان يو وبلافاتنك «مقررة وليست منفذة»)؛ التقديرات موسومة [65][69] بوسم T؛ التقييم البريطاني موصوف بغير الحاسم في كل المواضع؛ قيود الوصول مثبتة في عمود مستقل</w:t>
            </w:r>
          </w:p>
        </w:tc>
      </w:tr>
      <w:tr>
        <w:tc>
          <w:tcPr>
            <w:tcW w:type="dxa" w:w="4986"/>
          </w:tcPr>
          <w:p>
            <w:pPr>
              <w:jc w:val="right"/>
              <w:bidi w:val="1"/>
            </w:pPr>
            <w:r/>
            <w:r>
              <w:rPr>
                <w:rFonts w:ascii="Diodrum Arabic" w:hAnsi="Diodrum Arabic"/>
                <w:sz w:val="19"/>
              </w:rPr>
              <w:t>4. التصميم</w:t>
            </w:r>
          </w:p>
        </w:tc>
        <w:tc>
          <w:tcPr>
            <w:tcW w:type="dxa" w:w="4986"/>
          </w:tcPr>
          <w:p>
            <w:pPr>
              <w:jc w:val="right"/>
              <w:bidi w:val="1"/>
            </w:pPr>
            <w:r/>
            <w:r>
              <w:rPr>
                <w:rFonts w:ascii="Diodrum Arabic" w:hAnsi="Diodrum Arabic"/>
                <w:sz w:val="19"/>
              </w:rPr>
              <w:t>اجتازت: التزام كامل بلوحة ريان وأسلوب الغلاف وفواصل الأقسام والبطاقات والجداول والتذييل؛ خلفية الغلاف وصورة المدينة مستخرجتان من ملف ريان نفسه؛ لا جداول مقصوصة ولا نصوص خارج الحدود (فحص بصري لكل الصفحات الـ78)</w:t>
            </w:r>
          </w:p>
        </w:tc>
      </w:tr>
      <w:tr>
        <w:tc>
          <w:tcPr>
            <w:tcW w:type="dxa" w:w="4986"/>
          </w:tcPr>
          <w:p>
            <w:pPr>
              <w:jc w:val="right"/>
              <w:bidi w:val="1"/>
            </w:pPr>
            <w:r/>
            <w:r>
              <w:rPr>
                <w:rFonts w:ascii="Diodrum Arabic" w:hAnsi="Diodrum Arabic"/>
                <w:sz w:val="19"/>
              </w:rPr>
              <w:t>5. السرد والصوت الواحد</w:t>
            </w:r>
          </w:p>
        </w:tc>
        <w:tc>
          <w:tcPr>
            <w:tcW w:type="dxa" w:w="4986"/>
          </w:tcPr>
          <w:p>
            <w:pPr>
              <w:jc w:val="right"/>
              <w:bidi w:val="1"/>
            </w:pPr>
            <w:r/>
            <w:r>
              <w:rPr>
                <w:rFonts w:ascii="Diodrum Arabic" w:hAnsi="Diodrum Arabic"/>
                <w:sz w:val="19"/>
              </w:rPr>
              <w:t>اجتازت: انتقالات تحريرية من سطر أو سطرين في نهاية كل قسم تمهد للتالي؛ نبرة حكومية تنفيذية موحدة؛ عناوين استنتاجية لكل صفحة؛ قاعدة «يختلف البرنامج بحسب نوع القرار» تظهر في مواضعها المقررة فقط</w:t>
            </w:r>
          </w:p>
        </w:tc>
      </w:tr>
    </w:tbl>
    <w:p>
      <w:pPr>
        <w:jc w:val="right"/>
        <w:bidi w:val="1"/>
      </w:pPr>
      <w:r>
        <w:rPr>
          <w:rFonts w:ascii="Diodrum Arabic" w:hAnsi="Diodrum Arabic" w:cs="Diodrum Arabic"/>
          <w:b/>
          <w:color w:val="7C32C9"/>
          <w:sz w:val="32"/>
        </w:rPr>
        <w:t>رابعاً — نقاط تحتاج تحققاً بشرياً قبل الاعتماد النهائي</w:t>
      </w:r>
    </w:p>
    <w:p>
      <w:pPr>
        <w:jc w:val="right"/>
        <w:bidi w:val="1"/>
      </w:pPr>
      <w:r>
        <w:rPr>
          <w:rFonts w:ascii="Diodrum Arabic" w:hAnsi="Diodrum Arabic" w:cs="Diodrum Arabic"/>
          <w:b w:val="0"/>
          <w:color w:val="474956"/>
          <w:sz w:val="21"/>
        </w:rPr>
        <w:t>1) قائمة المراجع في ملفي DOCX المصدرَين (العربي والإنجليزي) مكتوبة بصياغة عربية واحدة؛ وقد حُفظت حرفياً في النسختين حفاظاً على قابلية التحقق. يُقترح قرار بشري بشأن تعريب/تدويل أسماء الناشرين في النسخة الإنجليزية في إصدار لاحق.</w:t>
      </w:r>
    </w:p>
    <w:p>
      <w:pPr>
        <w:jc w:val="right"/>
        <w:bidi w:val="1"/>
      </w:pPr>
      <w:r>
        <w:rPr>
          <w:rFonts w:ascii="Diodrum Arabic" w:hAnsi="Diodrum Arabic" w:cs="Diodrum Arabic"/>
          <w:b w:val="0"/>
          <w:color w:val="474956"/>
          <w:sz w:val="21"/>
        </w:rPr>
        <w:t>2) الرسوم والأسعار والتواريخ تخضع للتحوط القياسي المنصوص في الدراسة: تُراجع مع المزود قبل أي خطوة شرائية — وبخاصة سعر جونز هوبكنز [22] (سبق عرض نسخة أقصر بسعر أدنى)، وموعد الخصم المبكر لمدرسة لي كوان يو (30 سبتمبر 2026)، وفوج بلافاتنك الأول (29 نوفمبر 2026).</w:t>
      </w:r>
    </w:p>
    <w:p>
      <w:pPr>
        <w:jc w:val="right"/>
        <w:bidi w:val="1"/>
      </w:pPr>
      <w:r>
        <w:rPr>
          <w:rFonts w:ascii="Diodrum Arabic" w:hAnsi="Diodrum Arabic" w:cs="Diodrum Arabic"/>
          <w:b w:val="0"/>
          <w:color w:val="474956"/>
          <w:sz w:val="21"/>
        </w:rPr>
        <w:t>3) المصدران الداخليان [1] و[11] بلا رابط عام بطبيعتهما (مدخلات تكليف وإفادة داخلية)؛ أُبقيا كما هما.</w:t>
      </w:r>
    </w:p>
    <w:p>
      <w:pPr>
        <w:jc w:val="right"/>
        <w:bidi w:val="1"/>
      </w:pPr>
      <w:r>
        <w:rPr>
          <w:rFonts w:ascii="Diodrum Arabic" w:hAnsi="Diodrum Arabic" w:cs="Diodrum Arabic"/>
          <w:b w:val="0"/>
          <w:color w:val="474956"/>
          <w:sz w:val="21"/>
        </w:rPr>
        <w:t>4) خطوط Diodrum Arabic غير مضمّنة داخل ملفي PPTX (سلوك PowerPoint الافتراضي)؛ يلزم توافر الخطوط على أجهزة العرض داخل الهيئة — وهي خطوط الهوية المعتمدة نفسها. ملفات PDF مضمّنة الخطوط بالكامل وجاهزة للمشاركة والطباعة دون أي متطلب.</w:t>
      </w:r>
    </w:p>
    <w:p>
      <w:pPr>
        <w:jc w:val="right"/>
        <w:bidi w:val="1"/>
      </w:pPr>
      <w:r>
        <w:rPr>
          <w:rFonts w:ascii="Diodrum Arabic" w:hAnsi="Diodrum Arabic" w:cs="Diodrum Arabic"/>
          <w:b w:val="0"/>
          <w:color w:val="474956"/>
          <w:sz w:val="21"/>
        </w:rPr>
        <w:t>5) روابط المراجع فُحصت آلياً من جهة البنية (132 رابطاً نشطاً في كل PDF)؛ ولم يُعد التحقق من صلاحية المحتوى عند كل رابط ضمن هذا الإخراج، اعتماداً على فحص المصدر بتاريخ 21 أغسطس 2026 المدون في كل مرجع.</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