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PhysicianLabs</w:t>
      </w:r>
      <w:r>
        <w:rPr>
          <w:rFonts w:ascii="Arial" w:cs="Arial" w:eastAsia="Arial" w:hAnsi="Arial"/>
          <w:color w:val="A8C4E0"/>
          <w:sz w:val="22"/>
          <w:szCs w:val="22"/>
        </w:rPr>
        <w:t xml:space="preserve">  |  Pre-Launch Advisory for Independent Physicians</w:t>
      </w:r>
    </w:p>
    <w:p>
      <w:pPr>
        <w:shd w:fill="1F3864" w:val="clear"/>
        <w:spacing w:after="80" w:before="0"/>
      </w:pPr>
      <w:r>
        <w:rPr>
          <w:rFonts w:ascii="Arial" w:cs="Arial" w:eastAsia="Arial" w:hAnsi="Arial"/>
          <w:i/>
          <w:iCs/>
          <w:color w:val="C5D8ED"/>
          <w:sz w:val="17"/>
          <w:szCs w:val="17"/>
        </w:rPr>
        <w:t xml:space="preserve">The first fixed-curriculum, fixed-price program for physicians going independent.   |   ash.malleck@gmail.com   |   May 2026</w:t>
      </w:r>
    </w:p>
    <w:p>
      <w:pPr>
        <w:pBdr>
          <w:bottom w:val="single" w:color="2E75B6" w:sz="18" w:space="1"/>
        </w:pBdr>
        <w:spacing w:after="60" w:before="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200"/>
        <w:gridCol w:w="200"/>
        <w:gridCol w:w="5400"/>
      </w:tblGrid>
      <w:tr>
        <w:tc>
          <w:tcPr>
            <w:tcW w:type="dxa" w:w="5200"/>
            <w:tcBorders>
              <w:top w:val="none"/>
              <w:left w:val="none"/>
              <w:bottom w:val="none"/>
              <w:right w:val="single" w:color="CBD5E1" w:sz="4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7"/>
                <w:szCs w:val="17"/>
              </w:rPr>
              <w:t xml:space="preserve">THE PROBLEM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 physician in Washington State incorporated her physical therapy practice at the wrong time. That one decision cost her </w:t>
            </w: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$280,000 over five years.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Her accountant found it 18 months after she opened. It was completely preventable.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The pre-launch window is the most financially dangerous period of a physician's career. Three preventable mistakes: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Incorporation timing: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wrong entity structure or timing costs $200,000 to $400,000 in unnecessary taxes over five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Credentialing sequence: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a 90-day payer enrollment delay costs $100,000 to $450,000 in lost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Working capital: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92% of new clinics hit a cash crisis at months two to four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Physicians with an external advisor launch successfully at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84% vs. 42%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without one. (MGMA 2023)</w:t>
            </w:r>
          </w:p>
          <w:p>
            <w:pPr>
              <w:pBdr>
                <w:bottom w:val="single" w:color="CBD5E1" w:sz="4" w:space="1"/>
              </w:pBdr>
              <w:spacing w:after="60" w:before="60"/>
            </w:pP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7"/>
                <w:szCs w:val="17"/>
              </w:rPr>
              <w:t xml:space="preserve">THE SOLUTION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PhysicianLabs 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is the first fixed-curriculum, fixed-price pre-launch advisory program for independent physicians. The same guidance consulting firms charge $30,000 to $60,000 for, at 3 to 60 times lower cost.</w:t>
            </w:r>
          </w:p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0"/>
              <w:gridCol w:w="1700"/>
            </w:tblGrid>
            <w:tr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7"/>
                      <w:szCs w:val="17"/>
                    </w:rPr>
                    <w:t xml:space="preserve">Launch Kit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5"/>
                      <w:szCs w:val="15"/>
                    </w:rPr>
                    <w:t xml:space="preserve">50-step self-serve toolkit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7"/>
                      <w:szCs w:val="17"/>
                    </w:rPr>
                    <w:t xml:space="preserve">$500 one-time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2F7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7"/>
                      <w:szCs w:val="17"/>
                    </w:rPr>
                    <w:t xml:space="preserve">Launch Program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5"/>
                      <w:szCs w:val="15"/>
                    </w:rPr>
                    <w:t xml:space="preserve">12-week founder-guided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7"/>
                      <w:szCs w:val="17"/>
                    </w:rPr>
                    <w:t xml:space="preserve">$2,500 + $200/mo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7"/>
                      <w:szCs w:val="17"/>
                    </w:rPr>
                    <w:t xml:space="preserve">Full Launch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5"/>
                      <w:szCs w:val="15"/>
                    </w:rPr>
                    <w:t xml:space="preserve">White-glove done-for-you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17"/>
                      <w:szCs w:val="17"/>
                    </w:rPr>
                    <w:t xml:space="preserve">$10,000 + $200/mo</w:t>
                  </w:r>
                </w:p>
              </w:tc>
            </w:tr>
          </w:tbl>
          <w:p>
            <w:pPr>
              <w:pBdr>
                <w:bottom w:val="single" w:color="CBD5E1" w:sz="4" w:space="1"/>
              </w:pBdr>
              <w:spacing w:after="60" w:before="60"/>
            </w:pP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7"/>
                <w:szCs w:val="17"/>
              </w:rPr>
              <w:t xml:space="preserve">COMPETITIVE POSITION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Unproductized consulting competitors (Physicians Thrive, TruMediq, Independent Practice Partners) charge $30,000 to $60,000 for ad-hoc engagements. All major SaaS platforms (Tebra, athenahealth, SimplePractice) begin after the practice is already running.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PhysicianLabs is the first productized competitor: </w:t>
            </w: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fixed curriculum, fixed price, structured 12-week delivery. The TurboTax moment for physician practice formation. A large incumbent can copy the checklist. They cannot copy the specialist referral network built relationship by relationship through each engagement.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7"/>
                <w:szCs w:val="17"/>
              </w:rPr>
              <w:t xml:space="preserve">MARKET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5,000 to 10,000 new independent physician practice formations per year in the US, each spending $30,000 to $60,000 on unproductized startup consulting.</w:t>
            </w:r>
          </w:p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66"/>
              <w:gridCol w:w="1767"/>
              <w:gridCol w:w="1767"/>
            </w:tblGrid>
            <w:tr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8F0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$23M–$46M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4"/>
                      <w:szCs w:val="14"/>
                    </w:rPr>
                    <w:t xml:space="preserve">TAM (new-launch, US)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$61.34B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4"/>
                      <w:szCs w:val="14"/>
                    </w:rPr>
                    <w:t xml:space="preserve">DPC Market (10-15% CAGR)</w:t>
                  </w:r>
                </w:p>
              </w:tc>
              <w:tc>
                <w:tcPr>
                  <w:tcW w:type="dxa" w:w="3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8F0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9 new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4"/>
                      <w:szCs w:val="14"/>
                    </w:rPr>
                    <w:t xml:space="preserve">Ownership platforms (2025)</w:t>
                  </w:r>
                </w:p>
              </w:tc>
            </w:tr>
          </w:tbl>
          <w:p>
            <w:pPr>
              <w:spacing w:after="50" w:before="5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The physicians choosing independence today are doing it with conviction, not by default. Independent ownership dropped from 60.1% (2012) to 42.2% (2024) overall, but the Direct Primary Care movement is accelerating. This is a smaller, more motivated, higher-willingness-to-pay market.</w:t>
            </w:r>
          </w:p>
          <w:p>
            <w:pPr>
              <w:pBdr>
                <w:bottom w:val="single" w:color="CBD5E1" w:sz="4" w:space="1"/>
              </w:pBdr>
              <w:spacing w:after="60" w:before="60"/>
            </w:pP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7"/>
                <w:szCs w:val="17"/>
              </w:rPr>
              <w:t xml:space="preserve">BUSINESS MODEL AND UNIT ECONOMICS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Year 1: $198,000 projected (65 physicians, zero paid CAC)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Year 2: $600,000 to $760,000 (concierge + early SaaS)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Year 3: $1.8M to $2.5M (SaaS + marketplace network)</w:t>
            </w:r>
          </w:p>
          <w:p>
            <w:pPr>
              <w:spacing w:after="0" w:before="50"/>
            </w:pPr>
          </w:p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25"/>
              <w:gridCol w:w="1325"/>
              <w:gridCol w:w="1325"/>
              <w:gridCol w:w="1325"/>
            </w:tblGrid>
            <w:tr>
              <w:tc>
                <w:tcPr>
                  <w:tcW w:type="dxa" w:w="2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8F0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$4,600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4"/>
                      <w:szCs w:val="14"/>
                    </w:rPr>
                    <w:t xml:space="preserve">Blended ARPU</w:t>
                  </w:r>
                </w:p>
              </w:tc>
              <w:tc>
                <w:tcPr>
                  <w:tcW w:type="dxa" w:w="2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23.5:1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4"/>
                      <w:szCs w:val="14"/>
                    </w:rPr>
                    <w:t xml:space="preserve">LTV:CAC (Yr 1)</w:t>
                  </w:r>
                </w:p>
              </w:tc>
              <w:tc>
                <w:tcPr>
                  <w:tcW w:type="dxa" w:w="2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8F0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&gt;80%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4"/>
                      <w:szCs w:val="14"/>
                    </w:rPr>
                    <w:t xml:space="preserve">Gross Margin</w:t>
                  </w:r>
                </w:p>
              </w:tc>
              <w:tc>
                <w:tcPr>
                  <w:tcW w:type="dxa" w:w="27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18"/>
                      <w:szCs w:val="18"/>
                    </w:rPr>
                    <w:t xml:space="preserve">$200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404040"/>
                      <w:sz w:val="14"/>
                      <w:szCs w:val="14"/>
                    </w:rPr>
                    <w:t xml:space="preserve">CAC Year 1</w:t>
                  </w:r>
                </w:p>
              </w:tc>
            </w:tr>
          </w:tbl>
          <w:p>
            <w:pPr>
              <w:pBdr>
                <w:bottom w:val="single" w:color="CBD5E1" w:sz="4" w:space="1"/>
              </w:pBdr>
              <w:spacing w:after="60" w:before="60"/>
            </w:pP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7"/>
                <w:szCs w:val="17"/>
              </w:rPr>
              <w:t xml:space="preserve">FOUNDER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Five years at McKinsey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Eleven years in product management at Amazon and 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Brother is an orthopedic surgeon who has opened two independent clinic locations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17"/>
                <w:szCs w:val="17"/>
              </w:rPr>
              <w:t xml:space="preserve">The McKinsey engagement model is structurally identical to a concierge clinic launch: understand a complex client situation, apply a structured framework, deliver recommendations that change the client's financial trajectory.</w:t>
            </w:r>
          </w:p>
          <w:p>
            <w:pPr>
              <w:pBdr>
                <w:bottom w:val="single" w:color="CBD5E1" w:sz="4" w:space="1"/>
              </w:pBdr>
              <w:spacing w:after="60" w:before="60"/>
            </w:pP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aps/>
                <w:color w:val="2E75B6"/>
                <w:sz w:val="17"/>
                <w:szCs w:val="17"/>
              </w:rPr>
              <w:t xml:space="preserve">CURRENT STATUS AND ASK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No paid engagements yet. The next 30 days have one job: close the first paid Launch Program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Three warm physician referrals being requested from family network this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Financial structure module being finalized with specialist accountant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Professional indemnity insurance to be obtained before first engagement</w:t>
            </w:r>
          </w:p>
          <w:p>
            <w:pPr>
              <w:pBdr>
                <w:top w:val="single" w:color="2E75B6" w:sz="4"/>
                <w:bottom w:val="single" w:color="2E75B6" w:sz="4"/>
                <w:left w:val="single" w:color="2E75B6" w:sz="12"/>
                <w:right w:val="none"/>
              </w:pBdr>
              <w:shd w:fill="F2F7FF" w:val="clear"/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Seeking from this panel: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warm introductions to pre-launch physicians in your networks, design partner conversations, and advisory perspective on productizing a professional services concierge model at scale.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2026-05-18T16:24:24.444Z</dcterms:created>
  <dcterms:modified xsi:type="dcterms:W3CDTF">2026-05-18T16:24:24.449Z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