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Corrections Since the Previous Submission</w:t>
      </w:r>
    </w:p>
    <w:p>
      <w:pPr>
        <w:spacing w:after="160"/>
      </w:pPr>
      <w:r>
        <w:rPr>
          <w:b/>
        </w:rPr>
        <w:t>Thesis:</w:t>
      </w:r>
      <w:r>
        <w:t xml:space="preserve"> Predicting CI/CD Pipeline Build Failures Using Machine Learning Techniques </w:t>
      </w:r>
      <w:r>
        <w:rPr>
          <w:b/>
        </w:rPr>
        <w:t>Student:</w:t>
      </w:r>
      <w:r>
        <w:t xml:space="preserve"> Moamen Mohamed Aly Hussein (ID: 202401681) </w:t>
      </w:r>
      <w:r>
        <w:rPr>
          <w:b/>
        </w:rPr>
        <w:t>Prepared:</w:t>
      </w:r>
      <w:r>
        <w:t xml:space="preserve"> 2026-09-05</w:t>
      </w:r>
    </w:p>
    <w:p>
      <w:pPr>
        <w:spacing w:after="160"/>
      </w:pPr>
      <w:r>
        <w:t>This note records what changed between the previously submitted version of this thesis and the current one, and why. It is provided so that the committee can see the difference stated plainly rather than discover it.</w:t>
      </w:r>
    </w:p>
    <w:p>
      <w:pPr>
        <w:pStyle w:val="Heading2"/>
      </w:pPr>
      <w:r>
        <w:t>Summary</w:t>
      </w:r>
    </w:p>
    <w:p>
      <w:pPr>
        <w:spacing w:after="160"/>
      </w:pPr>
      <w:r>
        <w:t>An internal review of the evaluation protocol identified two defects that inflated the reported performance. Both have been corrected, the affected numbers have been regenerated throughout, and the magnitude of each defect has been measured and is now reported in the thesis as Section 7.4.5.</w:t>
      </w:r>
    </w:p>
    <w:p>
      <w:pPr>
        <w:spacing w:after="160"/>
      </w:pPr>
      <w:r>
        <w:t xml:space="preserve">The headline failure-class F1 falls from </w:t>
      </w:r>
      <w:r>
        <w:rPr>
          <w:b/>
        </w:rPr>
        <w:t>0.5924</w:t>
      </w:r>
      <w:r>
        <w:t xml:space="preserve"> to </w:t>
      </w:r>
      <w:r>
        <w:rPr>
          <w:b/>
        </w:rPr>
        <w:t>0.4216</w:t>
      </w:r>
      <w:r>
        <w:t>. The model, its hyperparameters, the dataset and the random seed are unchanged. What changed is the method of measurement.</w:t>
      </w:r>
    </w:p>
    <w:p>
      <w:pPr>
        <w:pStyle w:val="Heading2"/>
      </w:pPr>
      <w:r>
        <w:t>Defect 1 — Duplicate commits shared across the split</w:t>
      </w:r>
    </w:p>
    <w:p>
      <w:pPr>
        <w:spacing w:after="160"/>
      </w:pPr>
      <w:r>
        <w:t xml:space="preserve">Each row of the dataset is one workflow run, but every feature the model uses describes a </w:t>
      </w:r>
      <w:r>
        <w:rPr>
          <w:i/>
        </w:rPr>
        <w:t>commit</w:t>
      </w:r>
      <w:r>
        <w:t>. The dataset contains 9,772 runs drawn from only 2,835 distinct commits, an average of 3.45 runs per commit and a maximum of 179.</w:t>
      </w:r>
    </w:p>
    <w:p>
      <w:pPr>
        <w:spacing w:after="160"/>
      </w:pPr>
      <w:r>
        <w:t xml:space="preserve">The original evaluation split rows at random, which placed near-identical observations of the same commit on both sides of the partition. Measured on that split, </w:t>
      </w:r>
      <w:r>
        <w:rPr>
          <w:b/>
        </w:rPr>
        <w:t>1,726 of the 1,955 test rows (88.3 per cent) shared a commit with the training set.</w:t>
      </w:r>
      <w:r>
        <w:t xml:space="preserve"> The model was therefore rewarded partly for recognising commits it had already been shown.</w:t>
      </w:r>
    </w:p>
    <w:p>
      <w:pPr>
        <w:spacing w:after="160"/>
      </w:pPr>
      <w:r>
        <w:rPr>
          <w:b/>
        </w:rPr>
        <w:t>Correction.</w:t>
      </w:r>
      <w:r>
        <w:t xml:space="preserve"> Every partition is now produced by a splitter that assigns all runs of a given commit to exactly one side. The absence of any shared commit is verified programmatically and recorded in </w:t>
      </w:r>
      <w:r>
        <w:rPr>
          <w:rFonts w:ascii="Courier New" w:hAnsi="Courier New"/>
          <w:sz w:val="19"/>
        </w:rPr>
        <w:t>results/split_integrity.json</w:t>
      </w:r>
      <w:r>
        <w:t>.</w:t>
      </w:r>
    </w:p>
    <w:p>
      <w:pPr>
        <w:spacing w:after="160"/>
      </w:pPr>
      <w:r>
        <w:rPr>
          <w:b/>
        </w:rPr>
        <w:t>Cost of the defect: 0.060 of failure-class F1.</w:t>
      </w:r>
    </w:p>
    <w:p>
      <w:pPr>
        <w:pStyle w:val="Heading2"/>
      </w:pPr>
      <w:r>
        <w:t>Defect 2 — Decision threshold selected on the test set</w:t>
      </w:r>
    </w:p>
    <w:p>
      <w:pPr>
        <w:spacing w:after="160"/>
      </w:pPr>
      <w:r>
        <w:t>The original evaluation chose the decision threshold by maximising failure-class F1 over the test set, and then reported the resulting F1 as the performance of the model on that same test set. A quantity selected to maximise a value cannot also serve as an unbiased estimate of that value.</w:t>
      </w:r>
    </w:p>
    <w:p>
      <w:pPr>
        <w:spacing w:after="160"/>
      </w:pPr>
      <w:r>
        <w:rPr>
          <w:b/>
        </w:rPr>
        <w:t>Correction.</w:t>
      </w:r>
      <w:r>
        <w:t xml:space="preserve"> The threshold is now selected on a validation partition carved from the training data under the same grouping constraint, and applied unchanged to the test partition. The residual optimism that the original procedure would still have purchased is measured and reported in </w:t>
      </w:r>
      <w:r>
        <w:rPr>
          <w:rFonts w:ascii="Courier New" w:hAnsi="Courier New"/>
          <w:sz w:val="19"/>
        </w:rPr>
        <w:t>results/threshold_selection_gap.json</w:t>
      </w:r>
      <w:r>
        <w:t>.</w:t>
      </w:r>
    </w:p>
    <w:p>
      <w:pPr>
        <w:spacing w:after="160"/>
      </w:pPr>
      <w:r>
        <w:rPr>
          <w:b/>
        </w:rPr>
        <w:t>Cost of the defect: 0.126 of failure-class F1.</w:t>
      </w:r>
    </w:p>
    <w:p>
      <w:pPr>
        <w:spacing w:after="160"/>
      </w:pPr>
      <w:r>
        <w:t>This was the larger of the two, by a factor of approximately two. It is also the less conspicuous: the threshold sweep is a legitimate technique, and only its placement relative to the evaluation data was wrong.</w:t>
      </w:r>
    </w:p>
    <w:p>
      <w:pPr>
        <w:pStyle w:val="Heading2"/>
      </w:pPr>
      <w:r>
        <w:t>Consequential change — cross-validation replaces a single split</w:t>
      </w:r>
    </w:p>
    <w:p>
      <w:pPr>
        <w:spacing w:after="160"/>
      </w:pPr>
      <w:r>
        <w:t>Repository identity is the strongest single predictor available to the model, and no grouped splitter balances the composition of repositories across partitions. Single-partition estimates of failure-class F1 on this dataset were found to vary across a range of approximately 20 percentage points depending on which partition was drawn.</w:t>
      </w:r>
    </w:p>
    <w:p>
      <w:pPr>
        <w:spacing w:after="160"/>
      </w:pPr>
      <w:r>
        <w:t>Primary results are therefore now obtained by five-fold commit-grouped cross-validation. Each of the 9,772 runs receives exactly one prediction from a model trained without any run of that run's commit.</w:t>
      </w:r>
    </w:p>
    <w:p>
      <w:pPr>
        <w:pStyle w:val="Heading2"/>
      </w:pPr>
      <w:r>
        <w:t>Attribution</w:t>
      </w:r>
    </w:p>
    <w:p>
      <w:pPr>
        <w:spacing w:after="160"/>
      </w:pPr>
      <w:r>
        <w:t>Each correction is applied independently, with the classifier, hyperparameters and seed held constant.</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r>
              <w:rPr>
                <w:b/>
                <w:sz w:val="18"/>
              </w:rPr>
              <w:t>Step</w:t>
            </w:r>
          </w:p>
        </w:tc>
        <w:tc>
          <w:tcPr>
            <w:tcW w:type="dxa" w:w="2340"/>
          </w:tcPr>
          <w:p>
            <w:r>
              <w:rPr>
                <w:b/>
                <w:sz w:val="18"/>
              </w:rPr>
            </w:r>
            <w:r>
              <w:rPr>
                <w:b/>
                <w:sz w:val="18"/>
              </w:rPr>
              <w:t>Evaluation protocol</w:t>
            </w:r>
          </w:p>
        </w:tc>
        <w:tc>
          <w:tcPr>
            <w:tcW w:type="dxa" w:w="2340"/>
          </w:tcPr>
          <w:p>
            <w:r>
              <w:rPr>
                <w:b/>
                <w:sz w:val="18"/>
              </w:rPr>
            </w:r>
            <w:r>
              <w:rPr>
                <w:b/>
                <w:sz w:val="18"/>
              </w:rPr>
              <w:t>Failure F1</w:t>
            </w:r>
          </w:p>
        </w:tc>
        <w:tc>
          <w:tcPr>
            <w:tcW w:type="dxa" w:w="2340"/>
          </w:tcPr>
          <w:p>
            <w:r>
              <w:rPr>
                <w:b/>
                <w:sz w:val="18"/>
              </w:rPr>
            </w:r>
            <w:r>
              <w:rPr>
                <w:b/>
                <w:sz w:val="18"/>
              </w:rPr>
              <w:t>Change</w:t>
            </w:r>
          </w:p>
        </w:tc>
      </w:tr>
      <w:tr>
        <w:tc>
          <w:tcPr>
            <w:tcW w:type="dxa" w:w="2340"/>
          </w:tcPr>
          <w:p>
            <w:r>
              <w:rPr>
                <w:sz w:val="18"/>
              </w:rPr>
            </w:r>
            <w:r>
              <w:rPr>
                <w:sz w:val="18"/>
              </w:rPr>
              <w:t>A</w:t>
            </w:r>
          </w:p>
        </w:tc>
        <w:tc>
          <w:tcPr>
            <w:tcW w:type="dxa" w:w="2340"/>
          </w:tcPr>
          <w:p>
            <w:r>
              <w:rPr>
                <w:sz w:val="18"/>
              </w:rPr>
            </w:r>
            <w:r>
              <w:rPr>
                <w:sz w:val="18"/>
              </w:rPr>
              <w:t>Row-level stratified split, threshold selected on the test set</w:t>
            </w:r>
          </w:p>
        </w:tc>
        <w:tc>
          <w:tcPr>
            <w:tcW w:type="dxa" w:w="2340"/>
          </w:tcPr>
          <w:p>
            <w:r>
              <w:rPr>
                <w:sz w:val="18"/>
              </w:rPr>
            </w:r>
            <w:r>
              <w:rPr>
                <w:sz w:val="18"/>
              </w:rPr>
              <w:t>0.5924</w:t>
            </w:r>
          </w:p>
        </w:tc>
        <w:tc>
          <w:tcPr>
            <w:tcW w:type="dxa" w:w="2340"/>
          </w:tcPr>
          <w:p>
            <w:r>
              <w:rPr>
                <w:sz w:val="18"/>
              </w:rPr>
            </w:r>
            <w:r>
              <w:rPr>
                <w:sz w:val="18"/>
              </w:rPr>
              <w:t>—</w:t>
            </w:r>
          </w:p>
        </w:tc>
      </w:tr>
      <w:tr>
        <w:tc>
          <w:tcPr>
            <w:tcW w:type="dxa" w:w="2340"/>
          </w:tcPr>
          <w:p>
            <w:r>
              <w:rPr>
                <w:sz w:val="18"/>
              </w:rPr>
            </w:r>
            <w:r>
              <w:rPr>
                <w:sz w:val="18"/>
              </w:rPr>
              <w:t>B</w:t>
            </w:r>
          </w:p>
        </w:tc>
        <w:tc>
          <w:tcPr>
            <w:tcW w:type="dxa" w:w="2340"/>
          </w:tcPr>
          <w:p>
            <w:r>
              <w:rPr>
                <w:sz w:val="18"/>
              </w:rPr>
            </w:r>
            <w:r>
              <w:rPr>
                <w:sz w:val="18"/>
              </w:rPr>
              <w:t>Commit-grouped split, threshold still selected on the test set</w:t>
            </w:r>
          </w:p>
        </w:tc>
        <w:tc>
          <w:tcPr>
            <w:tcW w:type="dxa" w:w="2340"/>
          </w:tcPr>
          <w:p>
            <w:r>
              <w:rPr>
                <w:sz w:val="18"/>
              </w:rPr>
            </w:r>
            <w:r>
              <w:rPr>
                <w:sz w:val="18"/>
              </w:rPr>
              <w:t>0.5326</w:t>
            </w:r>
          </w:p>
        </w:tc>
        <w:tc>
          <w:tcPr>
            <w:tcW w:type="dxa" w:w="2340"/>
          </w:tcPr>
          <w:p>
            <w:r>
              <w:rPr>
                <w:sz w:val="18"/>
              </w:rPr>
            </w:r>
            <w:r>
              <w:rPr>
                <w:sz w:val="18"/>
              </w:rPr>
              <w:t>−0.060</w:t>
            </w:r>
          </w:p>
        </w:tc>
      </w:tr>
      <w:tr>
        <w:tc>
          <w:tcPr>
            <w:tcW w:type="dxa" w:w="2340"/>
          </w:tcPr>
          <w:p>
            <w:r>
              <w:rPr>
                <w:sz w:val="18"/>
              </w:rPr>
            </w:r>
            <w:r>
              <w:rPr>
                <w:sz w:val="18"/>
              </w:rPr>
              <w:t>C</w:t>
            </w:r>
          </w:p>
        </w:tc>
        <w:tc>
          <w:tcPr>
            <w:tcW w:type="dxa" w:w="2340"/>
          </w:tcPr>
          <w:p>
            <w:r>
              <w:rPr>
                <w:sz w:val="18"/>
              </w:rPr>
            </w:r>
            <w:r>
              <w:rPr>
                <w:sz w:val="18"/>
              </w:rPr>
              <w:t>Commit-grouped split, threshold selected on a validation partition</w:t>
            </w:r>
          </w:p>
        </w:tc>
        <w:tc>
          <w:tcPr>
            <w:tcW w:type="dxa" w:w="2340"/>
          </w:tcPr>
          <w:p>
            <w:r>
              <w:rPr>
                <w:sz w:val="18"/>
              </w:rPr>
            </w:r>
            <w:r>
              <w:rPr>
                <w:sz w:val="18"/>
              </w:rPr>
              <w:t>0.4065</w:t>
            </w:r>
          </w:p>
        </w:tc>
        <w:tc>
          <w:tcPr>
            <w:tcW w:type="dxa" w:w="2340"/>
          </w:tcPr>
          <w:p>
            <w:r>
              <w:rPr>
                <w:sz w:val="18"/>
              </w:rPr>
            </w:r>
            <w:r>
              <w:rPr>
                <w:sz w:val="18"/>
              </w:rPr>
              <w:t>−0.126</w:t>
            </w:r>
          </w:p>
        </w:tc>
      </w:tr>
      <w:tr>
        <w:tc>
          <w:tcPr>
            <w:tcW w:type="dxa" w:w="2340"/>
          </w:tcPr>
          <w:p>
            <w:r>
              <w:rPr>
                <w:sz w:val="18"/>
              </w:rPr>
            </w:r>
            <w:r>
              <w:rPr>
                <w:sz w:val="18"/>
              </w:rPr>
              <w:t>D</w:t>
            </w:r>
          </w:p>
        </w:tc>
        <w:tc>
          <w:tcPr>
            <w:tcW w:type="dxa" w:w="2340"/>
          </w:tcPr>
          <w:p>
            <w:r>
              <w:rPr>
                <w:sz w:val="18"/>
              </w:rPr>
            </w:r>
            <w:r>
              <w:rPr>
                <w:sz w:val="18"/>
              </w:rPr>
              <w:t>Commit-grouped five-fold cross-validation</w:t>
            </w:r>
          </w:p>
        </w:tc>
        <w:tc>
          <w:tcPr>
            <w:tcW w:type="dxa" w:w="2340"/>
          </w:tcPr>
          <w:p>
            <w:r>
              <w:rPr>
                <w:sz w:val="18"/>
              </w:rPr>
            </w:r>
            <w:r>
              <w:rPr>
                <w:sz w:val="18"/>
              </w:rPr>
              <w:t>0.4216</w:t>
            </w:r>
          </w:p>
        </w:tc>
        <w:tc>
          <w:tcPr>
            <w:tcW w:type="dxa" w:w="2340"/>
          </w:tcPr>
          <w:p>
            <w:r>
              <w:rPr>
                <w:sz w:val="18"/>
              </w:rPr>
            </w:r>
            <w:r>
              <w:rPr>
                <w:sz w:val="18"/>
              </w:rPr>
              <w:t>+0.015</w:t>
            </w:r>
          </w:p>
        </w:tc>
      </w:tr>
    </w:tbl>
    <w:p>
      <w:pPr>
        <w:spacing w:after="160"/>
      </w:pPr>
      <w:r>
        <w:t xml:space="preserve">Reproducible via </w:t>
      </w:r>
      <w:r>
        <w:rPr>
          <w:rFonts w:ascii="Courier New" w:hAnsi="Courier New"/>
          <w:sz w:val="19"/>
        </w:rPr>
        <w:t>./reproduce.sh</w:t>
      </w:r>
      <w:r>
        <w:t xml:space="preserve">; recorded in </w:t>
      </w:r>
      <w:r>
        <w:rPr>
          <w:rFonts w:ascii="Courier New" w:hAnsi="Courier New"/>
          <w:sz w:val="19"/>
        </w:rPr>
        <w:t>results/metric_attribution_ladder.json</w:t>
      </w:r>
      <w:r>
        <w:t>.</w:t>
      </w:r>
    </w:p>
    <w:p>
      <w:pPr>
        <w:pStyle w:val="Heading2"/>
      </w:pPr>
      <w:r>
        <w:t>Other corrections made at the same time</w:t>
      </w:r>
    </w:p>
    <w:p>
      <w:pPr>
        <w:spacing w:after="160"/>
      </w:pPr>
      <w:r>
        <w:rPr>
          <w:b/>
        </w:rPr>
        <w:t>The chronological evaluation was not chronological.</w:t>
      </w:r>
      <w:r>
        <w:t xml:space="preserve"> It sorted by the commit authoring date rather than the run execution date, which produced a test partition spanning approximately eleven hours in which 95.8 per cent of runs had in fact executed </w:t>
      </w:r>
      <w:r>
        <w:rPr>
          <w:i/>
        </w:rPr>
        <w:t>before</w:t>
      </w:r>
      <w:r>
        <w:t xml:space="preserve"> the last run in the training set. It is now cut per repository on execution time, and for all eighteen repositories the earliest test execution occurs no earlier than the latest training execution.</w:t>
      </w:r>
    </w:p>
    <w:p>
      <w:pPr>
        <w:spacing w:after="160"/>
      </w:pPr>
      <w:r>
        <w:rPr>
          <w:b/>
        </w:rPr>
        <w:t>The business model did not implement its own specification.</w:t>
      </w:r>
      <w:r>
        <w:t xml:space="preserve"> It assumed a 30 per cent failure rate against the 11 per cent observed, and charged nothing for false alarms, which made the estimated saving a function of recall alone — and is why the earlier version reported that the tuned model saved </w:t>
      </w:r>
      <w:r>
        <w:rPr>
          <w:i/>
        </w:rPr>
        <w:t>less</w:t>
      </w:r>
      <w:r>
        <w:t xml:space="preserve"> than the untuned one. Rebuilt against the specified cost model, the estimate falls from $382,802 to $243,670 per year, and is now reported alongside the break-even false-alarm cost at which it reaches zero.</w:t>
      </w:r>
    </w:p>
    <w:p>
      <w:pPr>
        <w:spacing w:after="160"/>
      </w:pPr>
      <w:r>
        <w:rPr>
          <w:b/>
        </w:rPr>
        <w:t>An ablation specified in the project plan had never been run.</w:t>
      </w:r>
      <w:r>
        <w:t xml:space="preserve"> The categorical-only configuration, which receives nothing but repository, workflow name, branch and trigger, outperforms the full hybrid model on every metric (F1 0.4808 against 0.4216). This refutes the project's original hypothesis more comprehensively than previously reported, and is now stated as the central empirical finding: the system is substantially a project-level risk estimator rather than a commit-level one.</w:t>
      </w:r>
    </w:p>
    <w:p>
      <w:pPr>
        <w:spacing w:after="160"/>
      </w:pPr>
      <w:r>
        <w:rPr>
          <w:b/>
        </w:rPr>
        <w:t>Two reproduction defects.</w:t>
      </w:r>
      <w:r>
        <w:t xml:space="preserve"> </w:t>
      </w:r>
      <w:r>
        <w:rPr>
          <w:rFonts w:ascii="Courier New" w:hAnsi="Courier New"/>
          <w:sz w:val="19"/>
        </w:rPr>
        <w:t>src/run_phase2.py</w:t>
      </w:r>
      <w:r>
        <w:t xml:space="preserve"> imported two symbols that do not exist and therefore could never run, and Appendix B instructed the reader to execute two scripts absent from the repository. Both are fixed, and the whole pipeline now reproduces from raw data with a single command in about three minutes.</w:t>
      </w:r>
    </w:p>
    <w:p>
      <w:pPr>
        <w:pStyle w:val="Heading2"/>
      </w:pPr>
      <w:r>
        <w:t>What did not change</w:t>
      </w:r>
    </w:p>
    <w:p>
      <w:pPr>
        <w:spacing w:after="160"/>
      </w:pPr>
      <w:r>
        <w:t>The dataset, the feature engineering, the model architecture, the hyperparameters and the random seed are all unchanged. No result improved as a consequence of these corrections. The narrative of the thesis — that structured features dominate, that the hybrid hypothesis is refuted, and that decision-rule calibration matters — is unaffected and in each case is now supported by stronger evidence.</w:t>
      </w:r>
    </w:p>
    <w:p>
      <w:pPr>
        <w:pStyle w:val="Heading2"/>
      </w:pPr>
      <w:r>
        <w:t>Position taken</w:t>
      </w:r>
    </w:p>
    <w:p>
      <w:pPr>
        <w:spacing w:after="160"/>
      </w:pPr>
      <w:r>
        <w:t>The corrected figures are lower. The author judges the disclosure to be of greater value than the figures it replaces: an evaluation protocol that cannot be defended does not become defensible by producing a larger number. Both defects are of a kind documented across the wider literature — Kapoor and Narayanan [21] find leakage of this class in 294 papers across seventeen fields — and both leave every individual step of an analysis looking correct while inflating its result.</w:t>
      </w:r>
    </w:p>
    <w:sectPr w:rsidR="00D15E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CB9D" w14:textId="77777777" w:rsidR="004A7CA7" w:rsidRDefault="004A7CA7">
      <w:pPr>
        <w:spacing w:after="0"/>
      </w:pPr>
      <w:r>
        <w:separator/>
      </w:r>
    </w:p>
  </w:endnote>
  <w:endnote w:type="continuationSeparator" w:id="0">
    <w:p w14:paraId="5CDF023D" w14:textId="77777777" w:rsidR="004A7CA7" w:rsidRDefault="004A7C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3C0E" w14:textId="77777777" w:rsidR="004A7CA7" w:rsidRDefault="004A7CA7">
      <w:r>
        <w:separator/>
      </w:r>
    </w:p>
  </w:footnote>
  <w:footnote w:type="continuationSeparator" w:id="0">
    <w:p w14:paraId="2F40133C" w14:textId="77777777" w:rsidR="004A7CA7" w:rsidRDefault="004A7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0AA5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0C0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79AEA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E04E9F0C"/>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027482993">
    <w:abstractNumId w:val="0"/>
  </w:num>
  <w:num w:numId="2" w16cid:durableId="587419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5054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6308">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90715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5ECD"/>
    <w:rsid w:val="00467A29"/>
    <w:rsid w:val="004A7CA7"/>
    <w:rsid w:val="00586FD7"/>
    <w:rsid w:val="00851410"/>
    <w:rsid w:val="00BB40EC"/>
    <w:rsid w:val="00D15ECD"/>
    <w:rsid w:val="00DC00E9"/>
    <w:rsid w:val="00FD0062"/>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BB9C"/>
  <w15:docId w15:val="{89E2D48C-3DAD-4E96-B881-0084FD9D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D0062"/>
    <w:pPr>
      <w:spacing w:after="100"/>
    </w:pPr>
  </w:style>
  <w:style w:type="paragraph" w:styleId="TOC2">
    <w:name w:val="toc 2"/>
    <w:basedOn w:val="Normal"/>
    <w:next w:val="Normal"/>
    <w:autoRedefine/>
    <w:uiPriority w:val="39"/>
    <w:rsid w:val="00FD0062"/>
    <w:pPr>
      <w:spacing w:after="100"/>
      <w:ind w:left="240"/>
    </w:pPr>
  </w:style>
  <w:style w:type="paragraph" w:styleId="TOC3">
    <w:name w:val="toc 3"/>
    <w:basedOn w:val="Normal"/>
    <w:next w:val="Normal"/>
    <w:autoRedefine/>
    <w:uiPriority w:val="39"/>
    <w:rsid w:val="00FD0062"/>
    <w:pPr>
      <w:spacing w:after="100"/>
      <w:ind w:left="480"/>
    </w:pPr>
  </w:style>
  <w:style w:type="paragraph" w:styleId="Header">
    <w:name w:val="header"/>
    <w:basedOn w:val="Normal"/>
    <w:link w:val="HeaderChar"/>
    <w:rsid w:val="00467A29"/>
    <w:pPr>
      <w:tabs>
        <w:tab w:val="center" w:pos="4680"/>
        <w:tab w:val="right" w:pos="9360"/>
      </w:tabs>
      <w:spacing w:after="0"/>
    </w:pPr>
  </w:style>
  <w:style w:type="character" w:customStyle="1" w:styleId="HeaderChar">
    <w:name w:val="Header Char"/>
    <w:basedOn w:val="DefaultParagraphFont"/>
    <w:link w:val="Header"/>
    <w:rsid w:val="00467A29"/>
  </w:style>
  <w:style w:type="paragraph" w:styleId="Footer">
    <w:name w:val="footer"/>
    <w:basedOn w:val="Normal"/>
    <w:link w:val="FooterChar"/>
    <w:rsid w:val="00467A29"/>
    <w:pPr>
      <w:tabs>
        <w:tab w:val="center" w:pos="4680"/>
        <w:tab w:val="right" w:pos="9360"/>
      </w:tabs>
      <w:spacing w:after="0"/>
    </w:pPr>
  </w:style>
  <w:style w:type="character" w:customStyle="1" w:styleId="FooterChar">
    <w:name w:val="Footer Char"/>
    <w:basedOn w:val="DefaultParagraphFont"/>
    <w:link w:val="Footer"/>
    <w:rsid w:val="00467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69</Pages>
  <Words>22022</Words>
  <Characters>148650</Characters>
  <Application>Microsoft Office Word</Application>
  <DocSecurity>0</DocSecurity>
  <Lines>5717</Lines>
  <Paragraphs>5171</Paragraphs>
  <ScaleCrop>false</ScaleCrop>
  <Company/>
  <LinksUpToDate>false</LinksUpToDate>
  <CharactersWithSpaces>165501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Moamen Mohamed</cp:lastModifiedBy>
  <cp:revision>5</cp:revision>
  <dcterms:created xsi:type="dcterms:W3CDTF">2026-05-30T10:30:00Z</dcterms:created>
  <dcterms:modified xsi:type="dcterms:W3CDTF">2026-06-20T15:35:00Z</dcterms:modified>
</cp:coreProperties>
</file>