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Verification note — reference [1] (Patel)</w:t>
      </w:r>
    </w:p>
    <w:p>
      <w:pPr>
        <w:spacing w:after="160"/>
      </w:pPr>
      <w:r>
        <w:rPr>
          <w:b/>
        </w:rPr>
        <w:t>Status: UNRESOLVED, and now materially weaker.</w:t>
      </w:r>
      <w:r>
        <w:t xml:space="preserve"> The author holds three reference PDFs in </w:t>
      </w:r>
      <w:r>
        <w:rPr>
          <w:rFonts w:ascii="Courier New" w:hAnsi="Courier New"/>
          <w:sz w:val="19"/>
        </w:rPr>
        <w:t>dataset/</w:t>
      </w:r>
      <w:r>
        <w:t xml:space="preserve">, and </w:t>
      </w:r>
      <w:r>
        <w:rPr>
          <w:b/>
        </w:rPr>
        <w:t>none of them is the Patel paper.</w:t>
      </w:r>
      <w:r>
        <w:t xml:space="preserve"> All three have been identified from their own title pages and added to the thesis as references [25], [26] and [27]. See the section at the end of this note.</w:t>
      </w:r>
    </w:p>
    <w:p>
      <w:pPr>
        <w:spacing w:after="160"/>
      </w:pPr>
      <w:r>
        <w:t>Chapter 3 positions this project's contribution relative to reference [1], so the citation needs to be right. It could not be confirmed from here.</w:t>
      </w:r>
    </w:p>
    <w:p>
      <w:pPr>
        <w:pStyle w:val="Heading2"/>
      </w:pPr>
      <w:r>
        <w:t>What the thesis currently cites</w:t>
      </w:r>
    </w:p>
    <w:p>
      <w:pPr>
        <w:ind w:left="576"/>
      </w:pPr>
      <w:r>
        <w:t xml:space="preserve">[1] A. Patel, "Research the Use of Machine Learning Models to Predict and Prevent Failures in CI/CD Pipelines and Infrastructure," </w:t>
      </w:r>
      <w:r>
        <w:rPr>
          <w:i/>
        </w:rPr>
        <w:t>International Journal of Engineering Research &amp; Technology</w:t>
      </w:r>
      <w:r>
        <w:t>, vol. 8, no. 11, 2019.</w:t>
      </w:r>
    </w:p>
    <w:p>
      <w:pPr>
        <w:pStyle w:val="Heading2"/>
      </w:pPr>
      <w:r>
        <w:t>What the evidence suggests instead</w:t>
      </w:r>
    </w:p>
    <w:p>
      <w:pPr>
        <w:spacing w:after="160"/>
      </w:pPr>
      <w:r>
        <w:t xml:space="preserve">A paper with </w:t>
      </w:r>
      <w:r>
        <w:rPr>
          <w:b/>
        </w:rPr>
        <w:t>exactly this title</w:t>
      </w:r>
      <w:r>
        <w:t xml:space="preserve"> does exist — it is indexed on ResearchGate (publication id 384695412). But an independent search returns different publication details:</w:t>
      </w:r>
    </w:p>
    <w:p>
      <w:pPr>
        <w:ind w:left="576"/>
      </w:pPr>
      <w:r>
        <w:t xml:space="preserve">TIJER — International Research Journal, ISSN 2349-9249, </w:t>
      </w:r>
      <w:r>
        <w:rPr>
          <w:b/>
        </w:rPr>
        <w:t>Volume 4, Issue 11, pages a8–a16, November 2017.</w:t>
      </w:r>
    </w:p>
    <w:p>
      <w:pPr>
        <w:spacing w:after="160"/>
      </w:pPr>
      <w:r>
        <w:t xml:space="preserve">The two are mutually exclusive. Note also that </w:t>
      </w:r>
      <w:r>
        <w:rPr>
          <w:b/>
        </w:rPr>
        <w:t>TIJER and IJERT are different journals with confusingly similar names</w:t>
      </w:r>
      <w:r>
        <w:t>, which is the most likely origin of the discrepancy.</w:t>
      </w:r>
    </w:p>
    <w:p>
      <w:pPr>
        <w:spacing w:after="160"/>
      </w:pPr>
      <w:r>
        <w:t>One consistency check supports the TIJER reading: TIJER's own volume numbering puts July 2019 at Volume 6, so Volume 4 corresponds to roughly 2017. The cited "vol. 8, no. 11, 2019" does not fit TIJER's sequence, though it is plausible for IJERT's own numbering.</w:t>
      </w:r>
    </w:p>
    <w:p>
      <w:pPr>
        <w:pStyle w:val="Heading2"/>
      </w:pPr>
      <w:r>
        <w:t>Why it was not resolved here</w:t>
      </w:r>
    </w:p>
    <w:p>
      <w:pPr>
        <w:spacing w:after="160"/>
      </w:pPr>
      <w:r>
        <w:t xml:space="preserve">Both primary sources are unreachable from the build environment: </w:t>
      </w:r>
      <w:r>
        <w:rPr>
          <w:rFonts w:ascii="Courier New" w:hAnsi="Courier New"/>
          <w:sz w:val="19"/>
        </w:rPr>
        <w:t>researchgate.net</w:t>
      </w:r>
      <w:r>
        <w:t xml:space="preserve"> and </w:t>
      </w:r>
      <w:r>
        <w:rPr>
          <w:rFonts w:ascii="Courier New" w:hAnsi="Courier New"/>
          <w:sz w:val="19"/>
        </w:rPr>
        <w:t>tijer.org</w:t>
      </w:r>
      <w:r>
        <w:t xml:space="preserve"> are blocked by the network egress proxy. The TIJER attribution rests on a single search-engine summary and is </w:t>
      </w:r>
      <w:r>
        <w:rPr>
          <w:b/>
        </w:rPr>
        <w:t>not corroborated by a primary source</w:t>
      </w:r>
      <w:r>
        <w:t>, so the citation was deliberately left unchanged rather than replaced with a value that might also be wrong.</w:t>
      </w:r>
    </w:p>
    <w:p>
      <w:pPr>
        <w:pStyle w:val="Heading2"/>
      </w:pPr>
      <w:r>
        <w:t>What to check on the source PDF (two minutes)</w:t>
      </w:r>
    </w:p>
    <w:p>
      <w:pPr>
        <w:spacing w:after="160"/>
      </w:pPr>
      <w:r>
        <w:t>Open the PDF and read the header or footer of the first page. Papers in both journals print the journal name, ISSN, volume, issue and month there. Confirm:</w:t>
      </w:r>
    </w:p>
    <w:p>
      <w:pPr>
        <w:ind w:left="504"/>
      </w:pPr>
      <w:r>
        <w:t xml:space="preserve">Journal name — </w:t>
      </w:r>
      <w:r>
        <w:rPr>
          <w:b/>
        </w:rPr>
        <w:t>TIJER</w:t>
      </w:r>
      <w:r>
        <w:t xml:space="preserve"> or </w:t>
      </w:r>
      <w:r>
        <w:rPr>
          <w:b/>
        </w:rPr>
        <w:t>IJERT</w:t>
      </w:r>
      <w:r>
        <w:t>?</w:t>
      </w:r>
    </w:p>
    <w:p>
      <w:pPr>
        <w:ind w:left="504"/>
      </w:pPr>
      <w:r>
        <w:rPr>
          <w:b/>
        </w:rPr>
        <w:t>ISSN</w:t>
      </w:r>
      <w:r>
        <w:t xml:space="preserve"> — TIJER is 2349-9249</w:t>
      </w:r>
    </w:p>
    <w:p>
      <w:pPr>
        <w:ind w:left="504"/>
      </w:pPr>
      <w:r>
        <w:t>Volume and issue</w:t>
      </w:r>
    </w:p>
    <w:p>
      <w:pPr>
        <w:ind w:left="504"/>
      </w:pPr>
      <w:r>
        <w:t>Month and year</w:t>
      </w:r>
    </w:p>
    <w:p>
      <w:pPr>
        <w:ind w:left="504"/>
      </w:pPr>
      <w:r>
        <w:t>The author's full name and initial</w:t>
      </w:r>
    </w:p>
    <w:p>
      <w:pPr>
        <w:spacing w:after="160"/>
      </w:pPr>
      <w:r>
        <w:t xml:space="preserve">Then correct the entry in </w:t>
      </w:r>
      <w:r>
        <w:rPr>
          <w:rFonts w:ascii="Courier New" w:hAnsi="Courier New"/>
          <w:sz w:val="19"/>
        </w:rPr>
        <w:t>4_Thesis_Source_Markdown.md</w:t>
      </w:r>
      <w:r>
        <w:t xml:space="preserve"> (the References section at the end) and regenerate the derived documents:</w:t>
      </w:r>
    </w:p>
    <w:p>
      <w:pPr>
        <w:spacing w:after="160"/>
      </w:pPr>
      <w:r>
        <w:t>``</w:t>
      </w:r>
      <w:r>
        <w:rPr>
          <w:rFonts w:ascii="Courier New" w:hAnsi="Courier New"/>
          <w:sz w:val="19"/>
        </w:rPr>
        <w:t xml:space="preserve">bash cd &lt;repo root&gt; cicd-failure-prediction/.venv/bin/python tools/md2docx.py \ final-version-doc/files/4_Thesis_Source_Markdown.md \ final-version-doc/files/1_MSc_Thesis_FINAL.docx \ final-version-doc/files/1_MSc_Thesis_FINAL.docx cicd-failure-prediction/.venv/bin/python tools/md2pdf.py </w:t>
      </w:r>
      <w:r>
        <w:t>``</w:t>
      </w:r>
    </w:p>
    <w:p>
      <w:pPr>
        <w:pStyle w:val="Heading2"/>
      </w:pPr>
      <w:r>
        <w:t>If the paper turns out to be weak or unverifiable</w:t>
      </w:r>
    </w:p>
    <w:p>
      <w:pPr>
        <w:spacing w:after="160"/>
      </w:pPr>
      <w:r>
        <w:t xml:space="preserve">The argument of Chapter 3 does not depend on it alone. Reference </w:t>
      </w:r>
      <w:r>
        <w:rPr>
          <w:b/>
        </w:rPr>
        <w:t>[24] Hassan and Zhang, ASE 2006</w:t>
      </w:r>
      <w:r>
        <w:t xml:space="preserve"> — verified against IEEE Xplore — is cited as the origin of build-outcome prediction, and it carries the same point: that the value of a prediction lies in its availability before the expensive process completes. If [1] proves unciteable, Chapter 3 can lean on [24] with only local edits.</w:t>
      </w:r>
    </w:p>
    <w:p>
      <w:pPr>
        <w:spacing w:after="160"/>
      </w:pPr>
      <w:r>
        <w:t xml:space="preserve">If asked in the defence and unsure, the safe answer is factual: </w:t>
      </w:r>
      <w:r>
        <w:rPr>
          <w:i/>
        </w:rPr>
        <w:t>"That citation is to a paper I have read; I would want to double-check the exact volume and issue before quoting them, because two journals with similar names publish in this area."</w:t>
      </w:r>
      <w:r>
        <w:t xml:space="preserve"> Do not guess a volume number aloud.</w:t>
      </w:r>
    </w:p>
    <w:p>
      <w:pPr>
        <w:pStyle w:val="Heading1"/>
      </w:pPr>
      <w:r>
        <w:t>The three reference PDFs the author actually holds</w:t>
      </w:r>
    </w:p>
    <w:p>
      <w:pPr>
        <w:spacing w:after="160"/>
      </w:pPr>
      <w:r>
        <w:t>Identified by reading each file's own title page — these details are taken from the documents, not from a search engine.</w:t>
      </w:r>
    </w:p>
    <w:p>
      <w:pPr>
        <w:pStyle w:val="Heading2"/>
      </w:pPr>
      <w:r>
        <w:rPr>
          <w:rFonts w:ascii="Courier New" w:hAnsi="Courier New"/>
          <w:sz w:val="19"/>
        </w:rPr>
        <w:t>dataset/1703.04142.pdf</w:t>
      </w:r>
      <w:r>
        <w:t xml:space="preserve"> — reference [25]</w:t>
      </w:r>
    </w:p>
    <w:p>
      <w:pPr>
        <w:ind w:left="576"/>
      </w:pPr>
      <w:r>
        <w:t xml:space="preserve">L. Madeyski and M. Kawalerowicz, "Continuous Defect Prediction: The Idea and a Related Dataset," in </w:t>
      </w:r>
      <w:r>
        <w:rPr>
          <w:i/>
        </w:rPr>
        <w:t>Proceedings of the 14th International Conference on Mining Software Repositories</w:t>
      </w:r>
      <w:r>
        <w:t>, Buenos Aires, Argentina, 2017, pp. 515–518. doi: 10.1109/MSR.2017.46.</w:t>
      </w:r>
    </w:p>
    <w:p>
      <w:pPr>
        <w:spacing w:after="160"/>
      </w:pPr>
      <w:r>
        <w:t>Peer-reviewed, MSR 2017. The DOI and page range are printed on the paper's first page. A file-level dataset of 11 million records across 1,265 projects, built on TravisTorrent. Cited in Section 3.1 for establishing the feasibility of joining continuous-integration outcomes to repository-mined process metrics at scale.</w:t>
      </w:r>
    </w:p>
    <w:p>
      <w:pPr>
        <w:pStyle w:val="Heading2"/>
      </w:pPr>
      <w:r>
        <w:rPr>
          <w:rFonts w:ascii="Courier New" w:hAnsi="Courier New"/>
          <w:sz w:val="19"/>
        </w:rPr>
        <w:t>dataset/frai-9-1776546.pdf</w:t>
      </w:r>
      <w:r>
        <w:t xml:space="preserve"> — reference [26]</w:t>
      </w:r>
    </w:p>
    <w:p>
      <w:pPr>
        <w:ind w:left="576"/>
      </w:pPr>
      <w:r>
        <w:t xml:space="preserve">R. Dhawan and M. Dhawan, "AI-Augmented Reliability in CI/CD: A Framework for Predictive, Adaptive, and Self-Correcting Pipelines," </w:t>
      </w:r>
      <w:r>
        <w:rPr>
          <w:i/>
        </w:rPr>
        <w:t>Frontiers in Artificial Intelligence</w:t>
      </w:r>
      <w:r>
        <w:t>, vol. 9, art. 1776546, 2026. doi: 10.3389/frai.2026.1776546.</w:t>
      </w:r>
    </w:p>
    <w:p>
      <w:pPr>
        <w:spacing w:after="160"/>
      </w:pPr>
      <w:r>
        <w:t>Peer-reviewed, open access (CC BY), published 01 April 2026. Type: Hypothesis and Theory. Cited in Section 3.1 as complementary framing — a predictor of the kind this thesis builds is the input such a framework consumes.</w:t>
      </w:r>
    </w:p>
    <w:p>
      <w:pPr>
        <w:pStyle w:val="Heading2"/>
      </w:pPr>
      <w:r>
        <w:rPr>
          <w:rFonts w:ascii="Courier New" w:hAnsi="Courier New"/>
          <w:sz w:val="19"/>
        </w:rPr>
        <w:t>dataset/osh-1.pdf</w:t>
      </w:r>
      <w:r>
        <w:t xml:space="preserve"> — reference [27]</w:t>
      </w:r>
    </w:p>
    <w:p>
      <w:pPr>
        <w:ind w:left="576"/>
      </w:pPr>
      <w:r>
        <w:t>R. Sharma, E. Petrova, and J. O. Connolly, "Machine Learning-Based Failure Prediction in Continuous Integration and Deployment Workflows," unpublished manuscript, Nov. 12, 2025. [Online]. Available: https://www.researchgate.net/publication/401540054 (accessed Sep. 7, 2026).</w:t>
      </w:r>
    </w:p>
    <w:p>
      <w:pPr>
        <w:spacing w:after="160"/>
      </w:pPr>
      <w:r>
        <w:rPr>
          <w:b/>
        </w:rPr>
        <w:t>Resolved as far as it can be.</w:t>
      </w:r>
      <w:r>
        <w:t xml:space="preserve"> The author supplied the ResearchGate URL, and the file he supplied is byte-identical to the copy in </w:t>
      </w:r>
      <w:r>
        <w:rPr>
          <w:rFonts w:ascii="Courier New" w:hAnsi="Courier New"/>
          <w:sz w:val="19"/>
        </w:rPr>
        <w:t>dataset/</w:t>
      </w:r>
      <w:r>
        <w:t xml:space="preserve"> (matching MD5). The paper is self-archived: no journal, conference, volume, ISSN or DOI appears anywhere in its thirteen pages, and none is discoverable. The citation above is the correct IEEE form for a self-archived manuscript — authors, title, "unpublished manuscript", date, and the online location with an access date.</w:t>
      </w:r>
    </w:p>
    <w:p>
      <w:pPr>
        <w:spacing w:after="160"/>
      </w:pPr>
      <w:r>
        <w:rPr>
          <w:b/>
        </w:rPr>
        <w:t>One item for the author to check on the ResearchGate page</w:t>
      </w:r>
      <w:r>
        <w:t xml:space="preserve">, which is reachable from a normal browser but blocked from this build environment: a search index lists the record with a </w:t>
      </w:r>
      <w:r>
        <w:rPr>
          <w:b/>
        </w:rPr>
        <w:t>fourth author, "Uthman Usman"</w:t>
      </w:r>
      <w:r>
        <w:t>, which does not appear anywhere in the PDF — the title page names three. Open the page and compare. If the record does list four authors, add the fourth to reference [27]; if it lists three, the entry is already correct. Do not add a name on the strength of a search summary alone.</w:t>
      </w:r>
    </w:p>
    <w:p>
      <w:pPr>
        <w:spacing w:after="160"/>
      </w:pPr>
      <w:r>
        <w:rPr>
          <w:b/>
        </w:rPr>
        <w:t>This is the most useful of the three, and it needs one caution.</w:t>
      </w:r>
    </w:p>
    <w:p>
      <w:pPr>
        <w:spacing w:after="160"/>
      </w:pPr>
      <w:r>
        <w:t xml:space="preserve">Useful, because it is the most directly comparable recent work: XGBoost, Random Forest and SVM on 116,000 workflows from 25,000 projects, reporting failure-class F1 = 0.88 at 89.7 per cent accuracy. Its SHAP analysis names </w:t>
      </w:r>
      <w:r>
        <w:rPr>
          <w:b/>
        </w:rPr>
        <w:t>build duration</w:t>
      </w:r>
      <w:r>
        <w:t xml:space="preserve"> as the single most influential predictor. Build duration is not known until the build has finished, so their result is an upper bound on what is achievable </w:t>
      </w:r>
      <w:r>
        <w:rPr>
          <w:i/>
        </w:rPr>
        <w:t>with</w:t>
      </w:r>
      <w:r>
        <w:t xml:space="preserve"> post-execution telemetry — which is exactly the boundary this thesis declines to cross. It converts the gap between 0.88 and 0.4216 from an embarrassment into the measured cost of the constraint. Section 3.1 now makes that argument explicitly.</w:t>
      </w:r>
    </w:p>
    <w:p>
      <w:pPr>
        <w:spacing w:after="160"/>
      </w:pPr>
      <w:r>
        <w:rPr>
          <w:b/>
        </w:rPr>
        <w:t>The caution (unchanged by the URL):</w:t>
      </w:r>
      <w:r>
        <w:t xml:space="preserve"> a ResearchGate link establishes where the document lives, not that it was peer-reviewed. No publication venue, volume, ISSN or DOI for the paper itself appears anywhere in the document. It carries a full reference list and a conventional academic structure, but it was produced in Microsoft Word and its PDF metadata lists the author as "ola". It is cited above as an unpublished manuscript, which is the honest form. </w:t>
      </w:r>
      <w:r>
        <w:rPr>
          <w:b/>
        </w:rPr>
        <w:t>If a committee member asks whether it is peer-reviewed, the answer is that no venue is printed on it.</w:t>
      </w:r>
      <w:r>
        <w:t xml:space="preserve"> If a published version exists, find it and update the entry; if not, the citation stands as a manuscript and the argument it supports does not depend on its peer-review status, only on what it reports about its own features.</w:t>
      </w:r>
    </w:p>
    <w:p>
      <w:pPr>
        <w:pStyle w:val="Heading2"/>
      </w:pPr>
      <w:r>
        <w:t>Consequence for reference [1]</w:t>
      </w:r>
    </w:p>
    <w:p>
      <w:pPr>
        <w:spacing w:after="160"/>
      </w:pPr>
      <w:r>
        <w:t>Chapter 3 no longer rests on [1] alone. It now cites [24] Hassan and Zhang (verified, ASE 2006) for the origin of build-outcome prediction and [27] Sharma et al. for the modern comparison. Reference [1] remains in place and remains unverified. The options are to correct its venue against the source PDF, or — if that PDF cannot be produced — to remove it, since the argument it was carrying is now carried by [24] and [27].</w:t>
      </w:r>
    </w:p>
    <w:p>
      <w:pPr>
        <w:pStyle w:val="Heading1"/>
      </w:pPr>
      <w:r>
        <w:t>DOI coverage in the reference list</w:t>
      </w:r>
    </w:p>
    <w:p>
      <w:pPr>
        <w:spacing w:after="160"/>
      </w:pPr>
      <w:r>
        <w:t xml:space="preserve">IEEE style expects a </w:t>
      </w:r>
      <w:r>
        <w:rPr>
          <w:b/>
        </w:rPr>
        <w:t>DOI</w:t>
      </w:r>
      <w:r>
        <w:t xml:space="preserve"> for a published work with complete bibliographic data, and a </w:t>
      </w:r>
      <w:r>
        <w:rPr>
          <w:b/>
        </w:rPr>
        <w:t>URL</w:t>
      </w:r>
      <w:r>
        <w:t xml:space="preserve"> only for sources that exist online alone. Adding a URL to a published paper that already has a volume and page range is not the convention. The list therefore carries DOIs, not links, with three deliberate exceptions.</w:t>
      </w:r>
    </w:p>
    <w:p>
      <w:pPr>
        <w:spacing w:after="160"/>
      </w:pPr>
      <w:r>
        <w:rPr>
          <w:b/>
        </w:rPr>
        <w:t>14 of 27 entries now carry a DOI.</w:t>
      </w:r>
      <w:r>
        <w:t xml:space="preserve"> Each was checked against a publisher record — ACM Digital Library, IEEE Xplore, SpringerLink, Nature or the publisher's own DOI landing page — and not written from recall.</w:t>
      </w:r>
    </w:p>
    <w:tbl>
      <w:tblPr>
        <w:tblStyle w:val="Table"/>
        <w:tblW w:type="auto" w:w="0"/>
        <w:jc w:val="center"/>
        <w:tblLook w:firstColumn="1" w:firstRow="1" w:lastColumn="0" w:lastRow="0" w:noHBand="0" w:noVBand="1" w:val="04A0"/>
      </w:tblPr>
      <w:tblGrid>
        <w:gridCol w:w="4680"/>
        <w:gridCol w:w="4680"/>
      </w:tblGrid>
      <w:tr>
        <w:tc>
          <w:tcPr>
            <w:tcW w:type="dxa" w:w="4680"/>
          </w:tcPr>
          <w:p>
            <w:r>
              <w:rPr>
                <w:b/>
                <w:sz w:val="18"/>
              </w:rPr>
            </w:r>
            <w:r>
              <w:rPr>
                <w:b/>
                <w:sz w:val="18"/>
              </w:rPr>
              <w:t>Entry</w:t>
            </w:r>
          </w:p>
        </w:tc>
        <w:tc>
          <w:tcPr>
            <w:tcW w:type="dxa" w:w="4680"/>
          </w:tcPr>
          <w:p>
            <w:r>
              <w:rPr>
                <w:b/>
                <w:sz w:val="18"/>
              </w:rPr>
            </w:r>
            <w:r>
              <w:rPr>
                <w:b/>
                <w:sz w:val="18"/>
              </w:rPr>
              <w:t>DOI</w:t>
            </w:r>
          </w:p>
        </w:tc>
      </w:tr>
      <w:tr>
        <w:tc>
          <w:tcPr>
            <w:tcW w:type="dxa" w:w="4680"/>
          </w:tcPr>
          <w:p>
            <w:r>
              <w:rPr>
                <w:sz w:val="18"/>
              </w:rPr>
            </w:r>
            <w:r>
              <w:rPr>
                <w:sz w:val="18"/>
              </w:rPr>
              <w:t>[2] Beller et al., MSR 2017</w:t>
            </w:r>
          </w:p>
        </w:tc>
        <w:tc>
          <w:tcPr>
            <w:tcW w:type="dxa" w:w="4680"/>
          </w:tcPr>
          <w:p>
            <w:r>
              <w:rPr>
                <w:sz w:val="18"/>
              </w:rPr>
            </w:r>
            <w:r>
              <w:rPr>
                <w:sz w:val="18"/>
              </w:rPr>
              <w:t>10.1109/MSR.2017.24</w:t>
            </w:r>
          </w:p>
        </w:tc>
      </w:tr>
      <w:tr>
        <w:tc>
          <w:tcPr>
            <w:tcW w:type="dxa" w:w="4680"/>
          </w:tcPr>
          <w:p>
            <w:r>
              <w:rPr>
                <w:sz w:val="18"/>
              </w:rPr>
            </w:r>
            <w:r>
              <w:rPr>
                <w:sz w:val="18"/>
              </w:rPr>
              <w:t>[3] Chen &amp; Guestrin, KDD 2016</w:t>
            </w:r>
          </w:p>
        </w:tc>
        <w:tc>
          <w:tcPr>
            <w:tcW w:type="dxa" w:w="4680"/>
          </w:tcPr>
          <w:p>
            <w:r>
              <w:rPr>
                <w:sz w:val="18"/>
              </w:rPr>
            </w:r>
            <w:r>
              <w:rPr>
                <w:sz w:val="18"/>
              </w:rPr>
              <w:t>10.1145/2939672.2939785</w:t>
            </w:r>
          </w:p>
        </w:tc>
      </w:tr>
      <w:tr>
        <w:tc>
          <w:tcPr>
            <w:tcW w:type="dxa" w:w="4680"/>
          </w:tcPr>
          <w:p>
            <w:r>
              <w:rPr>
                <w:sz w:val="18"/>
              </w:rPr>
            </w:r>
            <w:r>
              <w:rPr>
                <w:sz w:val="18"/>
              </w:rPr>
              <w:t>[5] Breiman, Machine Learning 2001</w:t>
            </w:r>
          </w:p>
        </w:tc>
        <w:tc>
          <w:tcPr>
            <w:tcW w:type="dxa" w:w="4680"/>
          </w:tcPr>
          <w:p>
            <w:r>
              <w:rPr>
                <w:sz w:val="18"/>
              </w:rPr>
            </w:r>
            <w:r>
              <w:rPr>
                <w:sz w:val="18"/>
              </w:rPr>
              <w:t>10.1023/A:1010933404324</w:t>
            </w:r>
          </w:p>
        </w:tc>
      </w:tr>
      <w:tr>
        <w:tc>
          <w:tcPr>
            <w:tcW w:type="dxa" w:w="4680"/>
          </w:tcPr>
          <w:p>
            <w:r>
              <w:rPr>
                <w:sz w:val="18"/>
              </w:rPr>
            </w:r>
            <w:r>
              <w:rPr>
                <w:sz w:val="18"/>
              </w:rPr>
              <w:t>[6] Salton &amp; Buckley, IPM 1988</w:t>
            </w:r>
          </w:p>
        </w:tc>
        <w:tc>
          <w:tcPr>
            <w:tcW w:type="dxa" w:w="4680"/>
          </w:tcPr>
          <w:p>
            <w:r>
              <w:rPr>
                <w:sz w:val="18"/>
              </w:rPr>
            </w:r>
            <w:r>
              <w:rPr>
                <w:sz w:val="18"/>
              </w:rPr>
              <w:t>10.1016/0306-4573(88)90021-0</w:t>
            </w:r>
          </w:p>
        </w:tc>
      </w:tr>
      <w:tr>
        <w:tc>
          <w:tcPr>
            <w:tcW w:type="dxa" w:w="4680"/>
          </w:tcPr>
          <w:p>
            <w:r>
              <w:rPr>
                <w:sz w:val="18"/>
              </w:rPr>
            </w:r>
            <w:r>
              <w:rPr>
                <w:sz w:val="18"/>
              </w:rPr>
              <w:t>[8] Davis &amp; Goadrich, ICML 2006</w:t>
            </w:r>
          </w:p>
        </w:tc>
        <w:tc>
          <w:tcPr>
            <w:tcW w:type="dxa" w:w="4680"/>
          </w:tcPr>
          <w:p>
            <w:r>
              <w:rPr>
                <w:sz w:val="18"/>
              </w:rPr>
            </w:r>
            <w:r>
              <w:rPr>
                <w:sz w:val="18"/>
              </w:rPr>
              <w:t>10.1145/1143844.1143874</w:t>
            </w:r>
          </w:p>
        </w:tc>
      </w:tr>
      <w:tr>
        <w:tc>
          <w:tcPr>
            <w:tcW w:type="dxa" w:w="4680"/>
          </w:tcPr>
          <w:p>
            <w:r>
              <w:rPr>
                <w:sz w:val="18"/>
              </w:rPr>
            </w:r>
            <w:r>
              <w:rPr>
                <w:sz w:val="18"/>
              </w:rPr>
              <w:t>[9] He &amp; Garcia, TKDE 2009</w:t>
            </w:r>
          </w:p>
        </w:tc>
        <w:tc>
          <w:tcPr>
            <w:tcW w:type="dxa" w:w="4680"/>
          </w:tcPr>
          <w:p>
            <w:r>
              <w:rPr>
                <w:sz w:val="18"/>
              </w:rPr>
            </w:r>
            <w:r>
              <w:rPr>
                <w:sz w:val="18"/>
              </w:rPr>
              <w:t>10.1109/TKDE.2008.239</w:t>
            </w:r>
          </w:p>
        </w:tc>
      </w:tr>
      <w:tr>
        <w:tc>
          <w:tcPr>
            <w:tcW w:type="dxa" w:w="4680"/>
          </w:tcPr>
          <w:p>
            <w:r>
              <w:rPr>
                <w:sz w:val="18"/>
              </w:rPr>
            </w:r>
            <w:r>
              <w:rPr>
                <w:sz w:val="18"/>
              </w:rPr>
              <w:t>[13] Hassan &amp; Holt, ICSM 2005</w:t>
            </w:r>
          </w:p>
        </w:tc>
        <w:tc>
          <w:tcPr>
            <w:tcW w:type="dxa" w:w="4680"/>
          </w:tcPr>
          <w:p>
            <w:r>
              <w:rPr>
                <w:sz w:val="18"/>
              </w:rPr>
            </w:r>
            <w:r>
              <w:rPr>
                <w:sz w:val="18"/>
              </w:rPr>
              <w:t>10.1109/ICSM.2005.91</w:t>
            </w:r>
          </w:p>
        </w:tc>
      </w:tr>
      <w:tr>
        <w:tc>
          <w:tcPr>
            <w:tcW w:type="dxa" w:w="4680"/>
          </w:tcPr>
          <w:p>
            <w:r>
              <w:rPr>
                <w:sz w:val="18"/>
              </w:rPr>
            </w:r>
            <w:r>
              <w:rPr>
                <w:sz w:val="18"/>
              </w:rPr>
              <w:t>[19] Hunter, CiSE 2007</w:t>
            </w:r>
          </w:p>
        </w:tc>
        <w:tc>
          <w:tcPr>
            <w:tcW w:type="dxa" w:w="4680"/>
          </w:tcPr>
          <w:p>
            <w:r>
              <w:rPr>
                <w:sz w:val="18"/>
              </w:rPr>
            </w:r>
            <w:r>
              <w:rPr>
                <w:sz w:val="18"/>
              </w:rPr>
              <w:t>10.1109/MCSE.2007.55</w:t>
            </w:r>
          </w:p>
        </w:tc>
      </w:tr>
      <w:tr>
        <w:tc>
          <w:tcPr>
            <w:tcW w:type="dxa" w:w="4680"/>
          </w:tcPr>
          <w:p>
            <w:r>
              <w:rPr>
                <w:sz w:val="18"/>
              </w:rPr>
            </w:r>
            <w:r>
              <w:rPr>
                <w:sz w:val="18"/>
              </w:rPr>
              <w:t>[20] Harris et al., Nature 2020</w:t>
            </w:r>
          </w:p>
        </w:tc>
        <w:tc>
          <w:tcPr>
            <w:tcW w:type="dxa" w:w="4680"/>
          </w:tcPr>
          <w:p>
            <w:r>
              <w:rPr>
                <w:sz w:val="18"/>
              </w:rPr>
            </w:r>
            <w:r>
              <w:rPr>
                <w:sz w:val="18"/>
              </w:rPr>
              <w:t>10.1038/s41586-020-2649-2</w:t>
            </w:r>
          </w:p>
        </w:tc>
      </w:tr>
      <w:tr>
        <w:tc>
          <w:tcPr>
            <w:tcW w:type="dxa" w:w="4680"/>
          </w:tcPr>
          <w:p>
            <w:r>
              <w:rPr>
                <w:sz w:val="18"/>
              </w:rPr>
            </w:r>
            <w:r>
              <w:rPr>
                <w:sz w:val="18"/>
              </w:rPr>
              <w:t>[21] Kapoor &amp; Narayanan, Patterns 2023</w:t>
            </w:r>
          </w:p>
        </w:tc>
        <w:tc>
          <w:tcPr>
            <w:tcW w:type="dxa" w:w="4680"/>
          </w:tcPr>
          <w:p>
            <w:r>
              <w:rPr>
                <w:sz w:val="18"/>
              </w:rPr>
            </w:r>
            <w:r>
              <w:rPr>
                <w:sz w:val="18"/>
              </w:rPr>
              <w:t>10.1016/j.patter.2023.100804</w:t>
            </w:r>
          </w:p>
        </w:tc>
      </w:tr>
      <w:tr>
        <w:tc>
          <w:tcPr>
            <w:tcW w:type="dxa" w:w="4680"/>
          </w:tcPr>
          <w:p>
            <w:r>
              <w:rPr>
                <w:sz w:val="18"/>
              </w:rPr>
            </w:r>
            <w:r>
              <w:rPr>
                <w:sz w:val="18"/>
              </w:rPr>
              <w:t>[22] Roberts et al., Ecography 2017</w:t>
            </w:r>
          </w:p>
        </w:tc>
        <w:tc>
          <w:tcPr>
            <w:tcW w:type="dxa" w:w="4680"/>
          </w:tcPr>
          <w:p>
            <w:r>
              <w:rPr>
                <w:sz w:val="18"/>
              </w:rPr>
            </w:r>
            <w:r>
              <w:rPr>
                <w:sz w:val="18"/>
              </w:rPr>
              <w:t>10.1111/ecog.02881</w:t>
            </w:r>
          </w:p>
        </w:tc>
      </w:tr>
      <w:tr>
        <w:tc>
          <w:tcPr>
            <w:tcW w:type="dxa" w:w="4680"/>
          </w:tcPr>
          <w:p>
            <w:r>
              <w:rPr>
                <w:sz w:val="18"/>
              </w:rPr>
            </w:r>
            <w:r>
              <w:rPr>
                <w:sz w:val="18"/>
              </w:rPr>
              <w:t>[23] Saito &amp; Rehmsmeier, PLOS ONE 2015</w:t>
            </w:r>
          </w:p>
        </w:tc>
        <w:tc>
          <w:tcPr>
            <w:tcW w:type="dxa" w:w="4680"/>
          </w:tcPr>
          <w:p>
            <w:r>
              <w:rPr>
                <w:sz w:val="18"/>
              </w:rPr>
            </w:r>
            <w:r>
              <w:rPr>
                <w:sz w:val="18"/>
              </w:rPr>
              <w:t>10.1371/journal.pone.0118432</w:t>
            </w:r>
          </w:p>
        </w:tc>
      </w:tr>
      <w:tr>
        <w:tc>
          <w:tcPr>
            <w:tcW w:type="dxa" w:w="4680"/>
          </w:tcPr>
          <w:p>
            <w:r>
              <w:rPr>
                <w:sz w:val="18"/>
              </w:rPr>
            </w:r>
            <w:r>
              <w:rPr>
                <w:sz w:val="18"/>
              </w:rPr>
              <w:t>[25] Madeyski &amp; Kawalerowicz, MSR 2017</w:t>
            </w:r>
          </w:p>
        </w:tc>
        <w:tc>
          <w:tcPr>
            <w:tcW w:type="dxa" w:w="4680"/>
          </w:tcPr>
          <w:p>
            <w:r>
              <w:rPr>
                <w:sz w:val="18"/>
              </w:rPr>
            </w:r>
            <w:r>
              <w:rPr>
                <w:sz w:val="18"/>
              </w:rPr>
              <w:t>10.1109/MSR.2017.46</w:t>
            </w:r>
          </w:p>
        </w:tc>
      </w:tr>
      <w:tr>
        <w:tc>
          <w:tcPr>
            <w:tcW w:type="dxa" w:w="4680"/>
          </w:tcPr>
          <w:p>
            <w:r>
              <w:rPr>
                <w:sz w:val="18"/>
              </w:rPr>
            </w:r>
            <w:r>
              <w:rPr>
                <w:sz w:val="18"/>
              </w:rPr>
              <w:t>[26] Dhawan &amp; Dhawan, Front. Artif. Intell. 2026</w:t>
            </w:r>
          </w:p>
        </w:tc>
        <w:tc>
          <w:tcPr>
            <w:tcW w:type="dxa" w:w="4680"/>
          </w:tcPr>
          <w:p>
            <w:r>
              <w:rPr>
                <w:sz w:val="18"/>
              </w:rPr>
            </w:r>
            <w:r>
              <w:rPr>
                <w:sz w:val="18"/>
              </w:rPr>
              <w:t>10.3389/frai.2026.1776546</w:t>
            </w:r>
          </w:p>
        </w:tc>
      </w:tr>
    </w:tbl>
    <w:p>
      <w:pPr>
        <w:spacing w:after="160"/>
      </w:pPr>
      <w:r>
        <w:rPr>
          <w:b/>
        </w:rPr>
        <w:t>A useful by-product of the check:</w:t>
      </w:r>
      <w:r>
        <w:t xml:space="preserve"> the volume, issue and page ranges already in entries [2], [3], [5], [6], [8], [9], [13], [19] and [20] were all confirmed correct against the publisher records. The reference list was accurate; it was simply missing identifiers.</w:t>
      </w:r>
    </w:p>
    <w:p>
      <w:pPr>
        <w:pStyle w:val="Heading2"/>
      </w:pPr>
      <w:r>
        <w:t>The entries that correctly carry a URL rather than a DOI</w:t>
      </w:r>
    </w:p>
    <w:tbl>
      <w:tblPr>
        <w:tblStyle w:val="Table"/>
        <w:tblW w:type="auto" w:w="0"/>
        <w:jc w:val="center"/>
        <w:tblLook w:firstColumn="1" w:firstRow="1" w:lastColumn="0" w:lastRow="0" w:noHBand="0" w:noVBand="1" w:val="04A0"/>
      </w:tblPr>
      <w:tblGrid>
        <w:gridCol w:w="4680"/>
        <w:gridCol w:w="4680"/>
      </w:tblGrid>
      <w:tr>
        <w:tc>
          <w:tcPr>
            <w:tcW w:type="dxa" w:w="4680"/>
          </w:tcPr>
          <w:p>
            <w:r>
              <w:rPr>
                <w:b/>
                <w:sz w:val="18"/>
              </w:rPr>
            </w:r>
            <w:r>
              <w:rPr>
                <w:b/>
                <w:sz w:val="18"/>
              </w:rPr>
              <w:t>Entry</w:t>
            </w:r>
          </w:p>
        </w:tc>
        <w:tc>
          <w:tcPr>
            <w:tcW w:type="dxa" w:w="4680"/>
          </w:tcPr>
          <w:p>
            <w:r>
              <w:rPr>
                <w:b/>
                <w:sz w:val="18"/>
              </w:rPr>
            </w:r>
            <w:r>
              <w:rPr>
                <w:b/>
                <w:sz w:val="18"/>
              </w:rPr>
              <w:t>Why</w:t>
            </w:r>
          </w:p>
        </w:tc>
      </w:tr>
      <w:tr>
        <w:tc>
          <w:tcPr>
            <w:tcW w:type="dxa" w:w="4680"/>
          </w:tcPr>
          <w:p>
            <w:r>
              <w:rPr>
                <w:sz w:val="18"/>
              </w:rPr>
            </w:r>
            <w:r>
              <w:rPr>
                <w:sz w:val="18"/>
              </w:rPr>
              <w:t xml:space="preserve">[11] Fowler, </w:t>
            </w:r>
            <w:r>
              <w:rPr>
                <w:i/>
                <w:sz w:val="18"/>
              </w:rPr>
              <w:t>Continuous Integration</w:t>
            </w:r>
          </w:p>
        </w:tc>
        <w:tc>
          <w:tcPr>
            <w:tcW w:type="dxa" w:w="4680"/>
          </w:tcPr>
          <w:p>
            <w:r>
              <w:rPr>
                <w:sz w:val="18"/>
              </w:rPr>
            </w:r>
            <w:r>
              <w:rPr>
                <w:sz w:val="18"/>
              </w:rPr>
              <w:t>A web article on martinfowler.com; it has no DOI</w:t>
            </w:r>
          </w:p>
        </w:tc>
      </w:tr>
      <w:tr>
        <w:tc>
          <w:tcPr>
            <w:tcW w:type="dxa" w:w="4680"/>
          </w:tcPr>
          <w:p>
            <w:r>
              <w:rPr>
                <w:sz w:val="18"/>
              </w:rPr>
            </w:r>
            <w:r>
              <w:rPr>
                <w:sz w:val="18"/>
              </w:rPr>
              <w:t>[17] GitHub Actions API Reference</w:t>
            </w:r>
          </w:p>
        </w:tc>
        <w:tc>
          <w:tcPr>
            <w:tcW w:type="dxa" w:w="4680"/>
          </w:tcPr>
          <w:p>
            <w:r>
              <w:rPr>
                <w:sz w:val="18"/>
              </w:rPr>
            </w:r>
            <w:r>
              <w:rPr>
                <w:sz w:val="18"/>
              </w:rPr>
              <w:t>Vendor documentation; no DOI</w:t>
            </w:r>
          </w:p>
        </w:tc>
      </w:tr>
      <w:tr>
        <w:tc>
          <w:tcPr>
            <w:tcW w:type="dxa" w:w="4680"/>
          </w:tcPr>
          <w:p>
            <w:r>
              <w:rPr>
                <w:sz w:val="18"/>
              </w:rPr>
            </w:r>
            <w:r>
              <w:rPr>
                <w:sz w:val="18"/>
              </w:rPr>
              <w:t>[27] Sharma et al.</w:t>
            </w:r>
          </w:p>
        </w:tc>
        <w:tc>
          <w:tcPr>
            <w:tcW w:type="dxa" w:w="4680"/>
          </w:tcPr>
          <w:p>
            <w:r>
              <w:rPr>
                <w:sz w:val="18"/>
              </w:rPr>
            </w:r>
            <w:r>
              <w:rPr>
                <w:sz w:val="18"/>
              </w:rPr>
              <w:t>Self-archived manuscript with no venue; the ResearchGate location is the only identifier</w:t>
            </w:r>
          </w:p>
        </w:tc>
      </w:tr>
    </w:tbl>
    <w:p>
      <w:pPr>
        <w:pStyle w:val="Heading2"/>
      </w:pPr>
      <w:r>
        <w:t>The entries with neither, and why that is correct</w:t>
      </w:r>
    </w:p>
    <w:tbl>
      <w:tblPr>
        <w:tblStyle w:val="Table"/>
        <w:tblW w:type="auto" w:w="0"/>
        <w:jc w:val="center"/>
        <w:tblLook w:firstColumn="1" w:firstRow="1" w:lastColumn="0" w:lastRow="0" w:noHBand="0" w:noVBand="1" w:val="04A0"/>
      </w:tblPr>
      <w:tblGrid>
        <w:gridCol w:w="4680"/>
        <w:gridCol w:w="4680"/>
      </w:tblGrid>
      <w:tr>
        <w:tc>
          <w:tcPr>
            <w:tcW w:type="dxa" w:w="4680"/>
          </w:tcPr>
          <w:p>
            <w:r>
              <w:rPr>
                <w:b/>
                <w:sz w:val="18"/>
              </w:rPr>
            </w:r>
            <w:r>
              <w:rPr>
                <w:b/>
                <w:sz w:val="18"/>
              </w:rPr>
              <w:t>Entry</w:t>
            </w:r>
          </w:p>
        </w:tc>
        <w:tc>
          <w:tcPr>
            <w:tcW w:type="dxa" w:w="4680"/>
          </w:tcPr>
          <w:p>
            <w:r>
              <w:rPr>
                <w:b/>
                <w:sz w:val="18"/>
              </w:rPr>
            </w:r>
            <w:r>
              <w:rPr>
                <w:b/>
                <w:sz w:val="18"/>
              </w:rPr>
              <w:t>Reason</w:t>
            </w:r>
          </w:p>
        </w:tc>
      </w:tr>
      <w:tr>
        <w:tc>
          <w:tcPr>
            <w:tcW w:type="dxa" w:w="4680"/>
          </w:tcPr>
          <w:p>
            <w:r>
              <w:rPr>
                <w:sz w:val="18"/>
              </w:rPr>
            </w:r>
            <w:r>
              <w:rPr>
                <w:sz w:val="18"/>
              </w:rPr>
              <w:t>[1] Patel</w:t>
            </w:r>
          </w:p>
        </w:tc>
        <w:tc>
          <w:tcPr>
            <w:tcW w:type="dxa" w:w="4680"/>
          </w:tcPr>
          <w:p>
            <w:r>
              <w:rPr>
                <w:sz w:val="18"/>
              </w:rPr>
            </w:r>
            <w:r>
              <w:rPr>
                <w:sz w:val="18"/>
              </w:rPr>
              <w:t>Venue unverified — see the top of this note. Add the DOI once the venue is confirmed</w:t>
            </w:r>
          </w:p>
        </w:tc>
      </w:tr>
      <w:tr>
        <w:tc>
          <w:tcPr>
            <w:tcW w:type="dxa" w:w="4680"/>
          </w:tcPr>
          <w:p>
            <w:r>
              <w:rPr>
                <w:sz w:val="18"/>
              </w:rPr>
            </w:r>
            <w:r>
              <w:rPr>
                <w:sz w:val="18"/>
              </w:rPr>
              <w:t>[4] Pedregosa et al., JMLR</w:t>
            </w:r>
          </w:p>
        </w:tc>
        <w:tc>
          <w:tcPr>
            <w:tcW w:type="dxa" w:w="4680"/>
          </w:tcPr>
          <w:p>
            <w:r>
              <w:rPr>
                <w:sz w:val="18"/>
              </w:rPr>
            </w:r>
            <w:r>
              <w:rPr>
                <w:sz w:val="18"/>
              </w:rPr>
              <w:t>JMLR articles are open access and are conventionally cited without a DOI</w:t>
            </w:r>
          </w:p>
        </w:tc>
      </w:tr>
      <w:tr>
        <w:tc>
          <w:tcPr>
            <w:tcW w:type="dxa" w:w="4680"/>
          </w:tcPr>
          <w:p>
            <w:r>
              <w:rPr>
                <w:sz w:val="18"/>
              </w:rPr>
            </w:r>
            <w:r>
              <w:rPr>
                <w:sz w:val="18"/>
              </w:rPr>
              <w:t>[7] Powers</w:t>
            </w:r>
          </w:p>
        </w:tc>
        <w:tc>
          <w:tcPr>
            <w:tcW w:type="dxa" w:w="4680"/>
          </w:tcPr>
          <w:p>
            <w:r>
              <w:rPr>
                <w:sz w:val="18"/>
              </w:rPr>
            </w:r>
            <w:r>
              <w:rPr>
                <w:sz w:val="18"/>
              </w:rPr>
              <w:t>The named journal does not issue DOIs</w:t>
            </w:r>
          </w:p>
        </w:tc>
      </w:tr>
      <w:tr>
        <w:tc>
          <w:tcPr>
            <w:tcW w:type="dxa" w:w="4680"/>
          </w:tcPr>
          <w:p>
            <w:r>
              <w:rPr>
                <w:sz w:val="18"/>
              </w:rPr>
            </w:r>
            <w:r>
              <w:rPr>
                <w:sz w:val="18"/>
              </w:rPr>
              <w:t>[10] Forsgren et al.; [12] Humble &amp; Farley</w:t>
            </w:r>
          </w:p>
        </w:tc>
        <w:tc>
          <w:tcPr>
            <w:tcW w:type="dxa" w:w="4680"/>
          </w:tcPr>
          <w:p>
            <w:r>
              <w:rPr>
                <w:sz w:val="18"/>
              </w:rPr>
            </w:r>
            <w:r>
              <w:rPr>
                <w:sz w:val="18"/>
              </w:rPr>
              <w:t>Books. Books carry ISBNs, not DOIs; IEEE style does not require either</w:t>
            </w:r>
          </w:p>
        </w:tc>
      </w:tr>
      <w:tr>
        <w:tc>
          <w:tcPr>
            <w:tcW w:type="dxa" w:w="4680"/>
          </w:tcPr>
          <w:p>
            <w:r>
              <w:rPr>
                <w:sz w:val="18"/>
              </w:rPr>
            </w:r>
            <w:r>
              <w:rPr>
                <w:sz w:val="18"/>
              </w:rPr>
              <w:t>[14] Zimmermann et al.; [15] Kim et al.; [16] Eyrolle &amp; Cellier; [18] McKinney</w:t>
            </w:r>
          </w:p>
        </w:tc>
        <w:tc>
          <w:tcPr>
            <w:tcW w:type="dxa" w:w="4680"/>
          </w:tcPr>
          <w:p>
            <w:r>
              <w:rPr>
                <w:sz w:val="18"/>
              </w:rPr>
            </w:r>
            <w:r>
              <w:rPr>
                <w:sz w:val="18"/>
              </w:rPr>
              <w:t>Not verified in the time available. Each probably has a DOI; none was added on the strength of recall</w:t>
            </w:r>
          </w:p>
        </w:tc>
      </w:tr>
      <w:tr>
        <w:tc>
          <w:tcPr>
            <w:tcW w:type="dxa" w:w="4680"/>
          </w:tcPr>
          <w:p>
            <w:r>
              <w:rPr>
                <w:sz w:val="18"/>
              </w:rPr>
            </w:r>
            <w:r>
              <w:rPr>
                <w:sz w:val="18"/>
              </w:rPr>
              <w:t>[24] Hassan &amp; Zhang, ASE 2006</w:t>
            </w:r>
          </w:p>
        </w:tc>
        <w:tc>
          <w:tcPr>
            <w:tcW w:type="dxa" w:w="4680"/>
          </w:tcPr>
          <w:p>
            <w:r>
              <w:rPr>
                <w:sz w:val="18"/>
              </w:rPr>
            </w:r>
            <w:r>
              <w:rPr>
                <w:b/>
                <w:sz w:val="18"/>
              </w:rPr>
              <w:t>Attempted and deliberately not added.</w:t>
            </w:r>
            <w:r>
              <w:rPr>
                <w:sz w:val="18"/>
              </w:rPr>
              <w:t xml:space="preserve"> A search appeared to confirm a DOI, but on inspection it had simply echoed the candidate string supplied in the query, which is not evidence. The paper is real — IEEE Xplore document 4019574 — but its DOI was not independently established</w:t>
            </w:r>
          </w:p>
        </w:tc>
      </w:tr>
    </w:tbl>
    <w:p>
      <w:pPr>
        <w:spacing w:after="160"/>
      </w:pPr>
      <w:r>
        <w:t>Adding the four unverified DOIs is a five-minute job from the publisher pages if you want full coverage. A missing DOI costs nothing; a wrong one is a factual error in a submitted thesis, which is why none was guessed.</w:t>
      </w:r>
    </w:p>
    <w:sectPr w:rsidR="00D15EC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ECB9D" w14:textId="77777777" w:rsidR="004A7CA7" w:rsidRDefault="004A7CA7">
      <w:pPr>
        <w:spacing w:after="0"/>
      </w:pPr>
      <w:r>
        <w:separator/>
      </w:r>
    </w:p>
  </w:endnote>
  <w:endnote w:type="continuationSeparator" w:id="0">
    <w:p w14:paraId="5CDF023D" w14:textId="77777777" w:rsidR="004A7CA7" w:rsidRDefault="004A7CA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53C0E" w14:textId="77777777" w:rsidR="004A7CA7" w:rsidRDefault="004A7CA7">
      <w:r>
        <w:separator/>
      </w:r>
    </w:p>
  </w:footnote>
  <w:footnote w:type="continuationSeparator" w:id="0">
    <w:p w14:paraId="2F40133C" w14:textId="77777777" w:rsidR="004A7CA7" w:rsidRDefault="004A7C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B0AA50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F80C0E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79AEA6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6"/>
    <w:multiLevelType w:val="multilevel"/>
    <w:tmpl w:val="E04E9F0C"/>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16cid:durableId="1027482993">
    <w:abstractNumId w:val="0"/>
  </w:num>
  <w:num w:numId="2" w16cid:durableId="5874195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350548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13026308">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5" w16cid:durableId="9071577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15ECD"/>
    <w:rsid w:val="00467A29"/>
    <w:rsid w:val="004A7CA7"/>
    <w:rsid w:val="00586FD7"/>
    <w:rsid w:val="00851410"/>
    <w:rsid w:val="00BB40EC"/>
    <w:rsid w:val="00D15ECD"/>
    <w:rsid w:val="00DC00E9"/>
    <w:rsid w:val="00FD0062"/>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3BB9C"/>
  <w15:docId w15:val="{89E2D48C-3DAD-4E96-B881-0084FD9D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FD0062"/>
    <w:pPr>
      <w:spacing w:after="100"/>
    </w:pPr>
  </w:style>
  <w:style w:type="paragraph" w:styleId="TOC2">
    <w:name w:val="toc 2"/>
    <w:basedOn w:val="Normal"/>
    <w:next w:val="Normal"/>
    <w:autoRedefine/>
    <w:uiPriority w:val="39"/>
    <w:rsid w:val="00FD0062"/>
    <w:pPr>
      <w:spacing w:after="100"/>
      <w:ind w:left="240"/>
    </w:pPr>
  </w:style>
  <w:style w:type="paragraph" w:styleId="TOC3">
    <w:name w:val="toc 3"/>
    <w:basedOn w:val="Normal"/>
    <w:next w:val="Normal"/>
    <w:autoRedefine/>
    <w:uiPriority w:val="39"/>
    <w:rsid w:val="00FD0062"/>
    <w:pPr>
      <w:spacing w:after="100"/>
      <w:ind w:left="480"/>
    </w:pPr>
  </w:style>
  <w:style w:type="paragraph" w:styleId="Header">
    <w:name w:val="header"/>
    <w:basedOn w:val="Normal"/>
    <w:link w:val="HeaderChar"/>
    <w:rsid w:val="00467A29"/>
    <w:pPr>
      <w:tabs>
        <w:tab w:val="center" w:pos="4680"/>
        <w:tab w:val="right" w:pos="9360"/>
      </w:tabs>
      <w:spacing w:after="0"/>
    </w:pPr>
  </w:style>
  <w:style w:type="character" w:customStyle="1" w:styleId="HeaderChar">
    <w:name w:val="Header Char"/>
    <w:basedOn w:val="DefaultParagraphFont"/>
    <w:link w:val="Header"/>
    <w:rsid w:val="00467A29"/>
  </w:style>
  <w:style w:type="paragraph" w:styleId="Footer">
    <w:name w:val="footer"/>
    <w:basedOn w:val="Normal"/>
    <w:link w:val="FooterChar"/>
    <w:rsid w:val="00467A29"/>
    <w:pPr>
      <w:tabs>
        <w:tab w:val="center" w:pos="4680"/>
        <w:tab w:val="right" w:pos="9360"/>
      </w:tabs>
      <w:spacing w:after="0"/>
    </w:pPr>
  </w:style>
  <w:style w:type="character" w:customStyle="1" w:styleId="FooterChar">
    <w:name w:val="Footer Char"/>
    <w:basedOn w:val="DefaultParagraphFont"/>
    <w:link w:val="Footer"/>
    <w:rsid w:val="00467A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69</Pages>
  <Words>22022</Words>
  <Characters>148650</Characters>
  <Application>Microsoft Office Word</Application>
  <DocSecurity>0</DocSecurity>
  <Lines>5717</Lines>
  <Paragraphs>5171</Paragraphs>
  <ScaleCrop>false</ScaleCrop>
  <Company/>
  <LinksUpToDate>false</LinksUpToDate>
  <CharactersWithSpaces>165501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Moamen Mohamed</cp:lastModifiedBy>
  <cp:revision>5</cp:revision>
  <dcterms:created xsi:type="dcterms:W3CDTF">2026-05-30T10:30:00Z</dcterms:created>
  <dcterms:modified xsi:type="dcterms:W3CDTF">2026-06-20T15:35:00Z</dcterms:modified>
</cp:coreProperties>
</file>