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a corpus of 513,000 builds drawn from 25,000 open-source projects across twenty programming languages, and report an F1 score of 0.88 at an accuracy of 89.7 per cent. That figure is more than twice the one this project reports, and the comparison merits careful handling, because on examination it is not a like-for-like measurement in three separate respects.</w:t>
      </w:r>
    </w:p>
    <w:p>
      <w:pPr>
        <w:spacing w:after="160"/>
      </w:pPr>
      <w:r>
        <w:t>The first concerns the feature boundary. The authors identify their most influential predictor, by SHAP attribution, as build duration, followed by the number of commits, test coverage volatility and repository age. Build duration is not available until the build has finished. A predictor that depends upon it can characterise a failure after the compute has been spent, but it cannot act to prevent that expenditure, which is precisely the boundary the present work declines to cross. Their figure is therefore best read as an indication of what becomes achievable once post-execution telemetry is admitted, rather than as a target the pre-execution setting has failed to reach.</w:t>
      </w:r>
    </w:p>
    <w:p>
      <w:pPr>
        <w:spacing w:after="160"/>
      </w:pPr>
      <w:r>
        <w:t>The second concerns the class distribution. Their Table 2 reports 342,710 successes (66.8 per cent), 112,860 failures (22.0 per cent), 41,040 errors (8.0 per cent) and 16,390 cancellations (3.2 per cent). The failure class is therefore twice as prevalent in their corpus as in the one collected here, where it stands at 10.97 per cent. Since the difficulty of a classification task under imbalance rises sharply as the minority class thins, and since the F1 score is itself sensitive to prevalence, two F1 figures computed at 22 per cent and at 11 per cent minority prevalence are not directly comparable quantities.</w:t>
      </w:r>
    </w:p>
    <w:p>
      <w:pPr>
        <w:spacing w:after="160"/>
      </w:pPr>
      <w:r>
        <w:t>The third concerns the target itself. Their outcome variable has four levels rather than two, and they report that performance on the minority error and cancellation classes remains materially below performance on the majority classes. The present work predicts a binary outcome, having excluded cancelled and errored runs at collection time, so the two studies are not estimating the same quantity.</w:t>
      </w:r>
    </w:p>
    <w:p>
      <w:pPr>
        <w:spacing w:after="160"/>
      </w:pPr>
      <w:r>
        <w:t>None of this diminishes their contribution, and the direction of their findings is consistent with the ablation reported in Chapter 7 of this thesis: historical and repository-level features carry substantial signal. The purpose of setting the three differences out explicitly is to establish that the numerical gap between 0.88 and 0.4216 is largely an artefact of what each study permitted itself to measure, and to illustrate the more general point made in Section 3.3, that headline figures drawn from studies with undescribed or differing protocols cannot be ranked against one another. Their reported accuracy of 89.7 per cent makes the same point from another direction: a constant prediction of success attains 66.8 per cent on their corpus and 89.03 per cent on this one, which is why Section 7.3 declines to treat accuracy as a measure of model quality.</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w:t>
      </w:r>
    </w:p>
    <w:p>
      <w:pPr>
        <w:spacing w:after="160"/>
      </w:pPr>
      <w:r>
        <w:t>[3] T. Chen and C. Guestrin, "XGBoost: A Scalable Tree Boosting System," in Proceedings of the 22nd ACM SIGKDD International Conference on Knowledge Discovery and Data Mining, 2016, pp. 785–794.</w:t>
      </w:r>
    </w:p>
    <w:p>
      <w:pPr>
        <w:spacing w:after="160"/>
      </w:pPr>
      <w:r>
        <w:t>[4] F. Pedregosa et al., "Scikit-learn: Machine Learning in Python," Journal of Machine Learning Research, vol. 12, pp. 2825–2830, 2011.</w:t>
      </w:r>
    </w:p>
    <w:p>
      <w:pPr>
        <w:spacing w:after="160"/>
      </w:pPr>
      <w:r>
        <w:t>[5] L. Breiman, "Random Forests," Machine Learning, vol. 45, no. 1, pp. 5–32, 2001.</w:t>
      </w:r>
    </w:p>
    <w:p>
      <w:pPr>
        <w:spacing w:after="160"/>
      </w:pPr>
      <w:r>
        <w:t>[6] G. Salton and C. Buckley, "Term-Weighting Approaches in Automatic Text Retrieval," Information Processing &amp; Management, vol. 24, no. 5, pp. 513–523, 1988.</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w:t>
      </w:r>
    </w:p>
    <w:p>
      <w:pPr>
        <w:spacing w:after="160"/>
      </w:pPr>
      <w:r>
        <w:t>[9] H. He and E. A. Garcia, "Learning from Imbalanced Data," IEEE Transactions on Knowledge and Data Engineering, vol. 21, no. 9, pp. 1263–1284, 2009.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w:t>
      </w:r>
    </w:p>
    <w:p>
      <w:pPr>
        <w:spacing w:after="160"/>
      </w:pPr>
      <w:r>
        <w:t>[20] C. R. Harris et al., "Array Programming with NumPy," Nature, vol. 585, no. 7825, pp. 357–362, 2020.</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12, 2025. [Online]. Available: https://www.researchgate.net/publication/401540054 (accessed Sep. 7, 2026).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