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Dr. Maged Mamdouh</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Dr. Maged Mamdouh,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most directly comparable recent work is that of Sharma, Petrova and Connolly [27], who train XGBoost, Random Forest and Support Vector Machine classifiers on a corpus of 513,000 builds drawn from 25,000 open-source projects across twenty programming languages, and report an F1 score of 0.88 at an accuracy of 89.7 per cent. That figure is more than twice the one this project reports, and the comparison merits careful handling, because on examination it is not a like-for-like measurement in three separate respects.</w:t>
      </w:r>
    </w:p>
    <w:p>
      <w:pPr>
        <w:spacing w:after="160"/>
      </w:pPr>
      <w:r>
        <w:t>The first concerns the feature boundary. The authors identify their most influential predictor, by SHAP attribution, as build duration, followed by the number of commits, test coverage volatility and repository age. Build duration is not available until the build has finished. A predictor that depends upon it can characterise a failure after the compute has been spent, but it cannot act to prevent that expenditure, which is precisely the boundary the present work declines to cross. Their figure is therefore best read as an indication of what becomes achievable once post-execution telemetry is admitted, rather than as a target the pre-execution setting has failed to reach.</w:t>
      </w:r>
    </w:p>
    <w:p>
      <w:pPr>
        <w:spacing w:after="160"/>
      </w:pPr>
      <w:r>
        <w:t>The second concerns the class distribution. Their Table 2 reports 342,710 successes (66.8 per cent), 112,860 failures (22.0 per cent), 41,040 errors (8.0 per cent) and 16,390 cancellations (3.2 per cent). The failure class is therefore twice as prevalent in their corpus as in the one collected here, where it stands at 10.97 per cent. Since the difficulty of a classification task under imbalance rises sharply as the minority class thins, and since the F1 score is itself sensitive to prevalence, two F1 figures computed at 22 per cent and at 11 per cent minority prevalence are not directly comparable quantities.</w:t>
      </w:r>
    </w:p>
    <w:p>
      <w:pPr>
        <w:spacing w:after="160"/>
      </w:pPr>
      <w:r>
        <w:t>The third concerns the target itself. Their outcome variable has four levels rather than two, and they report that performance on the minority error and cancellation classes remains materially below performance on the majority classes. The present work predicts a binary outcome, having excluded cancelled and errored runs at collection time, so the two studies are not estimating the same quantity.</w:t>
      </w:r>
    </w:p>
    <w:p>
      <w:pPr>
        <w:spacing w:after="160"/>
      </w:pPr>
      <w:r>
        <w:t>None of this diminishes their contribution, and the direction of their findings is consistent with the ablation reported in Chapter 7 of this thesis: historical and repository-level features carry substantial signal. The purpose of setting the three differences out explicitly is to establish that the numerical gap between 0.88 and 0.4216 is largely an artefact of what each study permitted itself to measure, and to illustrate the more general point made in Section 3.3, that headline figures drawn from studies with undescribed or differing protocols cannot be ranked against one another. Their reported accuracy of 89.7 per cent makes the same point from another direction: a constant prediction of success attains 66.8 per cent on their corpus and 89.03 per cent on this one, which is why Section 7.3 declines to treat accuracy as a measure of model quality.</w:t>
      </w:r>
    </w:p>
    <w:p>
      <w:pPr>
        <w:spacing w:after="160"/>
      </w:pPr>
      <w:r>
        <w:t>A separate contribution to the availability of data in this area is the Continuous Defect Prediction dataset of Madeyski and Kawalerowicz [25], which synthesises more than eleven million file-level records across 1,265 projects and 30,022 distinct commit authors, using TravisTorrent as its source of continuous-integration outcomes. That dataset operates at file granularity and is derived from Travis CI rather than GitHub Actions, so it does not substitute for the corpus collected here, but it establishes the feasibility of joining continuous-integration outcomes to repository-mined process metrics at scale, which is the same joining operation this project performs at commit granularity.</w:t>
      </w:r>
    </w:p>
    <w:p>
      <w:pPr>
        <w:spacing w:after="160"/>
      </w:pPr>
      <w:r>
        <w:t>Recent work has also begun to consider the reliability of the pipeline itself as the object of prediction rather than the build alone. Dhawan and Dhawan [26] propose a framework in which predictive, adaptive and self-correcting components act on the pipeline in response to anticipated failure. That framing is complementary to the present work: a predictor of the kind developed here is the input such a framework would consume, and the strictly pre-execution constraint adopted in this thesis is what would allow its output to be acted upon before resources are committed.</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 F1 = 0.88 reported in [27] using build duration as the leading predictor</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failure rate ranges from 0% for elastic/elasticsearch, which contributes 600 runs and not one failure, to 38.3% for prisma/prisma, an elevenfold spread across the seventeen repositories that fail at all. This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ranges from 0.0 percent for elastic/elasticsearch, which contributes 600 runs and not one failure, to 38.3 percent for prisma/prisma — an elevenfold spread across the seventeen repositories that fail at all, from 3.5 percent for ruby/ruby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 Section 8.3 records a limitation of this comparison: the zero failure rate observed for elastic/elasticsearch reflects which of its workflows are observable through the GitHub Actions API rather than the engineering quality of that project, and part of what the categorical branch learns is therefore that documentation jobs do not fail.</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spacing w:after="160"/>
      </w:pPr>
      <w:r>
        <w:rPr>
          <w:b/>
        </w:rPr>
        <w:t>Limitation 7 — The collected workflow runs are not equally substantive.</w:t>
      </w:r>
      <w:r>
        <w:t xml:space="preserve"> Every row in the dataset is one GitHub Actions workflow run, but the runs differ greatly in what they actually do, and the collector did not distinguish between them. The extreme case is elastic/elasticsearch, which contributes 600 runs and not one failure. Of those 600 runs, 591, or 98 percent, are documentation publishing jobs (docs-deploy, docs-build, docs-preview-cleanup) together with a Gradle wrapper checksum verification, and none of these compiles the project or executes a test suite. That repository exposes only six distinct workflows through the GitHub Actions API, against 137 for nestjs/nest and 107 for tensorflow/tensorflow, because its substantive test suite runs on Buildkite rather than on GitHub Actions. The 600-run-per-repository cap compounds the effect: at that level of activity the cap corresponds to a collection window of 13.8 hours, so the sample for that repository is narrow in workflow type and narrow in time simultaneously. The consequence is that the zero failure rate reported for elastic/elasticsearch in Figure 7.2 is a property of which workflows are observable through the API rather than a property of the project's engineering quality, and the same distortion applies in weaker form wherever a repository's peripheral automation outnumbers its build and test workflows. This does not invalidate the categorical-only result of Section 7.4.3, because workflow_name is itself one of the four categorical features and the association between the identity of a workflow and its outcome is genuine and available before execution. It does mean that part of what the categorical branch learns is the mundane fact that documentation jobs do not fail, which is a weaker finding than the prediction of a test-suite failure from the properties of a commit. A stratified collection design that sampled a fixed number of runs per workflow, or that filtered to the workflows which build or test the project, would remove the distortion and is identified as future work in Chapter 9.</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6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7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spacing w:after="160"/>
      </w:pPr>
      <w:r>
        <w:rPr>
          <w:b/>
        </w:rPr>
        <w:t>Extension 9 — Stratified collection by workflow type.</w:t>
      </w:r>
      <w:r>
        <w:t xml:space="preserve"> The present collector takes the most recent runs per repository up to a fixed cap, which allows a repository's peripheral automation to dominate its sample, as Limitation 7 in Section 8.3 records for elastic/elasticsearch. A stratified design that sampled a fixed number of runs per workflow, or that restricted collection to the workflows which build or test the project, would produce a corpus in which every row represents comparable work and would allow the per-repository failure rates to be read as a property of the projects rather than of the collection procedure.</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 doi: 10.1109/MSR.2017.24.</w:t>
      </w:r>
    </w:p>
    <w:p>
      <w:pPr>
        <w:spacing w:after="160"/>
      </w:pPr>
      <w:r>
        <w:t>[3] T. Chen and C. Guestrin, "XGBoost: A Scalable Tree Boosting System," in Proceedings of the 22nd ACM SIGKDD International Conference on Knowledge Discovery and Data Mining, 2016, pp. 785–794. doi: 10.1145/2939672.2939785.</w:t>
      </w:r>
    </w:p>
    <w:p>
      <w:pPr>
        <w:spacing w:after="160"/>
      </w:pPr>
      <w:r>
        <w:t>[4] F. Pedregosa et al., "Scikit-learn: Machine Learning in Python," Journal of Machine Learning Research, vol. 12, pp. 2825–2830, 2011.</w:t>
      </w:r>
    </w:p>
    <w:p>
      <w:pPr>
        <w:spacing w:after="160"/>
      </w:pPr>
      <w:r>
        <w:t>[5] L. Breiman, "Random Forests," Machine Learning, vol. 45, no. 1, pp. 5–32, 2001. doi: 10.1023/A:1010933404324.</w:t>
      </w:r>
    </w:p>
    <w:p>
      <w:pPr>
        <w:spacing w:after="160"/>
      </w:pPr>
      <w:r>
        <w:t>[6] G. Salton and C. Buckley, "Term-Weighting Approaches in Automatic Text Retrieval," Information Processing &amp; Management, vol. 24, no. 5, pp. 513–523, 1988. doi: 10.1016/0306-4573(88)90021-0.</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 doi: 10.1145/1143844.1143874.</w:t>
      </w:r>
    </w:p>
    <w:p>
      <w:pPr>
        <w:spacing w:after="160"/>
      </w:pPr>
      <w:r>
        <w:t>[9] H. He and E. A. Garcia, "Learning from Imbalanced Data," IEEE Transactions on Knowledge and Data Engineering, vol. 21, no. 9, pp. 1263–1284, 2009. doi: 10.1109/TKDE.2008.239.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 doi: 10.1109/ICSM.2005.91.</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 doi: 10.1109/MCSE.2007.55.</w:t>
      </w:r>
    </w:p>
    <w:p>
      <w:pPr>
        <w:spacing w:after="160"/>
      </w:pPr>
      <w:r>
        <w:t>[20] C. R. Harris et al., "Array Programming with NumPy," Nature, vol. 585, no. 7825, pp. 357–362, 2020. doi: 10.1038/s41586-020-2649-2.</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p>
      <w:pPr>
        <w:spacing w:after="160"/>
      </w:pPr>
      <w:r>
        <w:t>[25] L. Madeyski and M. Kawalerowicz, "Continuous Defect Prediction: The Idea and a Related Dataset," in Proceedings of the 14th International Conference on Mining Software Repositories, Buenos Aires, Argentina, 2017, pp. 515–518. doi: 10.1109/MSR.2017.46.</w:t>
      </w:r>
    </w:p>
    <w:p>
      <w:pPr>
        <w:spacing w:after="160"/>
      </w:pPr>
      <w:r>
        <w:t>[26] R. Dhawan and M. Dhawan, "AI-Augmented Reliability in CI/CD: A Framework for Predictive, Adaptive, and Self-Correcting Pipelines," Frontiers in Artificial Intelligence, vol. 9, art. 1776546, 2026. doi: 10.3389/frai.2026.1776546.</w:t>
      </w:r>
    </w:p>
    <w:p>
      <w:pPr>
        <w:spacing w:after="160"/>
      </w:pPr>
      <w:r>
        <w:t>[27] R. Sharma, E. Petrova, and J. O. Connolly, "Machine Learning-Based Failure Prediction in Continuous Integration and Deployment Workflows," unpublished manuscript, Nov. 12, 2025. [Online]. Available: https://www.researchgate.net/publication/401540054 (accessed Sep. 7, 2026).</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