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049b84ff68bd86ded4193ada610948ad4bdc4b"/>
    <w:p>
      <w:pPr>
        <w:pStyle w:val="Heading1"/>
      </w:pPr>
      <w:r>
        <w:t xml:space="preserve">Cover Letter — Lamdax (Senior Backend .NET Core Developer)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LinkedIn/Workable note to the hiring team or email opener:</w:t>
      </w:r>
    </w:p>
    <w:p>
      <w:pPr>
        <w:pStyle w:val="BlockText"/>
      </w:pPr>
      <w:r>
        <w:t xml:space="preserve">Your stack names OpenIddict and JWT specifically — I designed and built an identity server on exactly that stack, plus RabbitMQ event-driven communication and a Temporal Saga replacement for a legacy distributed-transaction design. Three years, not six, but the depth is real.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Senior Backend .NET Core Developer role. I want to be upfront about the one number that doesn’t match: you’re asking for 6+ years, and I have roughly three. I’m applying anyway because the technical overlap is unusually specific, and I’d rather let that speak than not try.</w:t>
      </w:r>
    </w:p>
    <w:p>
      <w:pPr>
        <w:pStyle w:val="BodyText"/>
      </w:pPr>
      <w:r>
        <w:t xml:space="preserve">You name OpenIddict and JWT in your stack. I designed and built an identity/authentication server on exactly that combination — OpenIddict issuing JWT access and refresh tokens with scope- and claim-based authorization — at Andalusia, a healthcare platform serving hospitals across Egypt and Saudi Arabia. On event-driven architecture, I implemented RabbitMQ-based communication and replaced a legacy MS DTC distributed-transaction workaround with Temporal Saga orchestration, improving 10+ inter-service interaction patterns. I don’t have production event-sourcing experience specifically — pub/sub, yes; an event store as source of truth, no — and I’d rather say that plainly than imply otherwise.</w:t>
      </w:r>
    </w:p>
    <w:p>
      <w:pPr>
        <w:pStyle w:val="BodyText"/>
      </w:pPr>
      <w:r>
        <w:t xml:space="preserve">On the rest of the stack: C#, ASP.NET Core, Entity Framework Core over SQL Server, Consul-based service discovery, and an Nginx API gateway that cut deployment downtime by 87.5%. A runtime rule engine I optimized runs 60% faster, measured with BenchmarkDotNet — direct evidence of the high-throughput tuning work you’re asking about.</w:t>
      </w:r>
    </w:p>
    <w:p>
      <w:pPr>
        <w:pStyle w:val="BodyText"/>
      </w:pPr>
      <w:r>
        <w:t xml:space="preserve">I’d welcome a conversation, including about the contract structure and rate.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2026-09-14T19:53:16Z</dcterms:created>
  <dcterms:modified xsi:type="dcterms:W3CDTF">2026-09-14T19:53:16Z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