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63dc2f1ae752ab0b6bb32093ceee922ff943df"/>
    <w:p>
      <w:pPr>
        <w:pStyle w:val="Heading1"/>
      </w:pPr>
      <w:r>
        <w:t xml:space="preserve">Cover Letter — Thndr (Senior Backend Engineer, Money Movements Squad)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I replaced a distributed-transaction design that had forced an entire enterprise platform onto one shared database with Temporal Saga orchestration — the same correctness-under-partial-failure problem money movement has. Plus real payments integration: Stripe, Paymob, webhooks with HMAC verification.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Backend Engineer role on the Money Movements squad. What drew me to it is the emphasis on correctness — deposits, withdrawals, settlement and reconciliation are the class of problem where</w:t>
      </w:r>
      <w:r>
        <w:t xml:space="preserve"> </w:t>
      </w:r>
      <w:r>
        <w:t xml:space="preserve">“mostly works”</w:t>
      </w:r>
      <w:r>
        <w:t xml:space="preserve"> </w:t>
      </w:r>
      <w:r>
        <w:t xml:space="preserve">is a failure, and that’s the problem I’ve spent the last two years on.</w:t>
      </w:r>
    </w:p>
    <w:p>
      <w:pPr>
        <w:pStyle w:val="BodyText"/>
      </w:pPr>
      <w:r>
        <w:t xml:space="preserve">The specific parallel: the platform I work on at Andalusia ran distributed transactions through MS DTC, which isn’t supported on .NET Core and had been worked around by forcing every service onto a single shared database. I replaced that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 </w:t>
      </w:r>
      <w:r>
        <w:t xml:space="preserve">— long-running, recoverable transactions with compensating steps across service boundaries — and improved 10+ inter-service interaction patterns in the process. That is the settlement and reconciliation problem in a different domain.</w:t>
      </w:r>
    </w:p>
    <w:p>
      <w:pPr>
        <w:pStyle w:val="BodyText"/>
      </w:pPr>
      <w:r>
        <w:t xml:space="preserve">Also relevant to your stack and scope:</w:t>
      </w:r>
    </w:p>
    <w:p>
      <w:pPr>
        <w:pStyle w:val="Compact"/>
        <w:numPr>
          <w:ilvl w:val="0"/>
          <w:numId w:val="1001"/>
        </w:numPr>
      </w:pPr>
      <w:r>
        <w:t xml:space="preserve">Backend in</w:t>
      </w:r>
      <w:r>
        <w:t xml:space="preserve"> </w:t>
      </w:r>
      <w:r>
        <w:rPr>
          <w:b/>
          <w:bCs/>
        </w:rPr>
        <w:t xml:space="preserve">both C# / .NET Core and Python</w:t>
      </w:r>
      <w:r>
        <w:t xml:space="preserve"> </w:t>
      </w:r>
      <w:r>
        <w:t xml:space="preserve">— ASP.NET Core and Minimal APIs on one side, FastAPI and Flask with SQLAlchemy and async/await on the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 and SQL Server</w:t>
      </w:r>
      <w:r>
        <w:t xml:space="preserve"> </w:t>
      </w:r>
      <w:r>
        <w:t xml:space="preserve">via Entity Framework Core;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for event-driven communication.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Payments integration:</w:t>
      </w:r>
      <w:r>
        <w:t xml:space="preserve"> </w:t>
      </w:r>
      <w:r>
        <w:t xml:space="preserve">Stripe and Paymob at Trastain and MYM, including webhook processing with HMAC signature verification and transaction security for booking execution.</w:t>
      </w:r>
    </w:p>
    <w:p>
      <w:pPr>
        <w:pStyle w:val="Compact"/>
        <w:numPr>
          <w:ilvl w:val="0"/>
          <w:numId w:val="1001"/>
        </w:numPr>
      </w:pPr>
      <w:r>
        <w:t xml:space="preserve">An OpenID Connect / OAuth2 identity server with JWT and scope-based authorization, plus OWASP-aware coding and PII masking.</w:t>
      </w:r>
    </w:p>
    <w:p>
      <w:pPr>
        <w:pStyle w:val="Compact"/>
        <w:numPr>
          <w:ilvl w:val="0"/>
          <w:numId w:val="1001"/>
        </w:numPr>
      </w:pPr>
      <w:r>
        <w:t xml:space="preserve">Production ownership — I troubleshoot live issues and performance-tune; a runtime rule engine I built runs 60% faster, and an API gateway change cut deployment downtime from two hours to fifteen minutes.</w:t>
      </w:r>
    </w:p>
    <w:p>
      <w:pPr>
        <w:pStyle w:val="FirstParagraph"/>
      </w:pPr>
      <w:r>
        <w:t xml:space="preserve">To be straightforward on two things: I’m at roughly three years rather than a senior track record, and I haven’t worked in a regulated financial domain — banks, settlement rails and reconciliation would be new to me. The distributed-correctness engineering underneath them would not be, and I’d rather say that plainly than oversell it.</w:t>
      </w:r>
    </w:p>
    <w:p>
      <w:pPr>
        <w:pStyle w:val="BodyText"/>
      </w:pPr>
      <w:r>
        <w:t xml:space="preserve">I’d welcome the chance to talk.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2026-09-14T19:53:39Z</dcterms:created>
  <dcterms:modified xsi:type="dcterms:W3CDTF">2026-09-14T19:53:39Z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