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aps/>
          <w:color w:val="6B7280"/>
          <w:sz w:val="18"/>
          <w:szCs w:val="18"/>
        </w:rPr>
        <w:t xml:space="preserve">[COMPANY NAME]</w:t>
      </w:r>
    </w:p>
    <w:p>
      <w:pPr>
        <w:spacing w:after="20"/>
      </w:pPr>
      <w:r>
        <w:rPr>
          <w:b/>
          <w:bCs/>
          <w:color w:val="0A434B"/>
          <w:sz w:val="40"/>
          <w:szCs w:val="40"/>
        </w:rPr>
        <w:t xml:space="preserve">Laboratory Information System</w:t>
      </w:r>
    </w:p>
    <w:p>
      <w:pPr>
        <w:spacing w:after="80"/>
      </w:pPr>
      <w:r>
        <w:rPr>
          <w:b/>
          <w:bCs/>
          <w:color w:val="0F5E68"/>
          <w:sz w:val="26"/>
          <w:szCs w:val="26"/>
        </w:rPr>
        <w:t xml:space="preserve">Subscription Plans &amp; Price List — Egypt</w:t>
      </w:r>
    </w:p>
    <w:p>
      <w:pPr>
        <w:pBdr>
          <w:bottom w:val="single" w:color="0F5E68" w:sz="8" w:space="6"/>
        </w:pBdr>
        <w:spacing w:after="200"/>
      </w:pPr>
      <w:r>
        <w:rPr>
          <w:color w:val="6B7280"/>
          <w:sz w:val="18"/>
          <w:szCs w:val="18"/>
        </w:rPr>
        <w:t xml:space="preserve">Effective August 2026 · All prices in Egyptian Pounds (EGP), exclusive of 14% VAT · Valid for 30 days from issue</w:t>
      </w:r>
    </w:p>
    <w:p>
      <w:pPr>
        <w:pStyle w:val="Heading1"/>
      </w:pPr>
      <w:r>
        <w:t xml:space="preserve">1. Subscription Plans</w:t>
      </w:r>
    </w:p>
    <w:tbl>
      <w:tblPr>
        <w:tblW w:type="auto" w:w="100"/>
        <w:tblBorders>
          <w:top w:val="single" w:color="C9DADD" w:sz="4"/>
          <w:left w:val="single" w:color="C9DADD" w:sz="4"/>
          <w:bottom w:val="single" w:color="C9DADD" w:sz="4"/>
          <w:right w:val="single" w:color="C9DADD" w:sz="4"/>
          <w:insideH w:val="single" w:color="C9DADD" w:sz="4"/>
          <w:insideV w:val="single" w:color="C9DADD" w:sz="4"/>
        </w:tblBorders>
      </w:tblPr>
      <w:tblGrid>
        <w:gridCol w:w="2146"/>
        <w:gridCol w:w="1900"/>
        <w:gridCol w:w="1900"/>
        <w:gridCol w:w="1900"/>
        <w:gridCol w:w="1900"/>
      </w:tblGrid>
      <w:tr>
        <w:trPr>
          <w:tblHeader/>
        </w:trPr>
        <w:tc>
          <w:tcPr>
            <w:tcW w:type="dxa" w:w="2146"/>
            <w:shd w:fill="0F5E6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1900"/>
            <w:shd w:fill="0F5E6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LITE</w:t>
            </w:r>
          </w:p>
        </w:tc>
        <w:tc>
          <w:tcPr>
            <w:tcW w:type="dxa" w:w="1900"/>
            <w:shd w:fill="0F5E6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STARTER</w:t>
            </w:r>
          </w:p>
        </w:tc>
        <w:tc>
          <w:tcPr>
            <w:tcW w:type="dxa" w:w="1900"/>
            <w:shd w:fill="0F5E6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PROFESSIONAL</w:t>
            </w:r>
          </w:p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CFEAEE"/>
                <w:sz w:val="15"/>
                <w:szCs w:val="15"/>
              </w:rPr>
              <w:t xml:space="preserve">Recommended</w:t>
            </w:r>
          </w:p>
        </w:tc>
        <w:tc>
          <w:tcPr>
            <w:tcW w:type="dxa" w:w="1900"/>
            <w:shd w:fill="0F5E6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ENTERPRISE</w:t>
            </w:r>
          </w:p>
        </w:tc>
      </w:tr>
      <w:tr>
        <w:tc>
          <w:tcPr>
            <w:tcW w:type="dxa" w:w="214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F3B42"/>
                <w:sz w:val="19"/>
                <w:szCs w:val="19"/>
              </w:rPr>
              <w:t xml:space="preserve">Best for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Very small labs (single shift)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Single-site labs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Chains of 2–10 branches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Networks &amp; reference labs</w:t>
            </w:r>
          </w:p>
        </w:tc>
      </w:tr>
      <w:tr>
        <w:tc>
          <w:tcPr>
            <w:tcW w:type="dxa" w:w="2146"/>
            <w:shd w:fill="EDF5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F3B42"/>
                <w:sz w:val="19"/>
                <w:szCs w:val="19"/>
              </w:rPr>
              <w:t xml:space="preserve">Base fee (per branch / month)</w:t>
            </w:r>
          </w:p>
        </w:tc>
        <w:tc>
          <w:tcPr>
            <w:tcW w:type="dxa" w:w="1900"/>
            <w:shd w:fill="EDF5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EGP 1,499</w:t>
            </w:r>
          </w:p>
        </w:tc>
        <w:tc>
          <w:tcPr>
            <w:tcW w:type="dxa" w:w="1900"/>
            <w:shd w:fill="EDF5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EGP 2,999</w:t>
            </w:r>
          </w:p>
        </w:tc>
        <w:tc>
          <w:tcPr>
            <w:tcW w:type="dxa" w:w="1900"/>
            <w:shd w:fill="EDF5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EGP 6,499</w:t>
            </w:r>
          </w:p>
        </w:tc>
        <w:tc>
          <w:tcPr>
            <w:tcW w:type="dxa" w:w="1900"/>
            <w:shd w:fill="EDF5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Custom (annual contract)</w:t>
            </w:r>
          </w:p>
        </w:tc>
      </w:tr>
      <w:tr>
        <w:tc>
          <w:tcPr>
            <w:tcW w:type="dxa" w:w="214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F3B42"/>
                <w:sz w:val="19"/>
                <w:szCs w:val="19"/>
              </w:rPr>
              <w:t xml:space="preserve">Users included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2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5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15 per branch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Unlimited</w:t>
            </w:r>
          </w:p>
        </w:tc>
      </w:tr>
      <w:tr>
        <w:tc>
          <w:tcPr>
            <w:tcW w:type="dxa" w:w="2146"/>
            <w:shd w:fill="EDF5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F3B42"/>
                <w:sz w:val="19"/>
                <w:szCs w:val="19"/>
              </w:rPr>
              <w:t xml:space="preserve">Extra full user / month</w:t>
            </w:r>
          </w:p>
        </w:tc>
        <w:tc>
          <w:tcPr>
            <w:tcW w:type="dxa" w:w="1900"/>
            <w:shd w:fill="EDF5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—</w:t>
            </w:r>
          </w:p>
        </w:tc>
        <w:tc>
          <w:tcPr>
            <w:tcW w:type="dxa" w:w="1900"/>
            <w:shd w:fill="EDF5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EGP 349</w:t>
            </w:r>
          </w:p>
        </w:tc>
        <w:tc>
          <w:tcPr>
            <w:tcW w:type="dxa" w:w="1900"/>
            <w:shd w:fill="EDF5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EGP 249</w:t>
            </w:r>
          </w:p>
        </w:tc>
        <w:tc>
          <w:tcPr>
            <w:tcW w:type="dxa" w:w="1900"/>
            <w:shd w:fill="EDF5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14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F3B42"/>
                <w:sz w:val="19"/>
                <w:szCs w:val="19"/>
              </w:rPr>
              <w:t xml:space="preserve">View-only user / month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EGP 99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EGP 99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EGP 79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146"/>
            <w:shd w:fill="EDF5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F3B42"/>
                <w:sz w:val="19"/>
                <w:szCs w:val="19"/>
              </w:rPr>
              <w:t xml:space="preserve">Instrument interfaces included</w:t>
            </w:r>
          </w:p>
        </w:tc>
        <w:tc>
          <w:tcPr>
            <w:tcW w:type="dxa" w:w="1900"/>
            <w:shd w:fill="EDF5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1</w:t>
            </w:r>
          </w:p>
        </w:tc>
        <w:tc>
          <w:tcPr>
            <w:tcW w:type="dxa" w:w="1900"/>
            <w:shd w:fill="EDF5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2</w:t>
            </w:r>
          </w:p>
        </w:tc>
        <w:tc>
          <w:tcPr>
            <w:tcW w:type="dxa" w:w="1900"/>
            <w:shd w:fill="EDF5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6 per branch</w:t>
            </w:r>
          </w:p>
        </w:tc>
        <w:tc>
          <w:tcPr>
            <w:tcW w:type="dxa" w:w="1900"/>
            <w:shd w:fill="EDF5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Custom</w:t>
            </w:r>
          </w:p>
        </w:tc>
      </w:tr>
      <w:tr>
        <w:tc>
          <w:tcPr>
            <w:tcW w:type="dxa" w:w="214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F3B42"/>
                <w:sz w:val="19"/>
                <w:szCs w:val="19"/>
              </w:rPr>
              <w:t xml:space="preserve">Monthly report allowance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1,500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3,000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15,000 per branch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Custom</w:t>
            </w:r>
          </w:p>
        </w:tc>
      </w:tr>
      <w:tr>
        <w:tc>
          <w:tcPr>
            <w:tcW w:type="dxa" w:w="2146"/>
            <w:shd w:fill="EDF5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F3B42"/>
                <w:sz w:val="19"/>
                <w:szCs w:val="19"/>
              </w:rPr>
              <w:t xml:space="preserve">Overage per extra report</w:t>
            </w:r>
          </w:p>
        </w:tc>
        <w:tc>
          <w:tcPr>
            <w:tcW w:type="dxa" w:w="1900"/>
            <w:shd w:fill="EDF5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EGP 0.75</w:t>
            </w:r>
          </w:p>
        </w:tc>
        <w:tc>
          <w:tcPr>
            <w:tcW w:type="dxa" w:w="1900"/>
            <w:shd w:fill="EDF5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EGP 0.50</w:t>
            </w:r>
          </w:p>
        </w:tc>
        <w:tc>
          <w:tcPr>
            <w:tcW w:type="dxa" w:w="1900"/>
            <w:shd w:fill="EDF5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EGP 0.35</w:t>
            </w:r>
          </w:p>
        </w:tc>
        <w:tc>
          <w:tcPr>
            <w:tcW w:type="dxa" w:w="1900"/>
            <w:shd w:fill="EDF5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14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F3B42"/>
                <w:sz w:val="19"/>
                <w:szCs w:val="19"/>
              </w:rPr>
              <w:t xml:space="preserve">Additional branch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—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—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Base fee − 25%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Negotiated</w:t>
            </w:r>
          </w:p>
        </w:tc>
      </w:tr>
      <w:tr>
        <w:tc>
          <w:tcPr>
            <w:tcW w:type="dxa" w:w="2146"/>
            <w:shd w:fill="EDF5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F3B42"/>
                <w:sz w:val="19"/>
                <w:szCs w:val="19"/>
              </w:rPr>
              <w:t xml:space="preserve">Draw station / collection point</w:t>
            </w:r>
          </w:p>
        </w:tc>
        <w:tc>
          <w:tcPr>
            <w:tcW w:type="dxa" w:w="1900"/>
            <w:shd w:fill="EDF5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—</w:t>
            </w:r>
          </w:p>
        </w:tc>
        <w:tc>
          <w:tcPr>
            <w:tcW w:type="dxa" w:w="1900"/>
            <w:shd w:fill="EDF5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—</w:t>
            </w:r>
          </w:p>
        </w:tc>
        <w:tc>
          <w:tcPr>
            <w:tcW w:type="dxa" w:w="1900"/>
            <w:shd w:fill="EDF5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EGP 499 / month each</w:t>
            </w:r>
          </w:p>
        </w:tc>
        <w:tc>
          <w:tcPr>
            <w:tcW w:type="dxa" w:w="1900"/>
            <w:shd w:fill="EDF5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Included up to agreed cap</w:t>
            </w:r>
          </w:p>
        </w:tc>
      </w:tr>
      <w:tr>
        <w:tc>
          <w:tcPr>
            <w:tcW w:type="dxa" w:w="214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F3B42"/>
                <w:sz w:val="19"/>
                <w:szCs w:val="19"/>
              </w:rPr>
              <w:t xml:space="preserve">Support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Ticket only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Business hours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Extended hours + priority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24/7, SLA, named CSM</w:t>
            </w:r>
          </w:p>
        </w:tc>
      </w:tr>
    </w:tbl>
    <w:p>
      <w:pPr>
        <w:spacing w:after="160" w:before="80"/>
      </w:pPr>
      <w:r>
        <w:rPr>
          <w:i/>
          <w:iCs/>
          <w:color w:val="6B7280"/>
          <w:sz w:val="17"/>
          <w:szCs w:val="17"/>
        </w:rPr>
        <w:t xml:space="preserve">Every plan includes the Core LIS: patient registration, orders, barcoding, worklists, result entry and validation, quality control, and bilingual Arabic/English reporting. A branch is a location that processes samples; collection-only points are billed as draw stations.</w:t>
      </w:r>
    </w:p>
    <w:p>
      <w:pPr>
        <w:pStyle w:val="Heading1"/>
      </w:pPr>
      <w:r>
        <w:t xml:space="preserve">2. Modules &amp; Add-ons</w:t>
      </w:r>
    </w:p>
    <w:tbl>
      <w:tblPr>
        <w:tblW w:type="auto" w:w="100"/>
        <w:tblBorders>
          <w:top w:val="single" w:color="C9DADD" w:sz="4"/>
          <w:left w:val="single" w:color="C9DADD" w:sz="4"/>
          <w:bottom w:val="single" w:color="C9DADD" w:sz="4"/>
          <w:right w:val="single" w:color="C9DADD" w:sz="4"/>
          <w:insideH w:val="single" w:color="C9DADD" w:sz="4"/>
          <w:insideV w:val="single" w:color="C9DADD" w:sz="4"/>
        </w:tblBorders>
      </w:tblPr>
      <w:tblGrid>
        <w:gridCol w:w="5246"/>
        <w:gridCol w:w="2300"/>
        <w:gridCol w:w="2200"/>
      </w:tblGrid>
      <w:tr>
        <w:trPr>
          <w:tblHeader/>
        </w:trPr>
        <w:tc>
          <w:tcPr>
            <w:tcW w:type="dxa" w:w="5246"/>
            <w:shd w:fill="0F5E6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2300"/>
            <w:shd w:fill="0F5E6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Billing scope</w:t>
            </w:r>
          </w:p>
        </w:tc>
        <w:tc>
          <w:tcPr>
            <w:tcW w:type="dxa" w:w="2200"/>
            <w:shd w:fill="0F5E6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EGP / month</w:t>
            </w:r>
          </w:p>
        </w:tc>
      </w:tr>
      <w:tr>
        <w:tc>
          <w:tcPr>
            <w:tcW w:type="dxa" w:w="524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F3B42"/>
                <w:sz w:val="19"/>
                <w:szCs w:val="19"/>
              </w:rPr>
              <w:t xml:space="preserve">Core LIS — registration, orders, barcoding, worklists, result entry &amp; validation, QC, bilingual AR/EN reports</w:t>
            </w:r>
          </w:p>
        </w:tc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—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F5E68"/>
                <w:sz w:val="19"/>
                <w:szCs w:val="19"/>
              </w:rPr>
              <w:t xml:space="preserve">Included in all plans</w:t>
            </w:r>
          </w:p>
        </w:tc>
      </w:tr>
      <w:tr>
        <w:tc>
          <w:tcPr>
            <w:tcW w:type="dxa" w:w="5246"/>
            <w:shd w:fill="EDF5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F3B42"/>
                <w:sz w:val="19"/>
                <w:szCs w:val="19"/>
              </w:rPr>
              <w:t xml:space="preserve">Microbiology</w:t>
            </w:r>
          </w:p>
        </w:tc>
        <w:tc>
          <w:tcPr>
            <w:tcW w:type="dxa" w:w="2300"/>
            <w:shd w:fill="EDF5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Per branch</w:t>
            </w:r>
          </w:p>
        </w:tc>
        <w:tc>
          <w:tcPr>
            <w:tcW w:type="dxa" w:w="2200"/>
            <w:shd w:fill="EDF5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1,499</w:t>
            </w:r>
          </w:p>
        </w:tc>
      </w:tr>
      <w:tr>
        <w:tc>
          <w:tcPr>
            <w:tcW w:type="dxa" w:w="524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F3B42"/>
                <w:sz w:val="19"/>
                <w:szCs w:val="19"/>
              </w:rPr>
              <w:t xml:space="preserve">Histopathology / Anatomic Pathology</w:t>
            </w:r>
          </w:p>
        </w:tc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Per branch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1,999</w:t>
            </w:r>
          </w:p>
        </w:tc>
      </w:tr>
      <w:tr>
        <w:tc>
          <w:tcPr>
            <w:tcW w:type="dxa" w:w="5246"/>
            <w:shd w:fill="EDF5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F3B42"/>
                <w:sz w:val="19"/>
                <w:szCs w:val="19"/>
              </w:rPr>
              <w:t xml:space="preserve">Blood Bank / Transfusion</w:t>
            </w:r>
          </w:p>
        </w:tc>
        <w:tc>
          <w:tcPr>
            <w:tcW w:type="dxa" w:w="2300"/>
            <w:shd w:fill="EDF5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Per branch</w:t>
            </w:r>
          </w:p>
        </w:tc>
        <w:tc>
          <w:tcPr>
            <w:tcW w:type="dxa" w:w="2200"/>
            <w:shd w:fill="EDF5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2,499</w:t>
            </w:r>
          </w:p>
        </w:tc>
      </w:tr>
      <w:tr>
        <w:tc>
          <w:tcPr>
            <w:tcW w:type="dxa" w:w="524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F3B42"/>
                <w:sz w:val="19"/>
                <w:szCs w:val="19"/>
              </w:rPr>
              <w:t xml:space="preserve">Molecular / Genetics</w:t>
            </w:r>
          </w:p>
        </w:tc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Per branch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2,999</w:t>
            </w:r>
          </w:p>
        </w:tc>
      </w:tr>
      <w:tr>
        <w:tc>
          <w:tcPr>
            <w:tcW w:type="dxa" w:w="5246"/>
            <w:shd w:fill="EDF5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F3B42"/>
                <w:sz w:val="19"/>
                <w:szCs w:val="19"/>
              </w:rPr>
              <w:t xml:space="preserve">Patient Portal + Mobile App</w:t>
            </w:r>
          </w:p>
        </w:tc>
        <w:tc>
          <w:tcPr>
            <w:tcW w:type="dxa" w:w="2300"/>
            <w:shd w:fill="EDF5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Organization-wide</w:t>
            </w:r>
          </w:p>
        </w:tc>
        <w:tc>
          <w:tcPr>
            <w:tcW w:type="dxa" w:w="2200"/>
            <w:shd w:fill="EDF5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999</w:t>
            </w:r>
          </w:p>
        </w:tc>
      </w:tr>
      <w:tr>
        <w:tc>
          <w:tcPr>
            <w:tcW w:type="dxa" w:w="524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F3B42"/>
                <w:sz w:val="19"/>
                <w:szCs w:val="19"/>
              </w:rPr>
              <w:t xml:space="preserve">WhatsApp &amp; SMS Results Delivery</w:t>
            </w:r>
          </w:p>
        </w:tc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Organization-wide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499 + message fees at cost</w:t>
            </w:r>
          </w:p>
        </w:tc>
      </w:tr>
      <w:tr>
        <w:tc>
          <w:tcPr>
            <w:tcW w:type="dxa" w:w="5246"/>
            <w:shd w:fill="EDF5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F3B42"/>
                <w:sz w:val="19"/>
                <w:szCs w:val="19"/>
              </w:rPr>
              <w:t xml:space="preserve">Physician / Outreach Portal</w:t>
            </w:r>
          </w:p>
        </w:tc>
        <w:tc>
          <w:tcPr>
            <w:tcW w:type="dxa" w:w="2300"/>
            <w:shd w:fill="EDF5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Organization-wide</w:t>
            </w:r>
          </w:p>
        </w:tc>
        <w:tc>
          <w:tcPr>
            <w:tcW w:type="dxa" w:w="2200"/>
            <w:shd w:fill="EDF5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1,299</w:t>
            </w:r>
          </w:p>
        </w:tc>
      </w:tr>
      <w:tr>
        <w:tc>
          <w:tcPr>
            <w:tcW w:type="dxa" w:w="524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F3B42"/>
                <w:sz w:val="19"/>
                <w:szCs w:val="19"/>
              </w:rPr>
              <w:t xml:space="preserve">Insurance &amp; Corporate Contracts (approvals, company billing, claims)</w:t>
            </w:r>
          </w:p>
        </w:tc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Per branch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1,499</w:t>
            </w:r>
          </w:p>
        </w:tc>
      </w:tr>
      <w:tr>
        <w:tc>
          <w:tcPr>
            <w:tcW w:type="dxa" w:w="5246"/>
            <w:shd w:fill="EDF5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F3B42"/>
                <w:sz w:val="19"/>
                <w:szCs w:val="19"/>
              </w:rPr>
              <w:t xml:space="preserve">ETA E-Invoice / E-Receipt Integration</w:t>
            </w:r>
          </w:p>
        </w:tc>
        <w:tc>
          <w:tcPr>
            <w:tcW w:type="dxa" w:w="2300"/>
            <w:shd w:fill="EDF5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Organization-wide</w:t>
            </w:r>
          </w:p>
        </w:tc>
        <w:tc>
          <w:tcPr>
            <w:tcW w:type="dxa" w:w="2200"/>
            <w:shd w:fill="EDF5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499 — free on Professional &amp; Enterprise</w:t>
            </w:r>
          </w:p>
        </w:tc>
      </w:tr>
      <w:tr>
        <w:tc>
          <w:tcPr>
            <w:tcW w:type="dxa" w:w="524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F3B42"/>
                <w:sz w:val="19"/>
                <w:szCs w:val="19"/>
              </w:rPr>
              <w:t xml:space="preserve">Inventory Management</w:t>
            </w:r>
          </w:p>
        </w:tc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Per branch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699</w:t>
            </w:r>
          </w:p>
        </w:tc>
      </w:tr>
      <w:tr>
        <w:tc>
          <w:tcPr>
            <w:tcW w:type="dxa" w:w="5246"/>
            <w:shd w:fill="EDF5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F3B42"/>
                <w:sz w:val="19"/>
                <w:szCs w:val="19"/>
              </w:rPr>
              <w:t xml:space="preserve">Analytics / BI Dashboards</w:t>
            </w:r>
          </w:p>
        </w:tc>
        <w:tc>
          <w:tcPr>
            <w:tcW w:type="dxa" w:w="2300"/>
            <w:shd w:fill="EDF5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Organization-wide</w:t>
            </w:r>
          </w:p>
        </w:tc>
        <w:tc>
          <w:tcPr>
            <w:tcW w:type="dxa" w:w="2200"/>
            <w:shd w:fill="EDF5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1,299</w:t>
            </w:r>
          </w:p>
        </w:tc>
      </w:tr>
    </w:tbl>
    <w:p>
      <w:pPr>
        <w:spacing w:after="160" w:before="80"/>
      </w:pPr>
      <w:r>
        <w:rPr>
          <w:i/>
          <w:iCs/>
          <w:color w:val="6B7280"/>
          <w:sz w:val="17"/>
          <w:szCs w:val="17"/>
        </w:rPr>
        <w:t xml:space="preserve">Per-branch modules are charged for each branch on which they are activated. Organization-wide modules cover all branches under one subscription.</w:t>
      </w:r>
    </w:p>
    <w:p>
      <w:pPr>
        <w:pStyle w:val="Heading1"/>
      </w:pPr>
      <w:r>
        <w:t xml:space="preserve">3. Instrument &amp; System Interfaces</w:t>
      </w:r>
    </w:p>
    <w:tbl>
      <w:tblPr>
        <w:tblW w:type="auto" w:w="100"/>
        <w:tblBorders>
          <w:top w:val="single" w:color="C9DADD" w:sz="4"/>
          <w:left w:val="single" w:color="C9DADD" w:sz="4"/>
          <w:bottom w:val="single" w:color="C9DADD" w:sz="4"/>
          <w:right w:val="single" w:color="C9DADD" w:sz="4"/>
          <w:insideH w:val="single" w:color="C9DADD" w:sz="4"/>
          <w:insideV w:val="single" w:color="C9DADD" w:sz="4"/>
        </w:tblBorders>
      </w:tblPr>
      <w:tblGrid>
        <w:gridCol w:w="4246"/>
        <w:gridCol w:w="2750"/>
        <w:gridCol w:w="2750"/>
      </w:tblGrid>
      <w:tr>
        <w:trPr>
          <w:tblHeader/>
        </w:trPr>
        <w:tc>
          <w:tcPr>
            <w:tcW w:type="dxa" w:w="4246"/>
            <w:shd w:fill="0F5E6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Interface type</w:t>
            </w:r>
          </w:p>
        </w:tc>
        <w:tc>
          <w:tcPr>
            <w:tcW w:type="dxa" w:w="2750"/>
            <w:shd w:fill="0F5E6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One-time setup (EGP)</w:t>
            </w:r>
          </w:p>
        </w:tc>
        <w:tc>
          <w:tcPr>
            <w:tcW w:type="dxa" w:w="2750"/>
            <w:shd w:fill="0F5E6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Monthly (EGP)</w:t>
            </w:r>
          </w:p>
        </w:tc>
      </w:tr>
      <w:tr>
        <w:tc>
          <w:tcPr>
            <w:tcW w:type="dxa" w:w="424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F3B42"/>
                <w:sz w:val="19"/>
                <w:szCs w:val="19"/>
              </w:rPr>
              <w:t xml:space="preserve">Laboratory instrument (ASTM / HL7 driver)</w:t>
            </w:r>
          </w:p>
        </w:tc>
        <w:tc>
          <w:tcPr>
            <w:tcW w:type="dxa" w:w="27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4,999</w:t>
            </w:r>
          </w:p>
        </w:tc>
        <w:tc>
          <w:tcPr>
            <w:tcW w:type="dxa" w:w="27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299</w:t>
            </w:r>
          </w:p>
        </w:tc>
      </w:tr>
      <w:tr>
        <w:tc>
          <w:tcPr>
            <w:tcW w:type="dxa" w:w="4246"/>
            <w:shd w:fill="EDF5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F3B42"/>
                <w:sz w:val="19"/>
                <w:szCs w:val="19"/>
              </w:rPr>
              <w:t xml:space="preserve">HIS / EMR integration (HL7 / FHIR)</w:t>
            </w:r>
          </w:p>
        </w:tc>
        <w:tc>
          <w:tcPr>
            <w:tcW w:type="dxa" w:w="2750"/>
            <w:shd w:fill="EDF5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14,999</w:t>
            </w:r>
          </w:p>
        </w:tc>
        <w:tc>
          <w:tcPr>
            <w:tcW w:type="dxa" w:w="2750"/>
            <w:shd w:fill="EDF5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999</w:t>
            </w:r>
          </w:p>
        </w:tc>
      </w:tr>
      <w:tr>
        <w:tc>
          <w:tcPr>
            <w:tcW w:type="dxa" w:w="424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F3B42"/>
                <w:sz w:val="19"/>
                <w:szCs w:val="19"/>
              </w:rPr>
              <w:t xml:space="preserve">Reference-lab send-out connection</w:t>
            </w:r>
          </w:p>
        </w:tc>
        <w:tc>
          <w:tcPr>
            <w:tcW w:type="dxa" w:w="27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4,999</w:t>
            </w:r>
          </w:p>
        </w:tc>
        <w:tc>
          <w:tcPr>
            <w:tcW w:type="dxa" w:w="27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599</w:t>
            </w:r>
          </w:p>
        </w:tc>
      </w:tr>
    </w:tbl>
    <w:p>
      <w:pPr>
        <w:spacing w:after="160" w:before="80"/>
      </w:pPr>
      <w:r>
        <w:rPr>
          <w:i/>
          <w:iCs/>
          <w:color w:val="6B7280"/>
          <w:sz w:val="17"/>
          <w:szCs w:val="17"/>
        </w:rPr>
        <w:t xml:space="preserve">Fees apply only beyond the interface count included in each plan. Instrument-interface setup fees are waived on annual-prepay Professional and Enterprise contracts.</w:t>
      </w:r>
    </w:p>
    <w:p>
      <w:pPr>
        <w:pStyle w:val="Heading1"/>
      </w:pPr>
      <w:r>
        <w:t xml:space="preserve">4. Implementation &amp; Onboarding (one-time)</w:t>
      </w:r>
    </w:p>
    <w:tbl>
      <w:tblPr>
        <w:tblW w:type="auto" w:w="100"/>
        <w:tblBorders>
          <w:top w:val="single" w:color="C9DADD" w:sz="4"/>
          <w:left w:val="single" w:color="C9DADD" w:sz="4"/>
          <w:bottom w:val="single" w:color="C9DADD" w:sz="4"/>
          <w:right w:val="single" w:color="C9DADD" w:sz="4"/>
          <w:insideH w:val="single" w:color="C9DADD" w:sz="4"/>
          <w:insideV w:val="single" w:color="C9DADD" w:sz="4"/>
        </w:tblBorders>
      </w:tblPr>
      <w:tblGrid>
        <w:gridCol w:w="2646"/>
        <w:gridCol w:w="7100"/>
      </w:tblGrid>
      <w:tr>
        <w:trPr>
          <w:tblHeader/>
        </w:trPr>
        <w:tc>
          <w:tcPr>
            <w:tcW w:type="dxa" w:w="2646"/>
            <w:shd w:fill="0F5E6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7100"/>
            <w:shd w:fill="0F5E6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One-time onboarding &amp; training (EGP)</w:t>
            </w:r>
          </w:p>
        </w:tc>
      </w:tr>
      <w:tr>
        <w:tc>
          <w:tcPr>
            <w:tcW w:type="dxa" w:w="264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F3B42"/>
                <w:sz w:val="19"/>
                <w:szCs w:val="19"/>
              </w:rPr>
              <w:t xml:space="preserve">Lite</w:t>
            </w:r>
          </w:p>
        </w:tc>
        <w:tc>
          <w:tcPr>
            <w:tcW w:type="dxa" w:w="7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2,500 — remote setup and one online training session</w:t>
            </w:r>
          </w:p>
        </w:tc>
      </w:tr>
      <w:tr>
        <w:tc>
          <w:tcPr>
            <w:tcW w:type="dxa" w:w="2646"/>
            <w:shd w:fill="EDF5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F3B42"/>
                <w:sz w:val="19"/>
                <w:szCs w:val="19"/>
              </w:rPr>
              <w:t xml:space="preserve">Starter</w:t>
            </w:r>
          </w:p>
        </w:tc>
        <w:tc>
          <w:tcPr>
            <w:tcW w:type="dxa" w:w="7100"/>
            <w:shd w:fill="EDF5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4,999 — remote setup, test-catalogue import, two training sessions</w:t>
            </w:r>
          </w:p>
        </w:tc>
      </w:tr>
      <w:tr>
        <w:tc>
          <w:tcPr>
            <w:tcW w:type="dxa" w:w="264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F3B42"/>
                <w:sz w:val="19"/>
                <w:szCs w:val="19"/>
              </w:rPr>
              <w:t xml:space="preserve">Professional</w:t>
            </w:r>
          </w:p>
        </w:tc>
        <w:tc>
          <w:tcPr>
            <w:tcW w:type="dxa" w:w="7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9,999 per branch — data migration, on-site training option, four sessions</w:t>
            </w:r>
          </w:p>
        </w:tc>
      </w:tr>
      <w:tr>
        <w:tc>
          <w:tcPr>
            <w:tcW w:type="dxa" w:w="2646"/>
            <w:shd w:fill="EDF5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F3B42"/>
                <w:sz w:val="19"/>
                <w:szCs w:val="19"/>
              </w:rPr>
              <w:t xml:space="preserve">Enterprise</w:t>
            </w:r>
          </w:p>
        </w:tc>
        <w:tc>
          <w:tcPr>
            <w:tcW w:type="dxa" w:w="7100"/>
            <w:shd w:fill="EDF5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Custom — dedicated implementation project with agreed milestones</w:t>
            </w:r>
          </w:p>
        </w:tc>
      </w:tr>
    </w:tbl>
    <w:p>
      <w:pPr>
        <w:pStyle w:val="Heading1"/>
      </w:pPr>
      <w:r>
        <w:t xml:space="preserve">5. Commercial Terms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0F3B42"/>
          <w:sz w:val="20"/>
          <w:szCs w:val="20"/>
        </w:rPr>
        <w:t xml:space="preserve">Currency &amp; tax: </w:t>
      </w:r>
      <w:r>
        <w:rPr>
          <w:color w:val="1F2937"/>
          <w:sz w:val="20"/>
          <w:szCs w:val="20"/>
        </w:rPr>
        <w:t xml:space="preserve">All prices are in Egyptian Pounds (EGP) and exclude VAT (14%).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0F3B42"/>
          <w:sz w:val="20"/>
          <w:szCs w:val="20"/>
        </w:rPr>
        <w:t xml:space="preserve">Billing cycles: </w:t>
      </w:r>
      <w:r>
        <w:rPr>
          <w:color w:val="1F2937"/>
          <w:sz w:val="20"/>
          <w:szCs w:val="20"/>
        </w:rPr>
        <w:t xml:space="preserve">Monthly or quarterly in advance. Annual prepay: pay for 10 months, get 12 (~17% saving).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0F3B42"/>
          <w:sz w:val="20"/>
          <w:szCs w:val="20"/>
        </w:rPr>
        <w:t xml:space="preserve">Payment methods: </w:t>
      </w:r>
      <w:r>
        <w:rPr>
          <w:color w:val="1F2937"/>
          <w:sz w:val="20"/>
          <w:szCs w:val="20"/>
        </w:rPr>
        <w:t xml:space="preserve">Bank transfer or InstaPay; cash collection available for Lite and Starter.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0F3B42"/>
          <w:sz w:val="20"/>
          <w:szCs w:val="20"/>
        </w:rPr>
        <w:t xml:space="preserve">Currency adjustment: </w:t>
      </w:r>
      <w:r>
        <w:rPr>
          <w:color w:val="1F2937"/>
          <w:sz w:val="20"/>
          <w:szCs w:val="20"/>
        </w:rPr>
        <w:t xml:space="preserve">Prices are reviewed quarterly. If the EGP/USD exchange rate moves by more than 10% since the last review, list prices are adjusted proportionally from the next billing cycle.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0F3B42"/>
          <w:sz w:val="20"/>
          <w:szCs w:val="20"/>
        </w:rPr>
        <w:t xml:space="preserve">Contract term: </w:t>
      </w:r>
      <w:r>
        <w:rPr>
          <w:color w:val="1F2937"/>
          <w:sz w:val="20"/>
          <w:szCs w:val="20"/>
        </w:rPr>
        <w:t xml:space="preserve">Lite &amp; Starter: monthly rolling. Professional: 12 months. Enterprise: 24–36 months.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0F3B42"/>
          <w:sz w:val="20"/>
          <w:szCs w:val="20"/>
        </w:rPr>
        <w:t xml:space="preserve">Included in subscription: </w:t>
      </w:r>
      <w:r>
        <w:rPr>
          <w:color w:val="1F2937"/>
          <w:sz w:val="20"/>
          <w:szCs w:val="20"/>
        </w:rPr>
        <w:t xml:space="preserve">Cloud hosting, maintenance, daily backups, and all product updates.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0F3B42"/>
          <w:sz w:val="20"/>
          <w:szCs w:val="20"/>
        </w:rPr>
        <w:t xml:space="preserve">Data ownership &amp; exit: </w:t>
      </w:r>
      <w:r>
        <w:rPr>
          <w:color w:val="1F2937"/>
          <w:sz w:val="20"/>
          <w:szCs w:val="20"/>
        </w:rPr>
        <w:t xml:space="preserve">Customer data can be exported at any time in standard formats and is retained for 90 days after termination.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0F3B42"/>
          <w:sz w:val="20"/>
          <w:szCs w:val="20"/>
        </w:rPr>
        <w:t xml:space="preserve">Validity: </w:t>
      </w:r>
      <w:r>
        <w:rPr>
          <w:color w:val="1F2937"/>
          <w:sz w:val="20"/>
          <w:szCs w:val="20"/>
        </w:rPr>
        <w:t xml:space="preserve">This price list is valid for 30 days from the issue date.</w:t>
      </w:r>
    </w:p>
    <w:p>
      <w:pPr>
        <w:pStyle w:val="Heading1"/>
      </w:pPr>
      <w:r>
        <w:t xml:space="preserve">6. Definitions &amp; Fair Use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0F3B42"/>
          <w:sz w:val="20"/>
          <w:szCs w:val="20"/>
        </w:rPr>
        <w:t xml:space="preserve">Branch: </w:t>
      </w:r>
      <w:r>
        <w:rPr>
          <w:color w:val="1F2937"/>
          <w:sz w:val="20"/>
          <w:szCs w:val="20"/>
        </w:rPr>
        <w:t xml:space="preserve">A laboratory location that processes samples on its own analyzers.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0F3B42"/>
          <w:sz w:val="20"/>
          <w:szCs w:val="20"/>
        </w:rPr>
        <w:t xml:space="preserve">Draw station / collection point: </w:t>
      </w:r>
      <w:r>
        <w:rPr>
          <w:color w:val="1F2937"/>
          <w:sz w:val="20"/>
          <w:szCs w:val="20"/>
        </w:rPr>
        <w:t xml:space="preserve">A location that only registers patients and collects samples for processing at a branch; no on-site analyzers.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0F3B42"/>
          <w:sz w:val="20"/>
          <w:szCs w:val="20"/>
        </w:rPr>
        <w:t xml:space="preserve">Full user: </w:t>
      </w:r>
      <w:r>
        <w:rPr>
          <w:color w:val="1F2937"/>
          <w:sz w:val="20"/>
          <w:szCs w:val="20"/>
        </w:rPr>
        <w:t xml:space="preserve">Any account that can enter, edit, validate, or release results.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0F3B42"/>
          <w:sz w:val="20"/>
          <w:szCs w:val="20"/>
        </w:rPr>
        <w:t xml:space="preserve">View-only user: </w:t>
      </w:r>
      <w:r>
        <w:rPr>
          <w:color w:val="1F2937"/>
          <w:sz w:val="20"/>
          <w:szCs w:val="20"/>
        </w:rPr>
        <w:t xml:space="preserve">Reception, phlebotomy, and courier roles: register patients, print barcodes, view and deliver reports; cannot release results.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0F3B42"/>
          <w:sz w:val="20"/>
          <w:szCs w:val="20"/>
        </w:rPr>
        <w:t xml:space="preserve">Report: </w:t>
      </w:r>
      <w:r>
        <w:rPr>
          <w:color w:val="1F2937"/>
          <w:sz w:val="20"/>
          <w:szCs w:val="20"/>
        </w:rPr>
        <w:t xml:space="preserve">One finalized patient report per visit (accession), regardless of the number of tests it contains. Unused monthly allowance does not roll over.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0F3B42"/>
          <w:sz w:val="20"/>
          <w:szCs w:val="20"/>
        </w:rPr>
        <w:t xml:space="preserve">Individual logins: </w:t>
      </w:r>
      <w:r>
        <w:rPr>
          <w:color w:val="1F2937"/>
          <w:sz w:val="20"/>
          <w:szCs w:val="20"/>
        </w:rPr>
        <w:t xml:space="preserve">Each staff member must use a personal login to preserve the result audit trail; sharing credentials breaches the service agreement.</w:t>
      </w:r>
    </w:p>
    <w:p>
      <w:pPr>
        <w:pStyle w:val="Heading1"/>
      </w:pPr>
      <w:r>
        <w:t xml:space="preserve">7. Built for the Egyptian Market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0F3B42"/>
          <w:sz w:val="20"/>
          <w:szCs w:val="20"/>
        </w:rPr>
        <w:t xml:space="preserve">Bilingual reporting: </w:t>
      </w:r>
      <w:r>
        <w:rPr>
          <w:color w:val="1F2937"/>
          <w:sz w:val="20"/>
          <w:szCs w:val="20"/>
        </w:rPr>
        <w:t xml:space="preserve">Arabic/English patient reports and printouts are part of the Core LIS.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0F3B42"/>
          <w:sz w:val="20"/>
          <w:szCs w:val="20"/>
        </w:rPr>
        <w:t xml:space="preserve">WhatsApp delivery: </w:t>
      </w:r>
      <w:r>
        <w:rPr>
          <w:color w:val="1F2937"/>
          <w:sz w:val="20"/>
          <w:szCs w:val="20"/>
        </w:rPr>
        <w:t xml:space="preserve">Send results to patients over WhatsApp — the primary patient channel in Egypt — via the messaging add-on.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0F3B42"/>
          <w:sz w:val="20"/>
          <w:szCs w:val="20"/>
        </w:rPr>
        <w:t xml:space="preserve">ETA compliance: </w:t>
      </w:r>
      <w:r>
        <w:rPr>
          <w:color w:val="1F2937"/>
          <w:sz w:val="20"/>
          <w:szCs w:val="20"/>
        </w:rPr>
        <w:t xml:space="preserve">E-invoice/e-receipt integration with the Egyptian Tax Authority; free on Professional and Enterprise.</w:t>
      </w:r>
    </w:p>
    <w:p>
      <w:pPr>
        <w:pBdr>
          <w:top w:val="single" w:color="C9DADD" w:sz="6" w:space="8"/>
        </w:pBdr>
        <w:spacing w:before="320"/>
      </w:pPr>
      <w:r>
        <w:rPr>
          <w:color w:val="6B7280"/>
          <w:sz w:val="18"/>
          <w:szCs w:val="18"/>
        </w:rPr>
        <w:t xml:space="preserve">Prepared by: [Company Name] · [Contact person] · [Phone] · [Email] · [Website]</w:t>
      </w:r>
    </w:p>
    <w:sectPr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5"/>
        <w:szCs w:val="15"/>
      </w:rPr>
      <w:t xml:space="preserve">[Company Name] · Confidential price list · 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/>
        <w:ind w:left="340" w:hanging="180"/>
      </w:pPr>
      <w:rPr>
        <w:color w:val="0F5E6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30" w:before="300"/>
    </w:pPr>
    <w:rPr>
      <w:rFonts w:ascii="Calibri" w:cs="Calibri" w:eastAsia="Calibri" w:hAnsi="Calibri"/>
      <w:b/>
      <w:bCs/>
      <w:color w:val="0A434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2026-08-12T13:12:21.768Z</dcterms:created>
  <dcterms:modified xsi:type="dcterms:W3CDTF">2026-08-12T13:12:21.783Z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