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400"/>
        <w:jc w:val="center"/>
      </w:pPr>
      <w:r>
        <w:drawing>
          <wp:inline distT="0" distB="0" distL="0" distR="0">
            <wp:extent cx="2857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color w:val="5A6472"/>
          <w:sz w:val="24"/>
          <w:szCs w:val="24"/>
        </w:rPr>
        <w:t xml:space="preserve">Multi-Tenant SaaS Platform</w:t>
      </w:r>
    </w:p>
    <w:p>
      <w:pPr>
        <w:spacing w:after="300" w:before="0"/>
        <w:jc w:val="center"/>
      </w:pPr>
      <w:r>
        <w:rPr>
          <w:b/>
          <w:bCs/>
          <w:color w:val="101D2C"/>
          <w:sz w:val="44"/>
          <w:szCs w:val="44"/>
        </w:rPr>
        <w:t xml:space="preserve">Software Requirements Specification</w:t>
      </w:r>
    </w:p>
    <w:p>
      <w:pPr>
        <w:spacing w:after="80" w:before="0"/>
        <w:jc w:val="center"/>
      </w:pPr>
      <w:r>
        <w:rPr>
          <w:color w:val="26303B"/>
          <w:sz w:val="21"/>
          <w:szCs w:val="21"/>
        </w:rPr>
        <w:t xml:space="preserve">Document ID: SLIS-SRS-001   •   Revision 2.0   •   Status: Draft for Review</w:t>
      </w:r>
    </w:p>
    <w:p>
      <w:pPr>
        <w:spacing w:after="80" w:before="0"/>
        <w:jc w:val="center"/>
      </w:pPr>
      <w:r>
        <w:rPr>
          <w:color w:val="26303B"/>
          <w:sz w:val="21"/>
          <w:szCs w:val="21"/>
        </w:rPr>
        <w:t xml:space="preserve">Conforms to ISO/IEC/IEEE 29148:2018 • Architecture per Enterprise Application Architect standard</w:t>
      </w:r>
    </w:p>
    <w:p>
      <w:pPr>
        <w:spacing w:after="2000" w:before="0"/>
        <w:jc w:val="center"/>
      </w:pPr>
      <w:r>
        <w:rPr>
          <w:color w:val="26303B"/>
          <w:sz w:val="21"/>
          <w:szCs w:val="21"/>
        </w:rPr>
        <w:t xml:space="preserve">Technology baseline: .NET 10 / ASP.NET Core / EF Core 10 / PostgreSQL 17 / Angular 19+</w:t>
      </w:r>
    </w:p>
    <w:p>
      <w:pPr>
        <w:spacing w:after="120" w:before="0"/>
        <w:jc w:val="center"/>
      </w:pPr>
      <w:r>
        <w:rPr>
          <w:i/>
          <w:iCs/>
          <w:color w:val="5A6472"/>
          <w:sz w:val="18"/>
          <w:szCs w:val="18"/>
        </w:rPr>
        <w:t xml:space="preserve">CONFIDENTIAL — National Technology internal and authorized development partners only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1. Introduction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1.1 Document Control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4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SLIS-SRS-001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Product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Sky LIS — Laboratory Information System (SaaS)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Revision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2.0 (Draft for Review)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Owner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National Technology — Product Engineering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Standard conformance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ISO/IEC/IEEE 29148:2018 (Requirements Engineering)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standard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Enterprise Application Architect — National Technology engineering standard (binding for all implementation)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Technology baseline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.NET 10 (LTS), ASP.NET Core, EF Core 10, PostgreSQL 17, Angular 19+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Brand &amp; design system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Sky LIS brand palette (Sky Blue #0284C7, Navy #101D2C, Light Blue #E7F4FD), Space Grotesk / IBM Plex typefaces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Issue date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2026-08-15 (draft — pending approval)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Approvals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Product Owner, Engineering Lead, Quality Manager — signatures pending</w:t>
            </w:r>
          </w:p>
        </w:tc>
      </w:tr>
    </w:tbl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Revision History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700"/>
        <w:gridCol w:w="1300"/>
        <w:gridCol w:w="2200"/>
        <w:gridCol w:w="4826"/>
      </w:tblGrid>
      <w:tr>
        <w:trPr>
          <w:tblHeader/>
        </w:trPr>
        <w:tc>
          <w:tcPr>
            <w:tcW w:type="dxa" w:w="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</w:t>
            </w:r>
          </w:p>
        </w:tc>
        <w:tc>
          <w:tcPr>
            <w:tcW w:type="dxa" w:w="1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Summary of Changes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1.0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Initial draft for review.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1.1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Validation fixes; scope exclusions; role catalog completion; NFR and retention additions.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2.0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Major re-baseline from product review: scope reduced to a phased MVP (11 modules in Phase 1); two-portal product structure made explicit (Admin Portal + Client Portal); architecture chapter expanded to bind the Enterprise Application Architect standard (Clean Architecture, SOLID, DDD, CQRS); patient registration redefined as visit-centric; master data re-specified as platform-seeded with tenant customization and sample-condition trees; worklists merged into role pages; billing simplified; subscription &amp; commercial model added from the LIS Subscription Plans (Egypt) price book; country-driven tenant defaults added.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1.2 Purpose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This Software Requirements Specification (SRS) defines the functional, non-functional, architectural, and interface requirements of Sky LIS, a multi-tenant, cloud-native Laboratory Information System delivered as Software-as-a-Service. Revision 2.0 re-baselines the product around a phased delivery plan agreed in product review (recorded as per-module annotations on the Sky LIS module map) and makes the product structure explicit: one platform, two portals — an Admin Portal operated by National Technology for tenant, plan, and subscription administration, and a Client Portal used by each tenant laboratory for daily operations. The document is written to be directly consumable by the development team: modules decompose into pages (screens), and each page is specified with purpose, access roles, UI composition, workflow, progress indicator, and validation/business rules. Requirement identifiers (FR-XXX-nnn) are stable and trace into backlog items, test cases, and acceptance criteria.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1.3 Product Scope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Sky LIS Phase 1 delivers the core laboratory value chain for independent labs, small chains, and collection-center networks: tenant provisioning and subscription administration (Admin Portal); and — per tenant in the Client Portal — user and role management, master data and catalog setup, visit-centric patient registration, order management, sample accessioning with reservation and rejection cycles, role-based worklists (Reception, Phlebotomist, Reporting), results entry with two-tier validation, report rendering and multi-channel delivery, simplified billing, and analytics dashboards. The platform is regulatory-aware by design: immutable audit trail, electronic signatures, permission-based RBAC with segregation of duties, and data protection controls aligned with HIPAA/GDPR and ISO 15189. Specialty departments (microbiology, histopathology, blood bank, molecular), QC/EQA, inventory, HL7/FHIR interoperability, document control, and the notification center are explicitly out of the current scope (Section 3); the B2B referral portal, patient portal, and instrument integration middleware are planned for later phases.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1.4 Intended 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Backend and frontend engineers implementing the system (.NET 10 / PostgreSQL 17 / Angular 19+).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QA engineers deriving test cases from workflows, progress states, and validation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DevOps engineers provisioning environments, CI/CD, and tenant infrastructure.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Product owners and laboratory domain experts reviewing scope and acceptance criteria.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1.5 Definitions &amp; Acronyms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Laboratory Information System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customer organization (lab or lab chain) with isolated data and configuration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physical facility of a tenant that processes samples on its own analyzers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Draw station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collection-only location; registers patients and collects samples for processing at a branch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console operated by National Technology: tenants, plans, subscriptions, platform health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The tenant-facing web application used by laboratory staff for daily operations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Visit registration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Creation of a patient visit (new order); the operational meaning of “registration” in Sky LIS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Sample 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pre-analytic state a sample must satisfy (e.g., fasting, 2-hour post-prandial); conditions form trees under sample types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Formal receipt and registration of a specimen into the laboratory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TAT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Turnaround Time — elapsed time between defined workflow milestones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Highest order priority requiring immediate processing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Full user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Any account that can enter, edit, validate, or release results (billable seat class)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View-only user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Reception/phlebotomy/courier account class; cannot release results (billable seat class)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 (billing)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finalized patient report per visit (accession), regardless of test count — the metering unit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RBAC / SoD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Role-Based Access Control / Segregation of Duties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RLS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PostgreSQL Row-Level Security — enforced tenant data isolation at the database layer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CQRS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Command Query Responsibility Segregation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Decision Record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PHI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Protected Health Information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MRN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Record Number (unique patient number per tenant)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e-Signature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Authenticated electronic signature with re-authentication, per 21 CFR Part 11 principles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ETA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Egyptian Tax Authority (e-invoice / e-receipt integration)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1.6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ISO/IEC/IEEE 29148:2018 — Systems and software engineering, requirements engineering.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ISO 15189:2022 — Medical laboratories, requirements for quality and competence.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HIPAA Security &amp; Privacy Rules; GDPR; 21 CFR Part 11 (electronic records/signatures) principles.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Enterprise Application Architect — National Technology engineering standard (architecture rules, working method, and Definition of Done binding on this SRS).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SLIS-SRS-001 Rev 1.1 — prior full-scope specification (superseded by this revision; out-of-scope module specifications remain the reference for later phases).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Sky LIS Module Map (overview + detailed) with per-module review annotations — the scope decisions encoded in Section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LIS Subscription Plans &amp; Price List — Egypt (August 2026) — the commercial model bound in Section 8.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1.7 Document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Requirement IDs: FR-&lt;MODULE&gt;-&lt;nnn&gt; for functional, NFR-&lt;nnn&gt; for non-functional. IDs are stable and never reused; IDs carried from Rev 1.1 keep their meaning.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Page IDs: P&lt;module&gt;.&lt;n&gt; (e.g., P05.2 = second page of module M05).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Priority uses MoSCoW: Must / Should / Could / Won’t (this release).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“Shall” denotes a mandatory requirement; “should” denotes a recommended behavior.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Progress Indicator sections define the status pipeline rendered as a stepper at the top of the page; states are canonical state machines implemented as guarded enumerations with full transition audit.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ASSUMPTION / OPEN QUESTION / RISK / DECISION markers flag missing or deferred information explicitly; critical business rules are never invented.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2. Overall Description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2.1 Product Perspective — One Platform, Two Portals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Sky LIS is a single SaaS platform exposing two separate web portals on one backend: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6303B"/>
          <w:sz w:val="21"/>
          <w:szCs w:val="21"/>
        </w:rPr>
        <w:t xml:space="preserve">Admin Portal (Platform Console). </w:t>
      </w:r>
      <w:r>
        <w:rPr>
          <w:color w:val="26303B"/>
          <w:sz w:val="21"/>
          <w:szCs w:val="21"/>
        </w:rPr>
        <w:t xml:space="preserve">Operated by National Technology. Provisions and manages tenants, subscription plans, metering and invoicing, country/regional default packs, platform health, and controlled support access. It also provides read-only, audited monitoring of each tenant’s user and role administration. It never exposes tenant PHI unless the tenant grants time-boxed support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6303B"/>
          <w:sz w:val="21"/>
          <w:szCs w:val="21"/>
        </w:rPr>
        <w:t xml:space="preserve">Client Portal (Tenant Application). </w:t>
      </w:r>
      <w:r>
        <w:rPr>
          <w:color w:val="26303B"/>
          <w:sz w:val="21"/>
          <w:szCs w:val="21"/>
        </w:rPr>
        <w:t xml:space="preserve">Used by each tenant laboratory’s staff for all daily operations: users and roles, master data, visit registration, orders, samples, worklists, results, reports, billing, and analytics. Every screen is tenant-scoped and branch/department-trimmed by the permission model.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Both portals are separate Angular applications sharing the same versioned API, identity platform, and modular-monolith backend. Public portals for patients and B2B partners are separate applications planned for Phase 2 (Section 3). The platform is extended by two lightweight on-premise agents in later phases: the Instrument Gateway Agent (Phase 3, M21) and the Print Agent (Phase 1 — barcode/label and report printing).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2.2 Solution Architecture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backend is a modular monolith on ASP.NET Core (.NET 10) organized by the modules in Sections 6–7 (microservices extraction only when independent deployment, scaling, or regulatory needs justify it — recorded as an ADR). It follows Clean Architecture with Domain-Driven Design and the mandated dependency direction: Angular → API → Application → Domain, with Infrastructure depending on Application and Domain. Communication: versioned REST/JSON APIs (OpenAPI-documented, Problem Details errors), SignalR for real-time worklist and dashboard updates, and an internal message bus (RabbitMQ via MassTransit) with outbox publication and inbox deduplication for domain events (VisitRegistered, SampleReceived, ResultValidated, CriticalValueFlagged, ReportDelivered, SubscriptionMetered…).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900"/>
        <w:gridCol w:w="3100"/>
        <w:gridCol w:w="4026"/>
      </w:tblGrid>
      <w:tr>
        <w:trPr>
          <w:tblHeader/>
        </w:trPr>
        <w:tc>
          <w:tcPr>
            <w:tcW w:type="dxa" w:w="19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Frontends (2 portals)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Angular 19+ — strict TypeScript, standalone components, Signals, RxJS, typed reactive forms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Feature-based architecture, lazy-loaded routes, facades/feature stores, presentational components; no business rules in components; the frontend is never the security boundary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API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ASP.NET Core Web API (thin controllers/endpoints), OpenAPI, SignalR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Versioned (/api/v1), Problem Details, rate limiting, health/readiness/liveness checks; request/response DTOs only — domain entities never cross the wire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Application core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CQRS with MediatR + FluentValidation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handler per use case; pipeline behaviors: validation, authentication context, authorization, tenant resolution, logging, tracing, transactions, idempotency, auditing, performance, exception mapping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Domain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Rich domain model (DDD)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Framework-pure: aggregates with protected state and explicit transitions (Appendix A), value objects (Money, EmailAddress, PhoneNumber, TenantId, OrderNumber, SampleId, ApprovalReason…), domain events, invariants, optimistic concurrency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 access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EF Core 10 + Npgsql; read side projects directly to DTOs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 generic repositories, no exposed IQueryable, no redundant unit-of-work over DbContext; migrations per module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Database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PostgreSQL 17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Schema per module, RLS for tenancy, partitioning for audit/results, constraints as second line of defense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Cache / RT state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Redis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Sessions, worklist counters, rate limiting; tenant-scoped keys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Messaging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RabbitMQ + MassTransit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Domain events; outbox pattern for publication, inbox/deduplication for consumption; no distributed transactions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Jobs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Hangfire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Jobs receive stable identifiers (never mutable entities), resolve tenant safely, are idempotent and retry-safe with bounded retries, and invoke application use cases only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S3-compatible (MinIO/cloud)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 PDFs, attachments; per-tenant prefixes with signed URLs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Identity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ASP.NET Identity + OpenIddict (OIDC)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MFA, token rotation/revocation, refresh-token security; SSO federation (Should)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Serilog (structured) + OpenTelemetry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Fields: service, environment, tenant, user, correlation/trace/span IDs, operation, command/query, entity, duration, outcome; per-tenant usage metering feeds subscription billing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Packaging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Docker containers on Kubernetes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Same image across environments; secrets injected at runtime from vault — never in code, bundles, images, or logs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2.3 Architecture Rules (Binding)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Implementation is bound by the Enterprise Application Architect standard. The rules below are requirements, not guidance; automated architecture tests enforce them in CI and violations fail the build.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Layering &amp; dependency direction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Dependency direction: Angular → API → Application → Domain; Infrastructure → Application and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Domain layer contains aggregates, entities, value objects, domain services, domain events, business invariants, and domain exceptions. It references no frameworks: no ASP.NET Core, EF Core, MediatR, Serilog, PostgreSQL libraries, infrastructure SDKs, HTTP concepts, or API models.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Application layer contains commands/queries and their handlers, DTOs, validators, authorization rules, use-case orchestration, transaction boundaries, interfaces for external dependencies, and idempotency/auditing behavior.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Infrastructure layer contains EF Core persistence, PostgreSQL configuration, external service integrations, file storage, email/notification providers, authentication implementations, message brokers, outbox/inbox implementations, Hangfire configuration, and observability exporters.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API layer contains thin controllers/endpoints, authentication setup, transport-level authorization policies, request/response mapping, Problem Details, API versioning, rate limiting, OpenAPI configuration, and health checks.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SOLID &amp; domain-model quality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Apply Clean Architecture, SOLID, Domain-Driven Design, and clear separation of concerns throughout.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 a rich domain model: protected state, meaningful behavior, explicit state transitions, value objects, domain events, aggregate boundaries, and optimistic concurrency where required. Aggregate methods protect invariants; no public setters or uncontrolled collection mutation.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Prohibited constructs: god classes, anemic domain models, generic repositories, repository-per-table abstractions, exposed IQueryable, redundant unit-of-work over DbContext, magic strings/numbers, hardcoded permissions/configuration/UI text, duplicate business logic, unnecessary abstractions.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business or persistence logic inside controllers, minimal-API endpoints, SignalR hubs, Hangfire jobs, or Angular components.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Never expose domain entities or persistence entities through APIs — request models, response DTOs, and dedicated query projections only.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CQRS &amp; consistency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Commands change state; queries retrieve data without changing state. MediatR dispatches commands, queries, and domain notifications; FluentValidation validates application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Pipeline behaviors (in order): validation, authentication context, authorization, tenant resolution, logging, tracing, transactions, idempotency, auditing, performance monitoring, exception 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Commands are idempotent when they may be retried (stable idempotency keys). Queries project directly to DTOs and never load full aggregates for list/reporting reads.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Consistency: database transactions per aggregate; optimistic concurrency for conflicting updates; outbox for reliable event publication; inbox/deduplication for consumption; explicit consistency boundaries between modules; no distributed transactions without a compelling documented reason (ADR).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Multi-tenancy enforcement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tenant identifier is never trusted from a request body. It resolves only from authenticated identity claims, verified host/route mapping, or trusted service credentials.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isolation is enforced across commands, queries, database access, background jobs, caches, files, SignalR groups, logs, audit records, events/messages, reports, and exports.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PostgreSQL Row-Level Security is the default enforcement layer (ADR-002); automated cross-tenant isolation tests run in CI and failing tests block release.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API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API operation defines: route, method, request/response DTOs, validation, authentication, authorization policy, tenant enforcement, resource-level access checks, idempotency, concurrency, audit behavior, error responses, pagination/sorting/filtering, versioning, and rate limiting.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Resource-oriented routes plus explicit business-action endpoints (e.g., POST /api/v1/orders/{id}/submit | approve | cancel).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Standardized Problem Details responses; never expose stack traces, SQL, connection information, internal class names, secrets, or infrastructure details.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Frontend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Feature-based Angular architecture: standalone components, lazy-loaded routes, strict TypeScript, typed reactive forms, Signals for local reactive state, RxJS for asynchronous streams, centralized API services, facades/feature stores for orchestration, presentational components for rendering.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user-facing workflow handles: loading state, empty state, validation errors, server errors, authorization denial, duplicate submission, success feedback, retry behavior, responsive layout, accessibility, and localization.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Governance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Significant decisions are recorded as ADRs (modular monolith vs microservices, tenancy model, RLS, event-driven integration, messaging technology, authentication architecture, caching, search, file storage, reporting architecture, consistency trade-offs, accepted exceptions) with context, decision, alternatives, consequences, risks, and revisit criteria.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Requirements that conflict with the architecture standard are escalated — never silently violated; unavoidable exceptions are themselves recorded as ADRs.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claim that code compiles, migrations succeed, or tests pass is made without actual verification.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2.4 Multi-Tenancy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Default isolation: shared database, shared schema, mandatory tenant_id (UUID) on every tenant-owned table, enforced by PostgreSQL Row-Level Security policies bound to the session tenant claim. The application never disables RLS.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Enterprise isolation tier: dedicated schema or dedicated database per tenant, selectable at provisioning; the data-access layer resolves the connection/schema from the tenant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resolution: subdomain ({tenant}.skylis.app) or custom domain; JWT carries tenant_id, branch scope, and role claims.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Country-driven defaults (new in Rev 2.0): every subscription records the tenant’s country; provisioning loads the country default pack — mobile-number format and validation rules, default language(s), color theme, currency, VAT rate, date/number formats, and timezone. Tenants may override individual values; overrides are audited (FR-TEN-040).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configuration: test catalog, reference ranges, workflow toggles, report templates, price lists, localization — all data-driven, no per-tenant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PHI-sensitive columns (national ID, contact data) encrypted at column level (pgcrypto) with per-tenant data keys under a KMS-managed master key; object storage isolated per tenant prefix with signed URLs.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Noisy-neighbor controls: per-tenant API rate limits, queue quotas, and Hangfire queue partitioning.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2.5 Deployment Topology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Kubernetes-based deployment (cloud or sovereign region), horizontal autoscaling on API pods; PostgreSQL with HA (primary + sync replica) and PITR backups.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Environments: DEV → QA → STAGING (tenant-clone sandbox) → PROD; per-environment secrets in a vault; database migration gates in CI/CD.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On-prem Print Agent (Phase 1) authenticates with device certificates and buffers print traffic during connectivity loss; the Instrument Gateway Agent follows in Phase 3 (M21).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2.6 User Experience &amp; Design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Sky LIS brand design system: Sky Blue #0284C7 (primary), Navy #101D2C (headings/dark surfaces), Light Blue #E7F4FD (tints), Accent Blue #74BCE2, Slate #5A6472 (secondary text); Space Grotesk for headings, IBM Plex Sans for UI text, IBM Plex Mono for identifiers/barcodes.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transactional page renders its Progress Indicator as a horizontal stepper directly under the page header; the current state is highlighted, completed states show check marks, and hovering a state reveals timestamp + actor.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Keyboard-first data entry (Enter-to-advance grids, barcode-scan-anywhere focus model), full RTL and i18n support (English/Arabic baseline), and WCAG 2.1 AA accessibility.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2.7 Assumptions &amp; Constraints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Barcode scanners operate as keyboard wedges; label printers support ZPL/EPL via the Print Agent.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Internet connectivity at customer sites is generally available; the staff web app requires connectivity (no full offline mode in Phase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Instrument connectivity, HL7/FHIR interoperability, and reference-lab send-out are not part of Phase 1 (Section 3); results are entered manually in Phase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Regulatory clearance activities are handled as a program-level track outside this SRS; the SRS provides the required technical controls (audit, e-signature, traceability).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3. Scope Re-Baseline &amp; Release Phasing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This section encodes the product-review decisions recorded as per-module annotations on the Sky LIS module map. It supersedes the 25-module flat scope of Rev 1.1. Modules keep their Rev 1.1 codes for traceability.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3.1 Module Disposition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700"/>
        <w:gridCol w:w="2500"/>
        <w:gridCol w:w="2100"/>
        <w:gridCol w:w="3726"/>
      </w:tblGrid>
      <w:tr>
        <w:trPr>
          <w:tblHeader/>
        </w:trPr>
        <w:tc>
          <w:tcPr>
            <w:tcW w:type="dxa" w:w="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Disposition</w:t>
            </w:r>
          </w:p>
        </w:tc>
        <w:tc>
          <w:tcPr>
            <w:tcW w:type="dxa" w:w="3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Review decision / note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&amp; Subscription Administration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Admin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This is the Admin Portal. The product comprises both portals. Subscriptions record the tenant country and load its default setup pack (mobile-number format, language, color theme, currency…).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User, Role &amp; Access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Lives inside the Client Portal for the tenant’s own users only; monitored (read-only, audited) by the Platform Super Admin from the Admin Portal.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Master Data &amp; System Setup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master data is seeded centrally as initial/main master data for all tenants; each Tenant Admin customizes only their own tenant (details OPEN — to be discussed). Sample taxonomy: sample type → sample condition, plus a tree of compatible sample conditions consolidated onto one Sample ID.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Registration redefined as visit registration (new order). Search keys: mobile number, partial name, national ID, patient number; identity confirmed via last-visit date, age, and gender; demographics reused from the last visit or captured once and auto-saved with a unique patient number.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Order Management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Standing orders &amp; schedules are OUT of scope (P05.4 removed).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M06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Phlebotomy &amp; Collection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Removed as a standalone module. Collection is handled inside the merged Phlebotomist worklist (M08) and the sample-reservation flow (M07).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 &amp; Sample Tracking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(reduced)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Reduced to: (a) sample reservation by receptionist/phlebotomist for condition-dependent samples (e.g., 2-hour post-prandial glucose) during or after visit registration; (b) accessioning; (c) the rejection cycle with coded reasons, user rights, and patient-information screens. Send-out: next phase (details to be discussed).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M08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Worklists &amp; Processing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(merged)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Merged into fewer role pages: Reception worklist, Phlebotomist worklist, and Reporting worklist.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Results Entry &amp; Validation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Unchanged from Rev 1.1 (manual entry in Phase 1; instrument feed arrives with M21 in Phase 3).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M10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Reporting &amp; Delivery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Confirmed in scope.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Microbiology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Deferred; Rev 1.1 specification remains the reference.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Histopathology &amp; Cytology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Blood Bank &amp; Transfusion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Molecular Diagnostics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Control (IQC/EQA)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M16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Inventory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Billing, Insurance &amp; Finance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(simplified)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Kept “in a very simple way”: invoice at order, payment capture, receipts, permission-gated discounts, credit notes, cashier day close. Insurance pre-approvals/claims and corporate credit accounts defer to Phase 2.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M18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B2B Referral Portal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(planned)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Next phase: outsourced prices and services maintained as a platform-updated master list; plus a marketplace with pricing for kits and consumables.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Portal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(planned)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Next phase.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M20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Physician Portal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Instrument Integration Middleware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3 (far)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Far phase, after Phase 2.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Interoperability (HL7/FHIR/API)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Analytics &amp; Dashboards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Confirmed in scope.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Document Control &amp; Compliance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Center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 as a module; a minimal platform notification service (FR-SYS-003) covers Phase 1 needs.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3.2 Release Phases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5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W w:type="dxa" w:w="3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Exit criterion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(this SRS)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(M01) + Client Portal core: M02, M03, M04, M05, M07 (reduced), M08 (merged), M09, M10, M17 (simplified), M23 — plus platform services (Section 5) and the commercial model (Section 8).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tenant can be provisioned with country defaults, configure its lab, register a visit, order, reserve/collect/accession samples, enter and validate results, deliver a branded bilingual report, take payment, and see dashboards — with full audit and tenant isolation proven by automated tests.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(next)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M18 B2B Referral Portal + platform-maintained outsourced-services price list + kits/consumables marketplace; M19 Patient Portal; M07 send-out; M17 insurance &amp; corporate credit accounts.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Scoped by a Rev 3.0 update after Phase 1 UAT.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3 (far)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M21 Instrument Integration Middleware (drivers, auto-results, host query); revisit M22 interoperability.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Scoped after Phase 2.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 (unscheduled)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M06 (standalone), M11–M16, M20, M22, M24, M25.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Rev 1.1 specifications remain the authoritative reference when these are re-activated.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3.3 Open Items From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M03 platform master-data governance: the exact split between platform-maintained medical master data and tenant customization (merge/update mechanics, versioning of seed packs) is to be discussed in detail before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M07 send-out workflow details are deferred to the Phase 2 scoping discussion.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M08 merged worklist page designs (Reception / Phlebotomist / Reporting) require UX validation with laboratory users before development estimation.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M18 marketplace (kits and consumables) commercial rules are to be planned in Phase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DECISION — Standing orders (P05.4) are Won’t (this release).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4. Roles, Privileges &amp; Security Model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4.1 Privilege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Access control is permission-based RBAC. A permission is an atomic code of the form module.resource.action (e.g., results.result.validateMedical, billing.invoice.void). Roles are named bundles of permissions; users hold one or more roles, each scoped to Tenant, Branch(es), and optionally Department(s). Every API endpoint declares its required permission; the UI hides or disables controls the user lacks. Tenants may clone system roles and customize them; system roles are immutable.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Segregation of Duties (enforced, not advisory): the user who enters a result cannot perform its medical validation; the user who creates an invoice cannot approve its void/refund.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Break-glass access: an emergency elevated-access grant requiring a reason, limited to 4 hours, prominently audited and reported to the Tenant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Field-level privacy: national ID and contact details masked by default; unmasking requires patients.patient.viewSensitive and is itself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Seat classes for billing (Section 8): Full user (enter/edit/validate/release results) vs View-only user (reception, phlebotomy, courier). Each staff member must use a personal login; credential sharing breaches the service agreement.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4.2 Role Catalog (Phase 1)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400"/>
        <w:gridCol w:w="2300"/>
        <w:gridCol w:w="4326"/>
      </w:tblGrid>
      <w:tr>
        <w:trPr>
          <w:tblHeader/>
        </w:trPr>
        <w:tc>
          <w:tcPr>
            <w:tcW w:type="dxa" w:w="24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Portal / Scope</w:t>
            </w:r>
          </w:p>
        </w:tc>
        <w:tc>
          <w:tcPr>
            <w:tcW w:type="dxa" w:w="43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National Technology operations: tenants, plans, subscriptions, country packs, platform health. Monitors tenant user administration (read-only). No tenant PHI without a support-access grant.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Finance Ops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Plan, subscription, and metering administration; invoicing and dunning.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Support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Tenant-approved, time-boxed support access only; every screen viewed is logged and visible to the tenant.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Owns tenant configuration, users/roles, branches, master data customization, price lists, report templates.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 Manager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Operational oversight of a facility: TAT, escalations, day close approval.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 / Medical Director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Tenant/Branch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authority: medical validation, report signing, amendment approval.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Section Supervisor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Department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Worklist management, technical validation, rerun approval, rejection approval.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Technologist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Department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Accessioning, processing, result entry.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 / Collector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 worklist: collection, labeling, sample reservation, collection documentation.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 / Registration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Visit registration, orders, label printing, sample reservation, payments intake (combined mode), report handout.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 / Billing Officer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Invoicing, payments, refunds (request), shift close.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Manager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 trail review, SoD reports, amendment co-signature, data-subject requests.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Auditor (read-only)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Time-boxed read access to records and audit trail; no exports without grant.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4.3 Authentication &amp; Session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OIDC-based sign-in with mandatory MFA options (TOTP, email OTP; WebAuthn passkeys — Should).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Password policy per tenant (length ≥ 12, history, expiry optional), progressive lockout, and admin unlock.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Sessions: sliding 30-minute idle timeout (configurable), absolute 12-hour lifetime, concurrent-session limits, remote session revocation, and a re-authentication prompt for every e-signature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Workstation mode for shared lab PCs: fast user switching by badge barcode + PIN, auto-lock on idle.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IP allowlisting per tenant; device/browser audit on every login; login history visible to each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MFA cannot be disabled for roles holding signing permissions.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5. System-Wide Platform Features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Cross-cutting capabilities implemented once as platform services and consumed by every module.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FR-SYS-001 Immutable Audit Trail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 create/update/delete/validate/sign/print/export and every read of sensitive data writes an append-only audit event: who, when (UTC + local), where (IP/device), what (entity, before/after values), and why (reason code where mandated). Audit storage is insert-only, monthly-partitioned, hash-chained per tenant, retained ≥ 10 years, and searchable.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FR-SYS-002 Electronic Signatures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Signing actions (medical validation, report sign-out, amendment approval) require re-authentication. Every signature binds: signer identity, authentication level, intent and meaning, record identifier and version, timestamp, reason, and a content hash (21 CFR Part 11 principles). A material change to a signed record creates a new version requiring a new signature.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FR-SYS-003 Notification Service (minimal)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Channels in Phase 1: in-app (bell + toast), email, and WhatsApp/SMS via a pluggable provider abstraction. Template-driven with per-tenant branding and AR/EN localization; delivery log with retries. The full Notification Center module (M25) is deferred.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FR-SYS-004 Configuration Engine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Tenant-scoped settings with schema-validated values and effective-value resolution: system default → country pack → tenant → branch → department. Country packs (FR-TEN-040) supply mobile-number formats, language, theme, currency, VAT, formats, and timezone.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FR-SYS-005 Localization &amp; Formats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Full i18n (English + Arabic baseline, RTL layouts), per-tenant date/number formats, dual-language report rendering, localizable master-data display names.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FR-SYS-006 Barcode &amp; Printing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Code 128 for samples, QR for report verification. Central label-template designer (ZPL) with live preview; printing routed through the on-prem Print Agent with printer pools; scan-anywhere focus model in the UI. Compatible sample conditions consolidate onto one printed Sample ID (M03).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FR-SYS-007 Attachments &amp; Documents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Patient/order/sample/result entities accept attachments stored in object storage with virus scanning, size limits, and signed-URL access; attachment events are audited.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FR-SYS-008 Global Search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Single search box (Ctrl+K): patient (name/patient number/mobile/national ID), order number, sample barcode, invoice number; trigram + full-text indexes; results grouped by entity with permission trimming.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FR-SYS-009 Data Import / Export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import wizards (CSV/XLSX) with mapping, dry-run validation, and error workbooks for patients, test catalog, price lists. All grids export to XLSX/CSV/PDF subject to permissions; exports are audited and watermarked.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FR-SYS-010 Real-Time &amp; Background Processing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SignalR pushes worklist/dashboard deltas within 2 s of the domain event; Hangfire executes schedules (report delivery retries, TAT breach sweeps, subscription metering) with a monitored dashboard for Platform Ops.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FR-SYS-011 Feature Flags, Licensing &amp; Metering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Module activation is subscription-driven per tenant plan (Section 8). Disabled modules disappear from navigation and reject API calls with 403 LICENSE_REQUIRED. Usage metering (finalized reports/visit, active seats by class, branches, draw stations) feeds subscription billing in M01. Plan quota breaches behave per plan configuration: soft-warn or hard-stop.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6. Functional Requirements — Admin Portal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M01 — Tenant &amp; Subscription Administration (Platform Console)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Admin Portal: National Technology operations provision and manage customer tenants, subscription plans, country default packs, metering/invoicing, and platform health. It runs on the same backend behind platform-scoped roles and never exposes tenant PHI unless the tenant grants time-boxed support access.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P01.1  Tenant Directory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Platform Support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Searchable registry of all tenants with plan, country, isolation tier, usage, health, and lifecycle status; entry point to every tenant operation.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Filterable grid (name, plan, country, status, MRR, last activity)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Status chips: Trial / Active / Past Due / Suspended / Churned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actions: open profile, support-access request, suspend/resume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Usage sparklines (reports/day, active seats, storage)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Operator searches or filters tenants; opens a tenant profile to view subscription, branches, usage, and incidents.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Initiates lifecycle actions (suspend for non-payment, resume, schedule offboarding export) with mandatory reason; the Tenant Admin is notified automatically.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Trial  →  Active  →  Past Due  →  Suspended  →  Offboarded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Suspension blocks logins and API traffic but preserves data for 30 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Offboarding requires a completed data-export package and dual platform-admin approval.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P01.2  Tenant Onboarding Wizard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provisioning of a new tenant: identity, country, isolation tier, plan, initial admin, and starter configuration seeding.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5-step wizard with progress bar and per-step validation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 selector driving the default-pack preview (language, currency, VAT, formats, theme)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Provisioning log console (live)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1 — Organization: legal name, subdomain, country, region, logo. Selecting the country loads its default pack (FR-TEN-040).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2 — Plan &amp; modules: plan selection (Section 8), add-on modules, seat/branch/report quotas, isolation tier.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3 — Seed data: platform medical master-data pack (test catalog base, sample types &amp; condition trees, units, roles) per FR-MDM-070.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4 — Initial Tenant Admin: name, email; invitation with secure activation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5 — Review &amp; provision: system creates schema/RLS policies, seeds data, issues subdomain TLS, and emits the welcome kit.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Organization  →  Plan &amp; Modules  →  Seed Data  →  Admin Account  →  Provisioned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Subdomain uniqueness and reserved-word 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Provisioning is idempotent and resumable; failure at any step rolls back cleanly and alerts Platform Ops.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P01.3  Plans, Subscription &amp; Metering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Finance Ops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Define plans (modules, quotas, prices per country), manage tenant subscriptions, and review metered usage that drives invoicing — implementing the commercial model of Section 8.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Plan builder: module toggles, seat quotas (full / view-only), branch &amp; draw-station counts, monthly report allowance, overage rate, support tier, per-country price book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subscription panel (plan, term, billing cycle, add-ons, effective dates, proration preview)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Metering explorer (finalized reports, active seats by class, branches, draw stations, storage)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Dunning settings and invoice register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 or version a plan (plans are immutable once assigned; changes create a new version).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Assign/upgrade/downgrade tenant subscriptions with effective dates and proration preview.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Monthly job snapshots metering, generates subscription invoices (base fees + seat add-ons + report overage + add-on modules + interface fees), and triggers dunning on failure.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Plan  →  Published  →  Assigned  →  Metered  →  Invoiced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Downgrade blocked while usage exceeds target-plan quotas.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Quota breach behavior per quota: soft-warn (banner) or hard-stop (block new visits), configured per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Report metering counts one finalized patient report per visit (accession) regardless of test count; unused allowance does not roll over.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P01.4  Country &amp; Regional Default Packs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the per-country default packs applied at tenant provisioning: mobile-number format and validation rules, default language(s), color theme, currency, VAT rate, date/number formats, and timezone.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 pack grid with version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 editor: phone format (E.164 + local patterns with test box), languages, currency, VAT, formats, theme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Preview-as-tenant simulation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Author edits a pack as a new version; existing tenants are unaffected.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New subscriptions in that country pick up the latest published pack; tenants may override individual values in their own settings (audited).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  →  In Use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subscription cannot be created for a country without a published pack.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 changes never mutate existing tenant settings retroactively.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P01.5  Tenant Administration Monitor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Read-only, audited oversight of each tenant’s user and role administration (per the M02 review decision): admin actions feed, role/permission snapshots, anomaly flags.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admin-activity feed (user invites, role changes, policy edits)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snapshot diff 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Anomaly flags (mass role grants, SoD overrides)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Platform staff reviews administration activity across tenants; anomalies can open a support conversation with the Tenant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write access to tenant users or roles from the Admin Portal.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Observed  →  Flagged  →  Raised With Tenant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Strictly read-only; every view is itself audited and visible to the tenant.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P01.6  Platform Health &amp; Support Access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Platform Support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Operational overview (queues, job failures, agent connectivity per tenant) and the controlled support-access mechanism.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Health tiles (API p95, queue depth, failed jobs, print-agent offline count)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drill-down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Support-access request panel with tenant-approval status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Support engineer requests access to a tenant with reason and duration (≤ 8 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Admin approves in-app; a scoped, fully audited session is granted; access auto-expires and a summary of actions is mailed to the tenant.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Requested  →  Tenant Approved  →  Active (audited)  →  Expired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PHI access without an approved grant; every screen viewed under support access is logged and visible to the tenant.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7. Functional Requirements — Client Portal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M02 — User, Role &amp; Access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Tenant-side administration of people, roles, permissions, and security policies, implementing the model of Section 4. Lives inside the Client Portal and manages the tenant’s own users only; the Platform Super Admin has read-only monitoring from the Admin Portal (P01.5).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P02.1  Users Directory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Branch Manager (read)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Manage all tenant users: invite, activate, scope, lock, and review activity. Seat classes (full / view-only) are visible against plan quotas.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Grid: name, username, roles, branches, seat class, MFA status, last login, status chip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Invite user button; bulk import (CSV); plan-quota gauge (seats used vs included)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drawer: sessions, login history, badge/PIN for workstation mode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invites a user (email) selecting roles + branch/department scopes; the seat class derives from the role bundle and counts against plan quotas (FR-SYS-011).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User activates via secure link, sets password, enrolls MFA.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may lock/unlock, force password reset, revoke sessions, or deactivate (soft; history preserved).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Invited  →  Activated  →  Active  →  Locked/Deactivated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Unique email/username per tenant; deactivation blocked if the user has pending validations (must be reassigned first).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Inviting a user beyond the plan’s included seats requires acknowledging the extra-seat charge (Section 8) or is blocked on hard-stop plans.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changes take effect on next token refresh (≤ 5 min) and are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P02.2  Roles &amp; Permissions Editor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View system roles, clone them into tenant roles, and edit permission bundles with SoD guardrails.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list (system vs tenant badge)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Permission tree grouped by module with 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SoD conflict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Users-with-this-role list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clones a system role or creates a blank tenant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Toggles permissions; the SoD engine live-checks conflicting pairs (e.g., result.enter + result.validateMedical).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Saves as a new role version; assignment screens always use the latest version.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SoD Checked  →  Published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System roles are read-only.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Publishing a role with an SoD conflict requires Quality Manager co-approval and is flagged on compliance reports.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P02.3  Security Policies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 security posture: password policy, MFA enforcement, session timeouts, IP allowlists, workstation mode.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Policy cards with inline edit and effective-value indicator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IP allowlist tables (staff app / API)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edits a policy; changes preview affected-user count; policies publish immediately and are audited.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Validated  →  Enforced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MFA cannot be disabled for roles holding signing permissions.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M03 — Master Data &amp; System Setup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configuration backbone. New governance model in Rev 2.0: medical master data (test catalog base, sample taxonomy, units, baseline reference ranges) is maintained centrally by the platform as versioned seed packs and delivered to every tenant as initial/main master data; each Tenant Admin customizes the data for their own tenant only. The detailed merge/update mechanics are an OPEN item (§3.3).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P03.1  Setup Wizard (First Run)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path from freshly provisioned tenant to first live visit: organization, branches, catalog review, pricing, users, printers, and go-live checklist.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Wizard with overall progress bar and per-step completeness score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Go-live checklist panel (blocking vs advisory items)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Import wizards embedded (catalog, price list)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Organization profile &amp; branding (logo, report header; localization pre-filled from the country pack).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Branches &amp; departments (working hours, number series per branch).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Review platform-seeded sample types, condition trees, and test catalog; customize as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Price lists; users &amp; roles; Print Agent pairing.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Go-live check verifies blocking items (≥ 1 branch, ≥ 1 test, ≥ 1 price list, admin MFA) and unlocks operational modules.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Organization  →  Structure  →  Catalog  →  Pricing  →  Users  →  Devices  →  Live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Operational modules stay read-only until blocking checklist items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Wizard is resumable and re-enterable; each step saves atomically.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P03.2  Branches &amp; Departments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facilities (branches and draw stations) and their departments/benches with routing rules. Branch vs draw-station classification drives subscription billing (Section 8).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Tree view: Tenant → Branch/Draw Station → Department → Bench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 form (address, hours, number series, tax profile)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Department form (default TAT targets, routing rules)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Create branch → define number series (visits, samples, invoices) → create departments → map tests to performing department/bench → set routing for draw stations (which branch performs which tests).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Configured  →  Active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Number series are immutable once used; draw stations must declare a performing branch route for every offered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Adding a branch or draw station beyond plan entitlements requires subscription confirmation (FR-SYS-011).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P03.3  Test Catalog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Lab Director (approve)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Registry of every orderable test with scientific, operational, and billing attributes — initially seeded from the platform pack, customized per tenant; the single source consumed by ordering, processing, results, billing.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Grid with department/status filters and origin badge (platform-seeded vs tenant-defined)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Test editor tabs: General (code, names, department, specimen requirements incl. required sample conditions), Result schema (numeric/coded/text components, units, decimals), Ranges &amp; flags, Processing (TAT targets), Billing (price codes)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Version history with diff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Author creates/edits a test as Draft (platform-seeded tests are cloned-on-edit; the seed original remains referenceable).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Defines result components, units, and reference-range sets (age/sex-specific with effective dates), and required sample type + condition.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Lab Director reviews the diff and approves; version becomes Active on its effective date; prior results keep their originating version.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In Review  →  Approved  →  Active  →  Retired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Test code unique and immutable; retiring a test blocks new orders but preserves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test cannot activate without: department, specimen type (and condition where applicable), result schema, at least one reference-range set (or “not applicable”), TAT targets, and a resolvable price.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Reference-range edits never mutate history — new effective-dated versions only.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P03.4  Sample Types, Conditions &amp; Rejection Reasons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Define the specimen taxonomy per the Rev 2.0 model: sample types with their sample-condition trees, the compatibility tree of conditions that may share one physical sample, containers, and the controlled vocabulary of rejection reasons.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Sample-type grid with color-coded tube icons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Condition tree editor: sample type → conditions (e.g., fasting, 2-hour post-prandial, random) with timing/preparation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Compatibility tree editor: which conditions are mutually compatible and consolidate onto one printed Sample 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Container form (volume, additive, label template); rejection-reason list with category and requires-recollection flag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 types and their condition trees → define compatibility groupings → map to tests → publish.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At ordering time the specimen-plan engine uses the compatibility tree to compute the minimal container set: compatible conditions print as one Sample ID; incompatible conditions force separate samples.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test must reference at least one acceptable container and, where applicable, a required condition.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Compatibility groupings are versioned; changes affect only new orders.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P03.5  Panels &amp; Profiles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Bundle tests into panels (fixed) and profiles (marketed bundles with pricing).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Panel builder with drag-and-drop test picker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Pricing override field per profile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Conflict hints (duplicate analytes across chosen tests)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Compose panel → set display order and shared specimen consolidation → price (profile) → publish.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  →  Retired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Ordering a panel expands to member tests but bills at panel price; specimen consolidation applies the condition-compatibility tree (P03.4).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P03.6  Price Lists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price lists (walk-in, corporate) with effective dates. Insurance payer contracts defer to Phase 2 with M17 insurance.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Price-list grid with effective-date banding and bulk %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Completeness report (tests without a resolvable price)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Create price list → import/enter prices → schedule effective date → approve.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Approved  →  Effective  →  Superseded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orderable test must resolve a price in the applicable list at order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Historical invoices always reference the price-list version in force at order time.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P03.7  Report Template Designer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FR-MDM-060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Lab Director (approve)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WYSIWYG design of report layouts: headers/footers, dual language (AR/EN), cumulative layouts, signature blocks, and QR verification.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Canvas designer with bound fields, preview with sample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Template variants per department/test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Version history and approval flow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Design → preview against a historical order → Lab Director approves → activate with effective date.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Preview Passed  →  Approved  →  Active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Issued reports permanently embed their template version; templates in use cannot be deleted.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M04 — Patient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patient master index. Rev 2.0 redefines “registration” as visit registration: the receptionist registers a patient’s new visit (which is the new order); the patient master record is created or reused behind that flow automatically. All clinical modules reference this single patient identity.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P04.1  Patient Search (Visit Entry Point)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Phlebotomist, Technologist (read), Billing (read)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Fast, forgiving patient lookup as the entry point of every visit. Search keys per the review decision: mobile number, part of name, national ID, and patient number.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Smart search bar (mobile number, partial name, ID, patient number) with fuzzy/phonetic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Result cards showing: last visit date, age, and gender — the identity-confirmation triple — plus balance flag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New Patient path (opens P04.2 prefilled with the searched string)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Receptionist searches; the system ranks matches and previews last visit date, age, and gender so the receptionist can confirm it is the same patient.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Choosing a record starts visit registration (P05.2) with demographics carried over exactly as the last visit.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No-match path continues to new-patient capture (P04.2); on save the record is automatically stored in the patient master with a unique patient number.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Search  →  Match Review  →  Selected / New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Sensitive identifiers are masked in results until the user holds viewSensitive.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response p95 ≤ 500 ms on 5M-patient tenants.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P04.2  Patient Record (Create / Update within Visit Flow)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Capture or update the patient master record inline during visit registration: demographics, identifiers, contacts, and consents. Standalone record editing is available to authorized roles.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Single-column quick form (name, sex, DOB/age, mobile) with expandable full form (national ID, address, emergency contact, VIP/confidential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Duplicate-check side panel (live as fields are typed)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Consent capture (checkbox with policy version)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 minimal demographics; the duplicate checker scores against the registry (mobile/name/ID heuristics).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If a probable duplicate is found, staff must open the candidate and either use it or record an override reason.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Save → unique patient number assigned from branch series → flow returns to visit registration (P05.2).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Demographics  →  Duplicate Check  →  Saved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Mandatory: full name, sex, DOB or age band, one contact channel (mobile validated per country pack format).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National ID uniqueness enforced per tenant when provided; age auto-computed and revalidated at every visit.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Confidential-flagged patients are visible only to roles holding patients.viewConfidential.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P04.3  Patient 360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 (scope-trimmed)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Longitudinal view of one patient: demographics, visit/order history, cumulative results with trends, documents, balances, and consents.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Header card with identifiers and quick actions (New Visit, Print 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Tabs: Visits/Orders, Results Timeline (sparkline trends per analyte), Documents, Billing, Consents,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Cumulative viewer with date-range and analyte pickers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reviews history before ordering; result trends open the cumulative report (M10) for export.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Loaded  →  Reviewed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view of Patient 360 writes a read-audit event; the billing tab requires billing.read.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P04.4  Duplicate Merge Console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Detect and merge duplicate patient records with full traceability and a reversibility window.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Candidate-pair queue with match score and field-by-field comparison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Survivor picker with per-field source selection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history log with 30-day undo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Nightly matcher (mobile+name+ID heuristics) queues candidates; reviewer compares and selects the survivor.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executes: visits, results, invoices, documents re-parented; the loser becomes an alias (searches still resolve).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Candidate  →  Under Review  →  Merged  →  Confirmed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is blocked while either record has a visit in active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Merged-from patient numbers remain permanently searchable as aliases; all merges are audited with before/after snapshots.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P04.5  Data Subject Requests (Export &amp; Erasure)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Handle GDPR/HIPAA data-subject requests: subject access (export), rectification, and right-to-erasure, preserving legally mandated clinical records via pseudonymization.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 register with statutory due-date countdown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Identity-verification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Erasure impact preview; export package builder (PDF + JSON)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 logged; identity verified per tenant policy; Quality Manager approves the fulfillment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delivered via time-limited secure link; erasure pseudonymizes legally retained records and erases the rest.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 Logged  →  Identity Verified  →  Approved  →  Fulfilled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Erasure never deletes legally mandated clinical or audit records; every fulfillment action requires e-signature and is immutable in the audit trail.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M05 — Order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Creation and lifecycle of test orders. In Rev 2.0 the order is created by visit registration at reception (walk-in channel); portal and HL7 channels arrive with later phases. Standing orders &amp; schedules are Won’t (this release). The order remains the commercial and clinical anchor joining patient, tests, samples, results, report, and invoice.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P05.1  Orders Dashboard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Supervisor, Branch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Branch-level command view of today’s visits/orders across all statuses with TAT risk highlighting and quick actions.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KPI strip (visits today, STAT open, TAT at risk, awaiting collection)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Status-grouped kanban or grid toggle; filters: branch, priority, payer, department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quick actions: open, print labels, receipt, cancel-request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monitors incoming orders; STAT and TAT-risk rows float to top with countdown chips.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 actions: print pending labels, resend receipts. Drill into any order (P05.3).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Registered  →  Collected  →  Received  →  In Process  →  Validated  →  Reported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Dashboard updates in real time (≤ 2 s after state change) via SignalR; counts respect branch/department scope.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P05.2  Visit Registration (New Order Wizard)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highest-traffic screen: register a visit end-to-end in under 90 seconds — patient (via P04.1 search-first flow), tests, pricing, payment, labels, and sample reservation where conditions require it.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4-step wizard with progress bar; keyboard-first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1: patient search &amp; confirm (embedded P04.1/P04.2) + referring physician + clinical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2: test picker (search, favorites, panels) with live specimen-plan panel: required containers, sample conditions, and consolidated Sample IDs per the compatibility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3: pricing — price-list resolution, discount (permission-gated), estimate 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4: confirm — order number issued, barcode labels &amp; receipt printed; condition-dependent samples may be reserved (P07.1) for later collection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for the patient (mobile/name/ID/patient number); confirm identity via last visit date, age, and gender; reuse or capture demographics.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 tests/panels; the engine consolidates specimens using the condition-compatibility tree and flags duplicate or incompatible selections.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Resolve pricing; take payment via M17 (or on-account where configured).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Confirm: order + samples created; labels print via Print Agent; ready-now samples route to the Phlebotomist worklist; condition-dependent samples are reserved with their waiting condition (e.g., 2-hour post-prandial).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Patient  →  Tests  →  Pricing &amp; Payment  →  Confirmed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 order shall not confirm with zero tests, unresolved price, or missing mandatory clinical info flagged per test (e.g., fasting flag).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 priority requires a reason and notifies the performing department instantly.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Cancellation after collection requires supervisor permission and auto-triggers the credit-note flow in M17.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P05.3  Order Details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 (scope-trimmed)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Single source of truth for one order: full status timeline, per-test progress, samples (including reserved ones), results, documents, billing, and communications.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Header: order no., patient, priority chip, global progress stepper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Per-test grid: status, sample link (with condition state), performing bench, TAT countdown, result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Timeline tab (every event with actor), Samples tab, Billing tab, Documents tab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Actions: add-on test, reprint labels, cancel test (guarded), escalate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Any authorized user audits or acts on the order.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Add-on flow: select extra test → engine checks existing-specimen compatibility (type + condition + stability + volume) → either binds to a stored sample or spawns a new collection/reservation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Cancel-test flow captures reason; billing adjusts automatically.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Registered  →  Collected  →  Received  →  In Process  →  Validated  →  Reported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Add-on allowed only within specimen stability window, matching condition, and remaining volume; otherwise a recollection task is mandatory.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 auto-closes 72 h after report delivery with no open items.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M07 — Accessioning, Sample Reservation &amp; Rejection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Reduced per review to three concerns: (a) reservation of condition-dependent samples by the receptionist or phlebotomist, during or after visit registration; (b) formal receipt (accessioning) of collected specimens; (c) the controlled rejection cycle with coded reasons, user rights, and patient-information screens. Send-out and inter-branch transfer defer to Phase 2; full chain-of-custody storage management defers with them.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P07.1  Sample Reservation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Phlebotomist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Reserve a sample that must wait for a sampling condition (e.g., 2-hour post-prandial glucose): the Sample ID exists and is scheduled, the specimen is not yet collected.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Reservation panel inside visit registration (P05.2) and as a standalone queue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Condition timer per reserved sample (target time, countdown, overdue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Ready-to-collect notification to the Phlebotomist worklist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During or after visit registration, the receptionist or phlebotomist reserves the condition-dependent sample; the system computes the earliest collection time from the condition rule (e.g., +2 h from meal 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When the condition window opens, the sample surfaces on the Phlebotomist worklist (P08.2) and the patient is called.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Collection proceeds with label scan confirmation; the sample becomes Collected.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Reserved  →  Condition Pending  →  Ready to Collect  →  Collected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Only the receptionist and phlebotomist roles may reserve samples.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reserved sample cannot be accessioned before collection; overdue reservations escalate to reception for patient follow-up.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P07.2  Accessioning Station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 (receiving bench)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Scan-and-receive: verify each arriving specimen, assess acceptability, and route to departments.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Scan-first screen: scanning a barcode loads sample + order context instantly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Acceptability checklist (volume, hemolysis/lipemia/icterus flags, container correctness, condition satisfied)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 / Reject split buttons; routing slip print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 sample → system shows expected tests, container, required condition, and elapsed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accepts (sample → Received, timestamped, routed to department worklists) or rejects via P07.3.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Expected  →  Scanned  →  Assessed  →  Received &amp; Routed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sample cannot be received twice; unknown barcodes open an exception flow (search/claim/quarantine).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Stability-expired or condition-violated samples force reject-or-supervisor-override with reason.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P07.3  Rejection &amp; Recollection Cycle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Technologist, Supervisor (approve), Receptionist (patient information)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Controlled rejection with coded reasons, role-gated approval, automatic recollection tasks, and dedicated screens for informing the patient.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dialog: coded reason (P03.4 vocabulary), photo attachment, comment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Patient-information screen at reception: rejection explanation script, recollection appointment scheduling, notification dispatch (SMS/WhatsApp per consent)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Recollection task auto-draft with priority inheritance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selects reason → supervisor co-signs high-impact rejections (STAT, irreplaceable specimens) → sample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Affected tests revert to Awaiting Sample; a recollection task is created (reservation flow reused when a condition applies).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 is notified with the patient-information screen: staff informs the patient, schedules recollection, and records the communication.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statistics feed M23 KPIs.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Flagged  →  Reason Coded  →  Approved  →  Patient Informed  →  Recollection 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of an already-in-process sample is prohibited.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patient-information step is mandatory for outpatient visits; the communication record (who informed, channel, when) is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P07.4  Sample Tracking 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Technologist,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Locate any sample instantly and visualize samples by state, department, and age.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by barcode/order/patient with custody timeline visualization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Board view: columns per state with aging color scale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scan anywhere in the system appends a custody event (location, actor, device).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Reserved  →  Collected  →  Received  →  In Process  →  Completed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Custody timeline is immutable; any manual location correction is an appended event, never an edit.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M08 — Role Worklists (Merged)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review, the Rev 1.1 worklist pages merge into three role-centered pages: Reception, Phlebotomist, and Reporting. Departmental processing work is embedded in the Results workbench (M09). Each worklist is a live, SignalR-refreshed queue scoped to the user’s branch/department.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P08.1  Reception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Everything reception owns right now: visits in registration, condition reservations to follow up, rejected-sample patient information tasks, reports ready for handout, and payment follow-ups.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Tabbed queues: Registering / Reservations Due / Patient Information (rejections) / Reports Ready / Balance Due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Aging buckets and quick actions per row (open visit, call patient, print report, take payment)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Tasks materialize from domain events (reservation window opened, sample rejected, report delivered…).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Receptionist works the queues; completing an item removes it in real time.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 →  In Progress  →  Done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counts respect branch scope; overdue patient-information items escalate to the Branch Manager after a configurable window.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P08.2  Phlebotomist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collection queue: patients awaiting draw, reserved samples whose condition window opened, and recollections — with guided collection per patient.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board (token, patient, tubes summary, wait time, STAT flag, condition-ready badge)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Collection session panel: identity verification prompt, tube checklist with scan-to-confirm per label, deviation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Call-next button with waiting-room display integration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Confirmed visits enqueue automatically; reserved samples appear when their condition window opens (P07.1).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Phlebotomist calls next patient, verifies identity (name + DOB/ID spoken back), scans each pre-printed label to confirm, and completes the session; samples become Collected.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Partial collection records per-tube reasons and spawns recollection tasks.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Waiting  →  Called  →  Collecting  →  Completed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Scanning a label from another patient hard-blocks with an alarm and audit event.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session cannot complete with unconfirmed labels.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 and pediatric classes jump the queue per configurable rules.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P08.3  Reporting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Lab Director, Receptionist (handout)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Everything between validated results and a delivered report: reports to render, deliver, print, retry, and hand out — merged from the Rev 1.1 report queue.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Tabs: Awaiting Validation (read-only context) / Ready to Render / Delivery Pending / Failed / Delivered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 print and bulk WhatsApp/email dispatch; delivery status chips per channel with retry action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Medical validation events materialize report jobs; auto-delivery rules fire per consent.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handles print/handout channels and failed-delivery retries.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Results  →  Rendered  →  Delivered  →  Acknowledged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Delivery respects patient consent flags and confidential-report routing.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delivery attempt (channel, address, outcome) is logged and visible.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M09 — Results Entry &amp; Validation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clinical heart: manual capture of results (instrument feed arrives in Phase 3), rule-driven review, two-tier validation with segregation of duties, critical-value management, and controlled amendments.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P09.1  Result Entry Workbench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Fast, safe entry and review of results per sample or per batch, with rule flags computed live.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Entry grid: analyte, previous result (with date), new value, unit, flag column (H/L/HH/LL/A), delta indicator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Live rule evaluation: range flags, delta check vs history, absurd-value guard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Rerun controls; comment codes; attachments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Manual results typed with Enter-to-advance; the rules engine evaluates each value.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Within-range clean results may auto-verify to Technically Valid where enabled per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Flagged results require explicit technologist action: accept, rerun (auto-creates rerun task), or dilute.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submits → results become Entered (or Technically Valid where permitted).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Awaiting Result  →  Entered  →  Auto/Tech Review  →  Technically Valid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Values outside physiologic absurd limits cannot be saved without a rerun or supervisor override.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result stores: value, unit, method, analyst, timestamps.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entering user is recorded and permanently barred from medical validation of the same result (SoD).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P09.2  Technical Validation Queue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Section Supervisor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Departmental review of entered results that did not auto-verify: delta review and rerun arbitration.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with rule-violation chips (delta, range, absurd)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Side panel: patient history sparkline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 / Rerun / Hold actions with reason codes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Supervisor reviews each flagged result in context → accepts to Technically Valid, orders rerun, or holds.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Bulk-accept available only for identically-flagged low-risk categories.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Entered  →  Under Technical Review  →  Technically Valid / Rerun Ordered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Holds require a reason code; held results are visible on the Pending monitor with aging.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P09.3  Medical Validation &amp; Sign-Out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Final clinical authorization of results with e-signature; releases results to reporting.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Order-centric review: all technically valid results with flags, history trends, and an interpretive comment editor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Canned interpretive comments library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 action (e-signature re-auth) for selected or all results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Validator reviews order context → adds interpretation where needed → signs.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Signing sets results Medically Valid, stamps the signature, and triggers report generation (M10).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Partial sign-out supported: validated subsets release as interim reports.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Technically Valid  →  Under Medical Review  →  Signed (Medically Valid)  →  Released to Reporting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e-Signature requires re-authentication; the signer must hold department scope and must differ from the result enterer.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P09.4  Critical Values Console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Technologist, Supervisor,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Guarantee that every critical (panic) value is communicated to a responsible caregiver and documented with read-back confirmation.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Live queue of critical flags with countdown to policy deadline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Communication capture: who was called, number, read-back confirmed, comment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Escalation ladder display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Rule engine flags a critical value → immediate notification burst.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documents verbal notification with read-back within the policy window (e.g., 30 min); unclosed items escalate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Closure evidence is stamped onto the result and appears on the report footnote.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Flagged  →  Notifying  →  Reached  →  Read-Back Documented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report containing an undocumented open critical value cannot reach Final status; the communication trail is audit-permanent.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P09.5  Amendments &amp; Corrected Results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 (approve), Supervisor (request)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Controlled correction of released results with versioning, mandatory reasoning, and stakeholder re-notification.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 request form (result, new value, reason category, narrative)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Approval panel with before/after and downstream-impact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 register with statistics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Requester initiates an amendment on a released result; the Lab Director approves with e-signature.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System issues result version n+1, regenerates the report marked AMENDED with strike-through of the prior value, and re-delivers to all prior recipients.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Requested  →  Under Review  →  Approved &amp; Versioned  →  Re-Issued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Prior versions are never deleted; every rendered report states its version and amendment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Amendments after 30 days additionally require Quality Manager co-signature.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M10 — Reporting &amp; Delivery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Rendering, signing presentation, and multi-channel delivery of laboratory reports: interim, final, amended, and cumulative formats, in Arabic/English from one template. Operationally driven from the Reporting worklist (P08.3).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P10.1  Report Rendering &amp; Delivery Service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System (service); Supervisor (monitor)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Medical-validation events materialize report jobs; the rendering service produces the PDF from the approved template version and dispatches per delivery rules.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Rendering queue monitor with failure diagnostics (surfaced in P08.3)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 from template version in force → store immutable PDF with content hash → auto-deliver (email/WhatsApp per consent; print/handout via reception).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Results  →  Interim Available  →  Final Rendered  →  Delivered  →  Acknowledged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Rendered PDFs are immutable objects; the hash is recorded at issue.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One finalized report per visit is the metering event for subscription billing (FR-SYS-011).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P10.2  Report Viewer &amp; Verification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roles; external via QR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Faithful rendering of any report version with authenticity verification (QR lookup) for third parties.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PDF viewer with version selector and amendment banner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QR verification landing page (public): confirms issuer, patient initials, issue time, and hash validity without exposing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Print/download with watermark rules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Internal users open any version; external verifiers scan the QR → the platform validates the document hash and displays an authenticity attestation.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Rendered  →  Verified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Verification never reveals clinical content.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P10.3  Cumulative &amp; Trend Reports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Director, Receptionist (print)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Longitudinal report across visits: analyte columns over date rows with flags and charts for chronic-care monitoring.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Analyte and date-range pickers with saved presets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Table + trend chart hybrid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to PDF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Select patient scope → choose analytes/preset → render → print/share as a versioned report artifact.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Configured  →  Rendered  →  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Only medically valid results appear; amended values show the latest version with an amendment marker.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M17 — Billing (Simplified)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review, billing ships “in a very simple way” in Phase 1: invoice at visit confirmation, payment capture, receipts, permission-gated discounts, credit notes on cancellation, and cashier day close. Insurance pre-approvals/claims and corporate/B2B credit accounts defer to Phase 2. Fully event-driven from clinical modules — no manual re-keying.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P17.1  Billing Workbench (Invoice &amp; Payment)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FR-BIL-001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Cashier, Receptionist (combined mode)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Invoice generation at visit confirmation, payment capture, and receipt issuance.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Invoice panel embedded in the visit flow: lines, discounts (permission + reason)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Payment capture: cash, card, wallet/online link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Receipt print/eReceipt (AR/EN); refund request action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Visit confirmation materializes the invoice from resolved prices.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Cashier captures payment(s); partial payment allowed per tenant policy with balance tracking.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Post-visit changes (cancelled test, add-on) auto-generate credit/debit notes linked to the invoice.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Issued  →  Partially Paid  →  Paid  →  Adjusted / Refunded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Invoices are immutable after issue — corrections only via credit/debit notes.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Discount beyond role threshold requires manager approval; all discounts carry reason codes reported in M23.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Refunds require a request-approve pair (SoD) and reference the original payment method.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P17.2  Cashier Shift &amp; Daily Close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FR-BIL-030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Cashier, Branch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Shift-based cash accountability: opening float, takings by method, end-of-shift reconciliation, and daily branch close.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Shift panel: open/close, expected vs counted by method, variance field with reason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Daily close report (Z-report) per branch with export (CSV)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Cashier opens shift → transactions accrue → close shift with count → variance approval by manager → branch daily close locks the day.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Shift Open  →  Counted  →  Reconciled  →  Day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Transactions cannot post to a closed day; reopening a day is a dual-approval audited event.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M23 — Analytics &amp; Dashboards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Decision intelligence over an event-sourced analytics store (projections from domain events): operational, quality, and financial views with export and scheduled distribution.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P23.1  Executive Dashboard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Branch Manager,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Tenant-wide KPIs at a glance: volumes, revenue, TAT compliance, rejection rate, critical-value closure, top tests, branch comparison.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KPI tiles with trend deltas vs prior period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Branch/department drill-down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Period picker and scheduled email/PDF snapshot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Projections update near-real-time (≤ 5 min lag) → leaders monitor and drill into contributing records where permitted.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Current  →  Drill-Down  →  Exported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All figures are permission-trimmed (finance tiles need billing.read); every export is watermarked and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P23.2  TAT &amp; Operations Analysis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Branch Manager,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Deep TAT analytics per milestone pair (register→collect, collect→receive, receive→validate, validate→report) with breach diagnostics.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Milestone funnel with median/p90 per segment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Breach explorer: worst offenders by test/department/hour-of-day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Analyst filters population → identifies bottleneck segment → opens contributing orders list.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Filtered  →  Diagnosed  →  Actioned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TAT clocks and business calendars (working hours, holidays) come from branch configuration.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P23.3  Financial &amp; Volume Analytics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Billing Officer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Revenue by test/branch/channel, discount analysis, and daily-close reconciliation views.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Pivot-style explorer with saved views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Discount-reason breakdown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to XLSX and scheduled distribution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Finance reviews standard views → saves custom pivots → schedules monthly distribution.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Explored  →  Saved View  →  Scheduled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Figures reconcile to the billing ledger by design (same event stream); no analytics-only adjustments exist.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P23.4  Quality &amp; Rejection KPIs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Manager,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Quality indicators: rejection rates by reason/source, amendment rate, critical-value closure time.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Indicator cards mapped to ISO 15189 quality-indicator clauses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Monthly review pack generator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Quality reviews monthly indicators → investigates adverse trends → generates the review pack.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Reviewed  →  Investigated  →  Reported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Indicator definitions are versioned and printed on every pack for auditor traceability.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8. Subscription Plans &amp; Commercial Model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commercial model implemented by M01 (P01.3) and enforced by FR-SYS-011. Prices below are the Egypt price book (August 2026, EGP, exclusive of 14% VAT) — the first country pack; other countries are additional price books under the same plan structure. Pricing values are configuration data, not code (FR-TEN-020).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8.1 Plans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400"/>
        <w:gridCol w:w="1500"/>
        <w:gridCol w:w="1500"/>
        <w:gridCol w:w="1900"/>
        <w:gridCol w:w="1726"/>
      </w:tblGrid>
      <w:tr>
        <w:trPr>
          <w:tblHeader/>
        </w:trPr>
        <w:tc>
          <w:tcPr>
            <w:tcW w:type="dxa" w:w="24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LITE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19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PROFESSIONAL (Recommended)</w:t>
            </w:r>
          </w:p>
        </w:tc>
        <w:tc>
          <w:tcPr>
            <w:tcW w:type="dxa" w:w="1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Best for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Very small labs (single shift)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Single-site labs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Chains of 2–10 branches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Networks &amp; reference labs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Base fee (per branch / month)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1,499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2,999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6,499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 (annual contract)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Users included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15 per branch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Extra full user / month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349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249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View-only user / month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99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79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Monthly report allowance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1,500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3,000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15,000 per branch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Overage per extra report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0.75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0.50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0.35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Additional branch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Base fee − 25%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Negotiated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Draw station / month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499 each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Included up to agreed cap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Support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Ticket only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Extended hours + priority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24/7, SLA, named CSM</w:t>
            </w:r>
          </w:p>
        </w:tc>
      </w:tr>
    </w:tbl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 plan includes the Phase 1 Core LIS: visit registration, orders, barcoding, role worklists, result entry and validation, and bilingual Arabic/English reporting. Instrument-interface entitlements become billable when M21 ships (Phase 3).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8.2 Modules &amp; Add-ons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Per-branch modules are charged for each branch on which they are activated; organization-wide modules cover all branches under one subscription. Add-ons map to feature flags (FR-SYS-011); those marked with a phase are sellable only when their module ships.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3726"/>
        <w:gridCol w:w="1700"/>
        <w:gridCol w:w="2100"/>
        <w:gridCol w:w="1500"/>
      </w:tblGrid>
      <w:tr>
        <w:trPr>
          <w:tblHeader/>
        </w:trPr>
        <w:tc>
          <w:tcPr>
            <w:tcW w:type="dxa" w:w="3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 / Add-on</w:t>
            </w:r>
          </w:p>
        </w:tc>
        <w:tc>
          <w:tcPr>
            <w:tcW w:type="dxa" w:w="1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Billing scope</w:t>
            </w:r>
          </w:p>
        </w:tc>
        <w:tc>
          <w:tcPr>
            <w:tcW w:type="dxa" w:w="2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EGP / month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Core LIS (registration, orders, barcoding, worklists, results, AR/EN reports)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Included in all plans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Analytics / BI Dashboards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1,299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WhatsApp &amp; SMS Results Delivery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499 + message fees at cost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ETA E-Invoice / E-Receipt Integration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499 — free on Professional &amp; Enterprise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(Egypt pack)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Portal + Mobile App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B2B Referral / Outreach Portal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1,299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Insurance &amp; Corporate Contracts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1,499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Microbiology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Histopathology / Anatomic Pathology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Blood Bank / Transfusion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Molecular / Genetics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Inventory Management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699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8.3 Implementation &amp; Onboarding (one-time)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7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One-time onboarding &amp; training (EGP)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Lite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2,500 — remote setup and one online training session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Starter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4,999 — remote setup, test-catalogue import, two training sessions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9,999 per branch — data migration, on-site training option, four sessions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Enterprise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 — dedicated implementation project with agreed milestones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8.4 Commercial Terms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Currency &amp; tax: prices per country price book, exclusive of VAT (Egypt: 14%).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Billing cycles: monthly or quarterly in advance. Annual prepay: pay for 10 months, get 12 (~17% saving).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Currency adjustment: prices reviewed quarterly; if the local/USD exchange rate moves &gt; 10% since the last review, list prices adjust proportionally from the next billing cycle.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Contract term: Lite &amp; Starter monthly rolling; Professional 12 months; Enterprise 24–36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Included in subscription: cloud hosting, maintenance, daily backups, and all product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Data ownership &amp; exit: customer data exportable at any time in standard formats; retained 90 days after termination (aligned with the M01 offboarding flow).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8.5 Definitions &amp; Fair Use (billing)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Branch: a laboratory location that processes samples on its own analyzers. Draw station: registers patients and collects samples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Full user: any account that can enter, edit, validate, or release results. View-only user: reception, phlebotomy, courier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Report: one finalized patient report per visit (accession), regardless of test count. Unused monthly allowance does not roll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Individual logins: each staff member must use a personal login to preserve the result audit trail; credential sharing breaches the service agreement (enforced by §4.1 and concurrent-session limits).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8.6 Entitlement Enforcement Mapping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Commercial rule</w:t>
            </w:r>
          </w:p>
        </w:tc>
        <w:tc>
          <w:tcPr>
            <w:tcW w:type="dxa" w:w="4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Enforcing requirement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Seats included / extra-seat charges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FR-USR-001 quota gauge + FR-SYS-011 metering; invite beyond quota requires charge acknowledgment or is blocked (hard-stop plans)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 / draw-station counts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FR-MDM-010 creation gate + FR-TEN-020 subscription confirmation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Monthly report allowance &amp; overage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FR-REP-001 finalized-report metering event → FR-TEN-020 monthly invoice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Module add-on activation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FR-SYS-011 feature flags; disabled modules return 403 LICENSE_REQUIRED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Plan downgrade guard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FR-TEN-020: blocked while usage exceeds target-plan quotas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Suspension for non-payment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FR-TEN-001 lifecycle with dunning from FR-TEN-020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9. Non-Functional Requirements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000"/>
        <w:gridCol w:w="1800"/>
        <w:gridCol w:w="6226"/>
      </w:tblGrid>
      <w:tr>
        <w:trPr>
          <w:tblHeader/>
        </w:trPr>
        <w:tc>
          <w:tcPr>
            <w:tcW w:type="dxa" w:w="1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2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Interactive page loads p95 ≤ 2 s; barcode-scan lookups p95 ≤ 1.5 s; visit confirmation end-to-end ≤ 3 s at 200 concurrent users per 1,000-visit/day tenant.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NFR-002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Horizontal scaling to 500 tenants / 50,000 visits/day per cluster; results tables partitioned; no tenant-count-dependent code paths.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99.9% monthly for the SaaS core.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NFR-004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Recovery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RPO ≤ 5 min (PITR/WAL shipping); RTO ≤ 1 h regional restore; quarterly restore drills evidenced.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Security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TLS 1.2+ everywhere; AES-256 at rest; OWASP ASVS L2 verification; secrets in vault; quarterly penetration tests; per-tenant RLS proven by automated isolation tests in CI.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NFR-006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Privacy &amp; compliance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HIPAA safeguards and GDPR rights: consent registry, data export (patient/tenant), retention policies, right-to-erasure workflow that preserves legally mandated clinical records via pseudonymization (P04.5).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Every state transition and sensitive read audited (FR-SYS-001); audit write is in-transaction with the business change (no async loss).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NFR-008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Keyboard-only completion of P05.2 and P09.1; WCAG 2.1 AA; full RTL; ≤ 2 h training target for reception onboarding measured in UAT.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OpenTelemetry traces across API→DB→bus; per-tenant SLO dashboards; alerting on TAT-relevant queues.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NFR-010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Modular-monolith boundaries enforced by architecture tests; ≥ 80% unit coverage on domain logic; API versioning with 12-month deprecation windows.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 quality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timestamps stored UTC with branch-timezone rendering; numeric results stored as decimal with unit metadata; identifiers generated as UUID v7.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NFR-012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user-facing strings resource-managed; dual-language (EN/AR) reports render from one template; country packs drive formats (FR-TEN-040).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conformance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Automated architecture tests enforce Clean Architecture dependency direction, Domain-layer framework purity, and module boundaries; violations fail CI. The frontend is never a security boundary.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NFR-014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Compatibility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Both portals support the two latest major versions of Chrome, Edge, Firefox, and Safari (desktop), plus Safari/Chrome on tablets for phlebotomy workflows; no browser plugins required.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Serviceability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Zero-downtime (blue-green) deploys are the default; planned maintenance ≤ 4 h/month off-peak with ≥ 7 days tenant notice; unannounced downtime counts against NFR-003.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NFR-016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delivery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Critical-value and STAT notification attempts dispatch ≤ 60 s from the triggering domain event; every attempt is recorded as the evidentiary record.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Time synchronization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servers and on-prem agents synchronize clocks via NTP; agent clock drift &gt; 30 s raises an alert.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10. Data Architecture (PostgreSQL)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One PostgreSQL 17 cluster per region; logical layout: schema per module (platform, patients, orders, samples, results, billing, analytics, audit, notify).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Schema discipline: normalized to at least 3NF unless a denormalization is documented with its consistency strategy; database constraints (FK, unique, check) act as a second line of defense; no comma-separated identifiers, no universal lookup tables, no unjustified JSONB, no unsafe cascading deletes, no unbounded text without reason, no nullable columns that hide invalid states.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table ships with design documentation: purpose, primary key, foreign keys, unique/check constraints, indexes, tenant ownership, audit requirements, concurrency mechanism, retention, data sensitivity, and expected access patterns — generated into the schema reference and kept with the migrations.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Tenancy: every tenant-owned table carries tenant_id uuid NOT NULL with an RLS policy bound to the session tenant claim. The tenant identifier resolves only from trusted sources — never from a request body — and is enforced across commands, queries, database access, background jobs, caches, files, SignalR groups, logs, audit records, events, reports, and exports. CI runs automated cross-tenant isolation 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Keys: UUID v7 primary keys; human-facing numbers (visit no, invoice no, patient number) from per-branch sequence series stored with the record.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Partitioning: audit.events, results.result_values, notify.outbox — monthly range partitions with automated creation and archival tiering.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Concurrency &amp; state machines: status columns are enums with transition guards in the domain layer plus DB check constraints; optimistic concurrency on editable aggregates.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Reference data (sample-condition trees, range sets): versioned tables with effective_from/effective_to; results store the version id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Analytics: event outbox → bus → projection tables in the analytics schema; operational OLTP is never queried by dashboards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Full-text/trigram indexes (pg_trgm) for patient and global search; pgcrypto for sensitive-column encryption with per-tenant data keys.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Migrations: EF Core migrations per module assembly, applied by CI/CD gate with drift detection; destructive changes require the expand-and-contract pattern.</w:t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11. Delivery, Acceptance &amp; Traceability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11.1 Environments &amp; CI/CD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Environments: DEV → QA → STAGING (tenant-clone sandbox) → PROD; per-environment secrets in a vault.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CI/CD: trunk-based with PR gates (build, unit, architecture tests, RLS isolation tests, migration dry-run); blue-green deploys; feature flags decouple deploy from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provisioning, seeding, and go-live are productized in M01/M03 wizards — no manual SQL in any environment.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11.2 Definition of Done (per page)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the Enterprise Application Architect standard, a page is complete only when all applicable items are addressed: acceptance criteria, domain behavior, architecture boundaries, CQRS separation, validation, backend authorization (UI + API), tenant isolation, database constraints and indexes, concurrency and idempotency, auditing, structured logging and distributed tracing, standard error handling, unit + integration + security tests referencing the FR ID, i18n keys extracted, the progress-indicator state machine covered by transition tests, and documentation and deployment/configuration changes included — with every incomplete item reported honestly.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11.3 Test Taxonomy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Required across the codebase: domain unit, application-handler, validator, authorization, integration, PostgreSQL persistence, API contract, architecture, tenant-isolation, idempotency, concurrency, outbox/inbox, Angular component and service, end-to-end, and security-focused tests. Architecture tests verify dependency direction and module boundaries.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11.4 Acceptance &amp;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FR-ID maps 1:1 to backlog epics/stories and to at least one automated test; the traceability matrix is generated from code annotations and shipped with each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UAT scripts derive from the Workflow and Validations sections verbatim; progress-indicator states are asserted in E2E tests as the observable contract.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This SRS is the controlled source of scope: changes require impact analysis on FR IDs and product-owner approval.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A — Canonical State Machines (Phase 1)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Authoritative status pipelines referenced across modules. Implement each as a guarded enum with audited transitions; progress bars on pages render these states.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6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Order / Visit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Registered → Collected → Received → InProcess → Validated → Reported → Closed (Cancelled from any pre-Reported state)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Sample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Reserved → ConditionPending → ReadyToCollect → Collected → Received → InProcess → Completed (Rejected branch at accessioning; ready-now samples skip the reservation states)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Test (order line)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AwaitingSample → Pending → InProcess → Entered → TechValid → MedValid → Reported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Result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Entered → TechnicallyValid → MedicallyValid → Reported → Amended (v n+1)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PendingResults → Interim → Final → Delivered → Acknowledged (Amended re-enters at Final)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Invoice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Issued → PartiallyPaid → Paid → Adjusted/Refunded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Trial → Active → PastDue → Suspended → Offboarded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Subscription plan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Published → Assigned → Metered → Invoiced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B — Data Retention &amp; Archival (Phase 1)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800"/>
        <w:gridCol w:w="3200"/>
        <w:gridCol w:w="3026"/>
      </w:tblGrid>
      <w:tr>
        <w:trPr>
          <w:tblHeader/>
        </w:trPr>
        <w:tc>
          <w:tcPr>
            <w:tcW w:type="dxa" w:w="2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class</w:t>
            </w:r>
          </w:p>
        </w:tc>
        <w:tc>
          <w:tcPr>
            <w:tcW w:type="dxa" w:w="3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Retention</w:t>
            </w:r>
          </w:p>
        </w:tc>
        <w:tc>
          <w:tcPr>
            <w:tcW w:type="dxa" w:w="3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 trail events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10 years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Insert-only, hash-chained, monthly partitions.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Issued report PDFs &amp; e-signatures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Life of tenant; included in offboarding export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Immutable objects with content hash.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Clinical results &amp; orders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Jurisdictional medical-records law; tenant-configurable floor (OPEN)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Erasure requests pseudonymize, never delete.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delivery receipts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2 years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Evidentiary record for notification SLAs.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Login, session &amp; support-access logs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2 years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§4.3, P01.6.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Offboarded-tenant data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Export package, then deletion after the 30-day window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Dual platform-admin approval required.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C — Development Sequence Note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Ship the spine first: M01 (provision a tenant) → M02–M03 (configure) → M04–M05 (register a visit) → M07–M08 (collect and receive) → M09 (result and validate) → M10 (report) → M17 (collect payment) → M23 (measure). A patient can then be registered, ordered, collected, resulted, reported, and paid — every later module attaches to that spine through domain events. Treat the state machines in Appendix A as the product’s public truth: the stepper on screen, the API status field, and the E2E tests all read from one enum.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National Technology • Confidential • 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2"/>
        <w:sz w:val="16"/>
        <w:szCs w:val="16"/>
      </w:rPr>
      <w:t xml:space="preserve">Sky LIS — Software Requirements Specification (SLIS-SRS-001 Rev 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0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a32f07e1a39cf097fac8022eb0af07418731c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 LIS — Software Requirements Specification (SLIS-SRS-001 Rev 2.0)</dc:title>
  <dc:creator>National Technology — Product Engineering</dc:creator>
  <dc:description>Multi-tenant SaaS Laboratory Information System — SRS Rev 2.0</dc:description>
  <cp:lastModifiedBy>Un-named</cp:lastModifiedBy>
  <cp:revision>1</cp:revision>
  <dcterms:created xsi:type="dcterms:W3CDTF">2026-08-15T07:46:00.038Z</dcterms:created>
  <dcterms:modified xsi:type="dcterms:W3CDTF">2026-08-15T07:46:00.039Z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