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013" w:rsidRDefault="003D55AB">
      <w:pPr>
        <w:spacing w:after="60"/>
        <w:jc w:val="center"/>
      </w:pPr>
      <w:r>
        <w:rPr>
          <w:b/>
          <w:bCs/>
          <w:sz w:val="32"/>
          <w:szCs w:val="32"/>
        </w:rPr>
        <w:t>CUSP2 Acceptance-Limit Discrepancy Investigation</w:t>
      </w:r>
    </w:p>
    <w:p w:rsidR="00825013" w:rsidRDefault="003D55AB">
      <w:pPr>
        <w:spacing w:after="40"/>
        <w:jc w:val="center"/>
      </w:pPr>
      <w:r>
        <w:rPr>
          <w:color w:val="444444"/>
          <w:sz w:val="22"/>
          <w:szCs w:val="22"/>
        </w:rPr>
        <w:t>Technical Note</w:t>
      </w:r>
    </w:p>
    <w:p w:rsidR="00825013" w:rsidRDefault="003D55AB">
      <w:pPr>
        <w:spacing w:after="240"/>
        <w:jc w:val="center"/>
      </w:pPr>
      <w:r>
        <w:rPr>
          <w:i/>
          <w:iCs/>
          <w:color w:val="555555"/>
        </w:rPr>
        <w:t>Comparison of the Content Uniformity Sampling Plan 2 (multi-location) acceptance-limit calculation between the original SAS CuDAL system and its Python translation</w:t>
      </w:r>
    </w:p>
    <w:p w:rsidR="00825013" w:rsidRDefault="00825013">
      <w:pPr>
        <w:pBdr>
          <w:bottom w:val="single" w:sz="6" w:space="0" w:color="999999"/>
        </w:pBdr>
        <w:spacing w:before="120" w:after="240"/>
      </w:pPr>
    </w:p>
    <w:p w:rsidR="00825013" w:rsidRDefault="003D55AB">
      <w:pPr>
        <w:pStyle w:val="Heading1"/>
        <w:spacing w:before="280" w:after="140"/>
      </w:pPr>
      <w:r>
        <w:t>1. Summary</w:t>
      </w:r>
    </w:p>
    <w:p w:rsidR="00825013" w:rsidRDefault="003D55AB">
      <w:pPr>
        <w:spacing w:after="160"/>
      </w:pPr>
      <w:r>
        <w:t>For most parameter combinations, the Python translation of Cusp2.sas reproduces SAS's acceptance-limit table (MEANL / MEANU) to within a small fraction of a percent. However, at very small within-location and between-location standard deviations (SE, SM), a visible gap appears between the two outputs.</w:t>
      </w:r>
    </w:p>
    <w:p w:rsidR="00825013" w:rsidRDefault="003D55AB">
      <w:pPr>
        <w:pStyle w:val="Heading2"/>
        <w:spacing w:before="200" w:after="100"/>
      </w:pPr>
      <w:r>
        <w:t>Example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825013">
        <w:trPr>
          <w:tblHeader/>
        </w:trPr>
        <w:tc>
          <w:tcPr>
            <w:tcW w:w="5400" w:type="dxa"/>
            <w:shd w:val="clear" w:color="auto" w:fill="2F5597"/>
            <w:tcMar>
              <w:top w:w="80" w:type="dxa"/>
              <w:left w:w="120" w:type="dxa"/>
              <w:bottom w:w="80" w:type="dxa"/>
              <w:right w:w="120" w:type="dxa"/>
            </w:tcMar>
            <w:vAlign w:val="center"/>
          </w:tcPr>
          <w:p w:rsidR="00825013" w:rsidRDefault="003D55AB">
            <w:r>
              <w:rPr>
                <w:b/>
                <w:bCs/>
                <w:color w:val="FFFFFF"/>
              </w:rPr>
              <w:t>Parameter</w:t>
            </w:r>
          </w:p>
        </w:tc>
        <w:tc>
          <w:tcPr>
            <w:tcW w:w="3600" w:type="dxa"/>
            <w:shd w:val="clear" w:color="auto" w:fill="2F5597"/>
            <w:tcMar>
              <w:top w:w="80" w:type="dxa"/>
              <w:left w:w="120" w:type="dxa"/>
              <w:bottom w:w="80" w:type="dxa"/>
              <w:right w:w="120" w:type="dxa"/>
            </w:tcMar>
            <w:vAlign w:val="center"/>
          </w:tcPr>
          <w:p w:rsidR="00825013" w:rsidRDefault="003D55AB">
            <w:r>
              <w:rPr>
                <w:b/>
                <w:bCs/>
                <w:color w:val="FFFFFF"/>
              </w:rPr>
              <w:t>Value</w:t>
            </w:r>
          </w:p>
        </w:tc>
      </w:tr>
      <w:tr w:rsidR="00825013">
        <w:tc>
          <w:tcPr>
            <w:tcW w:w="5400" w:type="dxa"/>
            <w:tcMar>
              <w:top w:w="80" w:type="dxa"/>
              <w:left w:w="120" w:type="dxa"/>
              <w:bottom w:w="80" w:type="dxa"/>
              <w:right w:w="120" w:type="dxa"/>
            </w:tcMar>
            <w:vAlign w:val="center"/>
          </w:tcPr>
          <w:p w:rsidR="00825013" w:rsidRDefault="003D55AB">
            <w:r>
              <w:rPr>
                <w:color w:val="1F2937"/>
              </w:rPr>
              <w:t>Locations (LOC)</w:t>
            </w:r>
          </w:p>
        </w:tc>
        <w:tc>
          <w:tcPr>
            <w:tcW w:w="3600" w:type="dxa"/>
            <w:tcMar>
              <w:top w:w="80" w:type="dxa"/>
              <w:left w:w="120" w:type="dxa"/>
              <w:bottom w:w="80" w:type="dxa"/>
              <w:right w:w="120" w:type="dxa"/>
            </w:tcMar>
            <w:vAlign w:val="center"/>
          </w:tcPr>
          <w:p w:rsidR="00825013" w:rsidRDefault="003D55AB">
            <w:r>
              <w:rPr>
                <w:color w:val="1F2937"/>
              </w:rPr>
              <w:t>3</w:t>
            </w:r>
          </w:p>
        </w:tc>
      </w:tr>
      <w:tr w:rsidR="00825013">
        <w:tc>
          <w:tcPr>
            <w:tcW w:w="5400" w:type="dxa"/>
            <w:shd w:val="clear" w:color="auto" w:fill="F2F5FA"/>
            <w:tcMar>
              <w:top w:w="80" w:type="dxa"/>
              <w:left w:w="120" w:type="dxa"/>
              <w:bottom w:w="80" w:type="dxa"/>
              <w:right w:w="120" w:type="dxa"/>
            </w:tcMar>
            <w:vAlign w:val="center"/>
          </w:tcPr>
          <w:p w:rsidR="00825013" w:rsidRDefault="003D55AB">
            <w:r>
              <w:rPr>
                <w:color w:val="1F2937"/>
              </w:rPr>
              <w:t>Units per location (NUM)</w:t>
            </w:r>
          </w:p>
        </w:tc>
        <w:tc>
          <w:tcPr>
            <w:tcW w:w="3600" w:type="dxa"/>
            <w:shd w:val="clear" w:color="auto" w:fill="F2F5FA"/>
            <w:tcMar>
              <w:top w:w="80" w:type="dxa"/>
              <w:left w:w="120" w:type="dxa"/>
              <w:bottom w:w="80" w:type="dxa"/>
              <w:right w:w="120" w:type="dxa"/>
            </w:tcMar>
            <w:vAlign w:val="center"/>
          </w:tcPr>
          <w:p w:rsidR="00825013" w:rsidRDefault="003D55AB">
            <w:r>
              <w:rPr>
                <w:color w:val="1F2937"/>
              </w:rPr>
              <w:t>300</w:t>
            </w:r>
          </w:p>
        </w:tc>
      </w:tr>
      <w:tr w:rsidR="00825013">
        <w:tc>
          <w:tcPr>
            <w:tcW w:w="5400" w:type="dxa"/>
            <w:tcMar>
              <w:top w:w="80" w:type="dxa"/>
              <w:left w:w="120" w:type="dxa"/>
              <w:bottom w:w="80" w:type="dxa"/>
              <w:right w:w="120" w:type="dxa"/>
            </w:tcMar>
            <w:vAlign w:val="center"/>
          </w:tcPr>
          <w:p w:rsidR="00825013" w:rsidRDefault="003D55AB">
            <w:r>
              <w:rPr>
                <w:color w:val="1F2937"/>
              </w:rPr>
              <w:t>Lower bound</w:t>
            </w:r>
          </w:p>
        </w:tc>
        <w:tc>
          <w:tcPr>
            <w:tcW w:w="3600" w:type="dxa"/>
            <w:tcMar>
              <w:top w:w="80" w:type="dxa"/>
              <w:left w:w="120" w:type="dxa"/>
              <w:bottom w:w="80" w:type="dxa"/>
              <w:right w:w="120" w:type="dxa"/>
            </w:tcMar>
            <w:vAlign w:val="center"/>
          </w:tcPr>
          <w:p w:rsidR="00825013" w:rsidRDefault="003D55AB">
            <w:r>
              <w:rPr>
                <w:color w:val="1F2937"/>
              </w:rPr>
              <w:t>99%</w:t>
            </w:r>
          </w:p>
        </w:tc>
      </w:tr>
      <w:tr w:rsidR="00825013">
        <w:tc>
          <w:tcPr>
            <w:tcW w:w="5400" w:type="dxa"/>
            <w:shd w:val="clear" w:color="auto" w:fill="F2F5FA"/>
            <w:tcMar>
              <w:top w:w="80" w:type="dxa"/>
              <w:left w:w="120" w:type="dxa"/>
              <w:bottom w:w="80" w:type="dxa"/>
              <w:right w:w="120" w:type="dxa"/>
            </w:tcMar>
            <w:vAlign w:val="center"/>
          </w:tcPr>
          <w:p w:rsidR="00825013" w:rsidRDefault="003D55AB">
            <w:r>
              <w:rPr>
                <w:color w:val="1F2937"/>
              </w:rPr>
              <w:t>Confidence level</w:t>
            </w:r>
          </w:p>
        </w:tc>
        <w:tc>
          <w:tcPr>
            <w:tcW w:w="3600" w:type="dxa"/>
            <w:shd w:val="clear" w:color="auto" w:fill="F2F5FA"/>
            <w:tcMar>
              <w:top w:w="80" w:type="dxa"/>
              <w:left w:w="120" w:type="dxa"/>
              <w:bottom w:w="80" w:type="dxa"/>
              <w:right w:w="120" w:type="dxa"/>
            </w:tcMar>
            <w:vAlign w:val="center"/>
          </w:tcPr>
          <w:p w:rsidR="00825013" w:rsidRDefault="003D55AB">
            <w:r>
              <w:rPr>
                <w:color w:val="1F2937"/>
              </w:rPr>
              <w:t>50%</w:t>
            </w:r>
          </w:p>
        </w:tc>
      </w:tr>
      <w:tr w:rsidR="00825013">
        <w:tc>
          <w:tcPr>
            <w:tcW w:w="5400" w:type="dxa"/>
            <w:tcMar>
              <w:top w:w="80" w:type="dxa"/>
              <w:left w:w="120" w:type="dxa"/>
              <w:bottom w:w="80" w:type="dxa"/>
              <w:right w:w="120" w:type="dxa"/>
            </w:tcMar>
            <w:vAlign w:val="center"/>
          </w:tcPr>
          <w:p w:rsidR="00825013" w:rsidRDefault="003D55AB">
            <w:r>
              <w:rPr>
                <w:color w:val="1F2937"/>
              </w:rPr>
              <w:t>Target</w:t>
            </w:r>
          </w:p>
        </w:tc>
        <w:tc>
          <w:tcPr>
            <w:tcW w:w="3600" w:type="dxa"/>
            <w:tcMar>
              <w:top w:w="80" w:type="dxa"/>
              <w:left w:w="120" w:type="dxa"/>
              <w:bottom w:w="80" w:type="dxa"/>
              <w:right w:w="120" w:type="dxa"/>
            </w:tcMar>
            <w:vAlign w:val="center"/>
          </w:tcPr>
          <w:p w:rsidR="00825013" w:rsidRDefault="003D55AB">
            <w:r>
              <w:rPr>
                <w:color w:val="1F2937"/>
              </w:rPr>
              <w:t>100</w:t>
            </w:r>
          </w:p>
        </w:tc>
      </w:tr>
      <w:tr w:rsidR="00825013">
        <w:tc>
          <w:tcPr>
            <w:tcW w:w="5400" w:type="dxa"/>
            <w:shd w:val="clear" w:color="auto" w:fill="F2F5FA"/>
            <w:tcMar>
              <w:top w:w="80" w:type="dxa"/>
              <w:left w:w="120" w:type="dxa"/>
              <w:bottom w:w="80" w:type="dxa"/>
              <w:right w:w="120" w:type="dxa"/>
            </w:tcMar>
            <w:vAlign w:val="center"/>
          </w:tcPr>
          <w:p w:rsidR="00825013" w:rsidRDefault="003D55AB">
            <w:r>
              <w:rPr>
                <w:color w:val="1F2937"/>
              </w:rPr>
              <w:t>SE</w:t>
            </w:r>
          </w:p>
        </w:tc>
        <w:tc>
          <w:tcPr>
            <w:tcW w:w="3600" w:type="dxa"/>
            <w:shd w:val="clear" w:color="auto" w:fill="F2F5FA"/>
            <w:tcMar>
              <w:top w:w="80" w:type="dxa"/>
              <w:left w:w="120" w:type="dxa"/>
              <w:bottom w:w="80" w:type="dxa"/>
              <w:right w:w="120" w:type="dxa"/>
            </w:tcMar>
            <w:vAlign w:val="center"/>
          </w:tcPr>
          <w:p w:rsidR="00825013" w:rsidRDefault="003D55AB">
            <w:r>
              <w:rPr>
                <w:color w:val="1F2937"/>
              </w:rPr>
              <w:t>0.1</w:t>
            </w:r>
          </w:p>
        </w:tc>
      </w:tr>
      <w:tr w:rsidR="00825013">
        <w:tc>
          <w:tcPr>
            <w:tcW w:w="5400" w:type="dxa"/>
            <w:tcMar>
              <w:top w:w="80" w:type="dxa"/>
              <w:left w:w="120" w:type="dxa"/>
              <w:bottom w:w="80" w:type="dxa"/>
              <w:right w:w="120" w:type="dxa"/>
            </w:tcMar>
            <w:vAlign w:val="center"/>
          </w:tcPr>
          <w:p w:rsidR="00825013" w:rsidRDefault="003D55AB">
            <w:r>
              <w:rPr>
                <w:color w:val="1F2937"/>
              </w:rPr>
              <w:t>SM</w:t>
            </w:r>
          </w:p>
        </w:tc>
        <w:tc>
          <w:tcPr>
            <w:tcW w:w="3600" w:type="dxa"/>
            <w:tcMar>
              <w:top w:w="80" w:type="dxa"/>
              <w:left w:w="120" w:type="dxa"/>
              <w:bottom w:w="80" w:type="dxa"/>
              <w:right w:w="120" w:type="dxa"/>
            </w:tcMar>
            <w:vAlign w:val="center"/>
          </w:tcPr>
          <w:p w:rsidR="00825013" w:rsidRDefault="003D55AB">
            <w:r>
              <w:rPr>
                <w:color w:val="1F2937"/>
              </w:rPr>
              <w:t>0.1</w:t>
            </w:r>
          </w:p>
        </w:tc>
      </w:tr>
    </w:tbl>
    <w:p w:rsidR="00825013" w:rsidRDefault="00825013">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400"/>
      </w:tblGrid>
      <w:tr w:rsidR="00825013">
        <w:trPr>
          <w:tblHeader/>
        </w:trPr>
        <w:tc>
          <w:tcPr>
            <w:tcW w:w="4200" w:type="dxa"/>
            <w:shd w:val="clear" w:color="auto" w:fill="2F5597"/>
            <w:tcMar>
              <w:top w:w="80" w:type="dxa"/>
              <w:left w:w="120" w:type="dxa"/>
              <w:bottom w:w="80" w:type="dxa"/>
              <w:right w:w="120" w:type="dxa"/>
            </w:tcMar>
            <w:vAlign w:val="center"/>
          </w:tcPr>
          <w:p w:rsidR="00825013" w:rsidRDefault="003D55AB">
            <w:r>
              <w:rPr>
                <w:b/>
                <w:bCs/>
                <w:color w:val="FFFFFF"/>
              </w:rPr>
              <w:t>Source</w:t>
            </w:r>
          </w:p>
        </w:tc>
        <w:tc>
          <w:tcPr>
            <w:tcW w:w="2400" w:type="dxa"/>
            <w:shd w:val="clear" w:color="auto" w:fill="2F5597"/>
            <w:tcMar>
              <w:top w:w="80" w:type="dxa"/>
              <w:left w:w="120" w:type="dxa"/>
              <w:bottom w:w="80" w:type="dxa"/>
              <w:right w:w="120" w:type="dxa"/>
            </w:tcMar>
            <w:vAlign w:val="center"/>
          </w:tcPr>
          <w:p w:rsidR="00825013" w:rsidRDefault="003D55AB">
            <w:r>
              <w:rPr>
                <w:b/>
                <w:bCs/>
                <w:color w:val="FFFFFF"/>
              </w:rPr>
              <w:t>MEANL</w:t>
            </w:r>
          </w:p>
        </w:tc>
        <w:tc>
          <w:tcPr>
            <w:tcW w:w="2400" w:type="dxa"/>
            <w:shd w:val="clear" w:color="auto" w:fill="2F5597"/>
            <w:tcMar>
              <w:top w:w="80" w:type="dxa"/>
              <w:left w:w="120" w:type="dxa"/>
              <w:bottom w:w="80" w:type="dxa"/>
              <w:right w:w="120" w:type="dxa"/>
            </w:tcMar>
            <w:vAlign w:val="center"/>
          </w:tcPr>
          <w:p w:rsidR="00825013" w:rsidRDefault="003D55AB">
            <w:r>
              <w:rPr>
                <w:b/>
                <w:bCs/>
                <w:color w:val="FFFFFF"/>
              </w:rPr>
              <w:t>MEANU</w:t>
            </w:r>
          </w:p>
        </w:tc>
      </w:tr>
      <w:tr w:rsidR="00825013">
        <w:tc>
          <w:tcPr>
            <w:tcW w:w="4200" w:type="dxa"/>
            <w:tcMar>
              <w:top w:w="80" w:type="dxa"/>
              <w:left w:w="120" w:type="dxa"/>
              <w:bottom w:w="80" w:type="dxa"/>
              <w:right w:w="120" w:type="dxa"/>
            </w:tcMar>
            <w:vAlign w:val="center"/>
          </w:tcPr>
          <w:p w:rsidR="00825013" w:rsidRDefault="003D55AB">
            <w:r>
              <w:rPr>
                <w:color w:val="1F2937"/>
              </w:rPr>
              <w:t>SAS CuDAL</w:t>
            </w:r>
          </w:p>
        </w:tc>
        <w:tc>
          <w:tcPr>
            <w:tcW w:w="2400" w:type="dxa"/>
            <w:tcMar>
              <w:top w:w="80" w:type="dxa"/>
              <w:left w:w="120" w:type="dxa"/>
              <w:bottom w:w="80" w:type="dxa"/>
              <w:right w:w="120" w:type="dxa"/>
            </w:tcMar>
            <w:vAlign w:val="center"/>
          </w:tcPr>
          <w:p w:rsidR="00825013" w:rsidRDefault="003D55AB">
            <w:r>
              <w:rPr>
                <w:color w:val="1F2937"/>
              </w:rPr>
              <w:t>84.8</w:t>
            </w:r>
          </w:p>
        </w:tc>
        <w:tc>
          <w:tcPr>
            <w:tcW w:w="2400" w:type="dxa"/>
            <w:tcMar>
              <w:top w:w="80" w:type="dxa"/>
              <w:left w:w="120" w:type="dxa"/>
              <w:bottom w:w="80" w:type="dxa"/>
              <w:right w:w="120" w:type="dxa"/>
            </w:tcMar>
            <w:vAlign w:val="center"/>
          </w:tcPr>
          <w:p w:rsidR="00825013" w:rsidRDefault="003D55AB">
            <w:r>
              <w:rPr>
                <w:color w:val="1F2937"/>
              </w:rPr>
              <w:t>115.2</w:t>
            </w:r>
          </w:p>
        </w:tc>
      </w:tr>
      <w:tr w:rsidR="00825013">
        <w:tc>
          <w:tcPr>
            <w:tcW w:w="4200" w:type="dxa"/>
            <w:shd w:val="clear" w:color="auto" w:fill="F2F5FA"/>
            <w:tcMar>
              <w:top w:w="80" w:type="dxa"/>
              <w:left w:w="120" w:type="dxa"/>
              <w:bottom w:w="80" w:type="dxa"/>
              <w:right w:w="120" w:type="dxa"/>
            </w:tcMar>
            <w:vAlign w:val="center"/>
          </w:tcPr>
          <w:p w:rsidR="00825013" w:rsidRDefault="003D55AB">
            <w:r>
              <w:rPr>
                <w:color w:val="1F2937"/>
              </w:rPr>
              <w:t>Python (independent solve)</w:t>
            </w:r>
          </w:p>
        </w:tc>
        <w:tc>
          <w:tcPr>
            <w:tcW w:w="2400" w:type="dxa"/>
            <w:shd w:val="clear" w:color="auto" w:fill="F2F5FA"/>
            <w:tcMar>
              <w:top w:w="80" w:type="dxa"/>
              <w:left w:w="120" w:type="dxa"/>
              <w:bottom w:w="80" w:type="dxa"/>
              <w:right w:w="120" w:type="dxa"/>
            </w:tcMar>
            <w:vAlign w:val="center"/>
          </w:tcPr>
          <w:p w:rsidR="00825013" w:rsidRDefault="003D55AB" w:rsidP="002C2E74">
            <w:r>
              <w:rPr>
                <w:color w:val="1F2937"/>
              </w:rPr>
              <w:t>84.1469</w:t>
            </w:r>
          </w:p>
        </w:tc>
        <w:tc>
          <w:tcPr>
            <w:tcW w:w="2400" w:type="dxa"/>
            <w:shd w:val="clear" w:color="auto" w:fill="F2F5FA"/>
            <w:tcMar>
              <w:top w:w="80" w:type="dxa"/>
              <w:left w:w="120" w:type="dxa"/>
              <w:bottom w:w="80" w:type="dxa"/>
              <w:right w:w="120" w:type="dxa"/>
            </w:tcMar>
            <w:vAlign w:val="center"/>
          </w:tcPr>
          <w:p w:rsidR="00825013" w:rsidRDefault="003D55AB" w:rsidP="002C2E74">
            <w:r>
              <w:rPr>
                <w:color w:val="1F2937"/>
              </w:rPr>
              <w:t>115.8531</w:t>
            </w:r>
          </w:p>
        </w:tc>
      </w:tr>
    </w:tbl>
    <w:p w:rsidR="00825013" w:rsidRDefault="00825013">
      <w:pPr>
        <w:spacing w:before="200"/>
      </w:pPr>
    </w:p>
    <w:p w:rsidR="00825013" w:rsidRDefault="003D55AB">
      <w:pPr>
        <w:spacing w:after="160"/>
      </w:pPr>
      <w:r>
        <w:t>Root cause: this is not a numerical-accuracy problem in either implementation. It is a search-algorithm artifact in the original SAS code, which only becomes visible when the underlying probability curve is extremely steep — which happens precisely when SE and SM are very small. The Python version finds the mathematically correct root of the exact same formula; SAS's sequential, warm-started search finds a nearby point instead, because at this steepness almost any nearby starting guess already looks like it “passes.”</w:t>
      </w:r>
    </w:p>
    <w:p w:rsidR="00825013" w:rsidRDefault="003D55AB">
      <w:pPr>
        <w:pStyle w:val="Heading1"/>
        <w:spacing w:before="280" w:after="140"/>
      </w:pPr>
      <w:r>
        <w:t>2. Two Hypotheses That Were Ruled Out</w:t>
      </w:r>
    </w:p>
    <w:p w:rsidR="00825013" w:rsidRDefault="003D55AB">
      <w:pPr>
        <w:spacing w:after="160"/>
      </w:pPr>
      <w:r>
        <w:t>Before identifying the real cause, two commonly-suspected sources of error were checked and eliminated.</w:t>
      </w:r>
    </w:p>
    <w:p w:rsidR="00825013" w:rsidRDefault="003D55AB">
      <w:pPr>
        <w:pStyle w:val="Heading2"/>
        <w:spacing w:before="200" w:after="100"/>
      </w:pPr>
      <w:r>
        <w:t>2.1 The h = 0.05 numerical integration step</w:t>
      </w:r>
    </w:p>
    <w:p w:rsidR="00825013" w:rsidRDefault="003D55AB">
      <w:pPr>
        <w:spacing w:after="160"/>
      </w:pPr>
      <w:r>
        <w:t>The content-uniformity probability formula (c1calc / cullu / cuulu in SAS) approximates two integrals with a manual Riemann sum using step size h = 0.05 (about 300 terms). This step size, the integration grid, and the formula are byte-for-byte identical between the SAS code and the Python translation.</w:t>
      </w:r>
    </w:p>
    <w:p w:rsidR="00825013" w:rsidRDefault="003D55AB">
      <w:pPr>
        <w:spacing w:after="160"/>
      </w:pPr>
      <w:r>
        <w:lastRenderedPageBreak/>
        <w:t>Because both implementations use the exact same integration scheme, this cannot be the source of a difference between them — it would affect both equally, not create a gap.</w:t>
      </w:r>
    </w:p>
    <w:p w:rsidR="00825013" w:rsidRDefault="003D55AB">
      <w:pPr>
        <w:pStyle w:val="Heading2"/>
        <w:spacing w:before="200" w:after="100"/>
      </w:pPr>
      <w:r>
        <w:t>2.2 SAS's 0.1% rounding</w:t>
      </w:r>
    </w:p>
    <w:p w:rsidR="00825013" w:rsidRDefault="003D55AB" w:rsidP="002C2E74">
      <w:pPr>
        <w:spacing w:after="160"/>
      </w:pPr>
      <w:r>
        <w:t xml:space="preserve">SAS's mean search steps in increments of 0.1 (DO MEAN = ... BY D; with D = 0.10), so its reported boundary is always rounded to the nearest 0.1. This does introduce a small, expected discrepancy — but only on the order of 0.1 units. The observed gap here (84.8 vs. </w:t>
      </w:r>
      <w:r>
        <w:rPr>
          <w:color w:val="1F2937"/>
        </w:rPr>
        <w:t>84.1469</w:t>
      </w:r>
      <w:r>
        <w:t>, a difference of 0.6531) is roughly three times larger than rounding alone can explain. Something else is stacking on top of the rounding.</w:t>
      </w:r>
    </w:p>
    <w:p w:rsidR="00825013" w:rsidRDefault="003D55AB">
      <w:pPr>
        <w:pStyle w:val="Heading1"/>
        <w:spacing w:before="280" w:after="140"/>
      </w:pPr>
      <w:r>
        <w:t>3. What Is Actually Happening</w:t>
      </w:r>
    </w:p>
    <w:p w:rsidR="00825013" w:rsidRDefault="003D55AB">
      <w:pPr>
        <w:pStyle w:val="Heading2"/>
        <w:spacing w:before="200" w:after="100"/>
      </w:pPr>
      <w:r>
        <w:t>3.1 The probability curve becomes a near step-function</w:t>
      </w:r>
    </w:p>
    <w:p w:rsidR="00825013" w:rsidRDefault="003D55AB">
      <w:pPr>
        <w:spacing w:after="160"/>
      </w:pPr>
      <w:r>
        <w:t>With SE = SM = 0.1 and a large sample (NUM = 300, LOC = 3), the resulting population standard deviation fed into the USP &lt;905&gt; probability formula (sigma) is very small (≈ 0.197). USP &lt;905&gt;'s own internal test always uses a fixed sample size (n = 10 for stage 1, n = 30 for stage 2) — this is a fixed part of the USP method, unrelated to NUM/LOC. At such a small sigma, that fixed-size test becomes almost deterministic: the pass probability jumps from ~0% to ~100% within about one unit of mean, instead of changing gradually.</w:t>
      </w:r>
    </w:p>
    <w:p w:rsidR="00825013" w:rsidRDefault="003D55AB">
      <w:pPr>
        <w:spacing w:after="160"/>
      </w:pPr>
      <w:r>
        <w:t>This was confirmed by evaluating the probability function directly at this exact sigma: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00"/>
      </w:tblGrid>
      <w:tr w:rsidR="00825013">
        <w:trPr>
          <w:tblHeader/>
        </w:trPr>
        <w:tc>
          <w:tcPr>
            <w:tcW w:w="4800" w:type="dxa"/>
            <w:shd w:val="clear" w:color="auto" w:fill="2F5597"/>
            <w:tcMar>
              <w:top w:w="80" w:type="dxa"/>
              <w:left w:w="120" w:type="dxa"/>
              <w:bottom w:w="80" w:type="dxa"/>
              <w:right w:w="120" w:type="dxa"/>
            </w:tcMar>
            <w:vAlign w:val="center"/>
          </w:tcPr>
          <w:p w:rsidR="00825013" w:rsidRDefault="003D55AB">
            <w:r>
              <w:rPr>
                <w:b/>
                <w:bCs/>
                <w:color w:val="FFFFFF"/>
              </w:rPr>
              <w:t>Mean (mu)</w:t>
            </w:r>
          </w:p>
        </w:tc>
        <w:tc>
          <w:tcPr>
            <w:tcW w:w="4200" w:type="dxa"/>
            <w:shd w:val="clear" w:color="auto" w:fill="2F5597"/>
            <w:tcMar>
              <w:top w:w="80" w:type="dxa"/>
              <w:left w:w="120" w:type="dxa"/>
              <w:bottom w:w="80" w:type="dxa"/>
              <w:right w:w="120" w:type="dxa"/>
            </w:tcMar>
            <w:vAlign w:val="center"/>
          </w:tcPr>
          <w:p w:rsidR="00825013" w:rsidRDefault="003D55AB">
            <w:r>
              <w:rPr>
                <w:b/>
                <w:bCs/>
                <w:color w:val="FFFFFF"/>
              </w:rPr>
              <w:t>Pass probability</w:t>
            </w:r>
          </w:p>
        </w:tc>
      </w:tr>
      <w:tr w:rsidR="00825013">
        <w:tc>
          <w:tcPr>
            <w:tcW w:w="4800" w:type="dxa"/>
            <w:tcMar>
              <w:top w:w="80" w:type="dxa"/>
              <w:left w:w="120" w:type="dxa"/>
              <w:bottom w:w="80" w:type="dxa"/>
              <w:right w:w="120" w:type="dxa"/>
            </w:tcMar>
            <w:vAlign w:val="center"/>
          </w:tcPr>
          <w:p w:rsidR="00825013" w:rsidRDefault="003D55AB">
            <w:r>
              <w:rPr>
                <w:color w:val="1F2937"/>
              </w:rPr>
              <w:t>83.0</w:t>
            </w:r>
          </w:p>
        </w:tc>
        <w:tc>
          <w:tcPr>
            <w:tcW w:w="4200" w:type="dxa"/>
            <w:tcMar>
              <w:top w:w="80" w:type="dxa"/>
              <w:left w:w="120" w:type="dxa"/>
              <w:bottom w:w="80" w:type="dxa"/>
              <w:right w:w="120" w:type="dxa"/>
            </w:tcMar>
            <w:vAlign w:val="center"/>
          </w:tcPr>
          <w:p w:rsidR="00825013" w:rsidRDefault="003D55AB">
            <w:r>
              <w:rPr>
                <w:color w:val="1F2937"/>
              </w:rPr>
              <w:t>≈ 3 × 10⁻²⁶ (essentially zero)</w:t>
            </w:r>
          </w:p>
        </w:tc>
      </w:tr>
      <w:tr w:rsidR="00825013">
        <w:tc>
          <w:tcPr>
            <w:tcW w:w="4800" w:type="dxa"/>
            <w:shd w:val="clear" w:color="auto" w:fill="F2F5FA"/>
            <w:tcMar>
              <w:top w:w="80" w:type="dxa"/>
              <w:left w:w="120" w:type="dxa"/>
              <w:bottom w:w="80" w:type="dxa"/>
              <w:right w:w="120" w:type="dxa"/>
            </w:tcMar>
            <w:vAlign w:val="center"/>
          </w:tcPr>
          <w:p w:rsidR="00825013" w:rsidRDefault="003D55AB">
            <w:r>
              <w:rPr>
                <w:color w:val="1F2937"/>
              </w:rPr>
              <w:t>84.0</w:t>
            </w:r>
          </w:p>
        </w:tc>
        <w:tc>
          <w:tcPr>
            <w:tcW w:w="4200" w:type="dxa"/>
            <w:shd w:val="clear" w:color="auto" w:fill="F2F5FA"/>
            <w:tcMar>
              <w:top w:w="80" w:type="dxa"/>
              <w:left w:w="120" w:type="dxa"/>
              <w:bottom w:w="80" w:type="dxa"/>
              <w:right w:w="120" w:type="dxa"/>
            </w:tcMar>
            <w:vAlign w:val="center"/>
          </w:tcPr>
          <w:p w:rsidR="00825013" w:rsidRDefault="003D55AB">
            <w:r>
              <w:rPr>
                <w:color w:val="1F2937"/>
              </w:rPr>
              <w:t>0.953</w:t>
            </w:r>
          </w:p>
        </w:tc>
      </w:tr>
      <w:tr w:rsidR="00825013">
        <w:tc>
          <w:tcPr>
            <w:tcW w:w="4800" w:type="dxa"/>
            <w:tcMar>
              <w:top w:w="80" w:type="dxa"/>
              <w:left w:w="120" w:type="dxa"/>
              <w:bottom w:w="80" w:type="dxa"/>
              <w:right w:w="120" w:type="dxa"/>
            </w:tcMar>
            <w:vAlign w:val="center"/>
          </w:tcPr>
          <w:p w:rsidR="00825013" w:rsidRDefault="003D55AB">
            <w:r>
              <w:rPr>
                <w:color w:val="1F2937"/>
              </w:rPr>
              <w:t>84.14</w:t>
            </w:r>
          </w:p>
        </w:tc>
        <w:tc>
          <w:tcPr>
            <w:tcW w:w="4200" w:type="dxa"/>
            <w:tcMar>
              <w:top w:w="80" w:type="dxa"/>
              <w:left w:w="120" w:type="dxa"/>
              <w:bottom w:w="80" w:type="dxa"/>
              <w:right w:w="120" w:type="dxa"/>
            </w:tcMar>
            <w:vAlign w:val="center"/>
          </w:tcPr>
          <w:p w:rsidR="00825013" w:rsidRDefault="003D55AB">
            <w:r>
              <w:rPr>
                <w:color w:val="1F2937"/>
              </w:rPr>
              <w:t>0.9999</w:t>
            </w:r>
          </w:p>
        </w:tc>
      </w:tr>
      <w:tr w:rsidR="00825013">
        <w:tc>
          <w:tcPr>
            <w:tcW w:w="4800" w:type="dxa"/>
            <w:shd w:val="clear" w:color="auto" w:fill="F2F5FA"/>
            <w:tcMar>
              <w:top w:w="80" w:type="dxa"/>
              <w:left w:w="120" w:type="dxa"/>
              <w:bottom w:w="80" w:type="dxa"/>
              <w:right w:w="120" w:type="dxa"/>
            </w:tcMar>
            <w:vAlign w:val="center"/>
          </w:tcPr>
          <w:p w:rsidR="00825013" w:rsidRDefault="003D55AB">
            <w:r>
              <w:rPr>
                <w:color w:val="1F2937"/>
              </w:rPr>
              <w:t>84.5 and above</w:t>
            </w:r>
          </w:p>
        </w:tc>
        <w:tc>
          <w:tcPr>
            <w:tcW w:w="4200" w:type="dxa"/>
            <w:shd w:val="clear" w:color="auto" w:fill="F2F5FA"/>
            <w:tcMar>
              <w:top w:w="80" w:type="dxa"/>
              <w:left w:w="120" w:type="dxa"/>
              <w:bottom w:w="80" w:type="dxa"/>
              <w:right w:w="120" w:type="dxa"/>
            </w:tcMar>
            <w:vAlign w:val="center"/>
          </w:tcPr>
          <w:p w:rsidR="00825013" w:rsidRDefault="003D55AB">
            <w:r>
              <w:rPr>
                <w:color w:val="1F2937"/>
              </w:rPr>
              <w:t>1.0000 (fully saturated)</w:t>
            </w:r>
          </w:p>
        </w:tc>
      </w:tr>
    </w:tbl>
    <w:p w:rsidR="00825013" w:rsidRDefault="00825013">
      <w:pPr>
        <w:spacing w:before="200"/>
      </w:pPr>
    </w:p>
    <w:p w:rsidR="00825013" w:rsidRDefault="003D55AB">
      <w:pPr>
        <w:spacing w:after="160"/>
      </w:pPr>
      <w:r>
        <w:t>The required probability (99%) sits inside that narrow, steep transition — right around mu ≈ 84.1–84.2. This is the true root of the formula, and it is what the Python implementation finds.</w:t>
      </w:r>
    </w:p>
    <w:p w:rsidR="00825013" w:rsidRDefault="003D55AB">
      <w:pPr>
        <w:pStyle w:val="Heading2"/>
        <w:spacing w:before="200" w:after="100"/>
      </w:pPr>
      <w:r>
        <w:t>3.2 Why SAS lands on a different point</w:t>
      </w:r>
    </w:p>
    <w:p w:rsidR="00825013" w:rsidRDefault="003D55AB">
      <w:pPr>
        <w:spacing w:after="160"/>
      </w:pPr>
      <w:r>
        <w:t>SAS's search is not an independent solve for each grid cell. It is a sequential, warm-started search:</w:t>
      </w:r>
    </w:p>
    <w:p w:rsidR="00825013" w:rsidRDefault="003D55AB">
      <w:pPr>
        <w:shd w:val="clear" w:color="auto" w:fill="F4F4F4"/>
        <w:spacing w:before="80" w:after="160"/>
      </w:pPr>
      <w:r>
        <w:rPr>
          <w:rFonts w:ascii="Consolas" w:eastAsia="Consolas" w:hAnsi="Consolas" w:cs="Consolas"/>
          <w:color w:val="333333"/>
          <w:sz w:val="18"/>
          <w:szCs w:val="18"/>
        </w:rPr>
        <w:t>DO MEAN = MEANL - D TO 115.5 BY D;</w:t>
      </w:r>
    </w:p>
    <w:p w:rsidR="00825013" w:rsidRDefault="003D55AB">
      <w:pPr>
        <w:shd w:val="clear" w:color="auto" w:fill="F4F4F4"/>
        <w:spacing w:before="80" w:after="160"/>
      </w:pPr>
      <w:r>
        <w:rPr>
          <w:rFonts w:ascii="Consolas" w:eastAsia="Consolas" w:hAnsi="Consolas" w:cs="Consolas"/>
          <w:color w:val="333333"/>
          <w:sz w:val="18"/>
          <w:szCs w:val="18"/>
        </w:rPr>
        <w:t xml:space="preserve">    %cullu;</w:t>
      </w:r>
    </w:p>
    <w:p w:rsidR="00825013" w:rsidRDefault="003D55AB">
      <w:pPr>
        <w:shd w:val="clear" w:color="auto" w:fill="F4F4F4"/>
        <w:spacing w:before="80" w:after="160"/>
      </w:pPr>
      <w:r>
        <w:rPr>
          <w:rFonts w:ascii="Consolas" w:eastAsia="Consolas" w:hAnsi="Consolas" w:cs="Consolas"/>
          <w:color w:val="333333"/>
          <w:sz w:val="18"/>
          <w:szCs w:val="18"/>
        </w:rPr>
        <w:t xml:space="preserve">    IF OVERBDL &gt; LBOUND/100 THEN DO;</w:t>
      </w:r>
    </w:p>
    <w:p w:rsidR="00825013" w:rsidRDefault="003D55AB">
      <w:pPr>
        <w:shd w:val="clear" w:color="auto" w:fill="F4F4F4"/>
        <w:spacing w:before="80" w:after="160"/>
      </w:pPr>
      <w:r>
        <w:rPr>
          <w:rFonts w:ascii="Consolas" w:eastAsia="Consolas" w:hAnsi="Consolas" w:cs="Consolas"/>
          <w:color w:val="333333"/>
          <w:sz w:val="18"/>
          <w:szCs w:val="18"/>
        </w:rPr>
        <w:t xml:space="preserve">        MEANL = MEAN;</w:t>
      </w:r>
    </w:p>
    <w:p w:rsidR="00825013" w:rsidRDefault="003D55AB">
      <w:pPr>
        <w:shd w:val="clear" w:color="auto" w:fill="F4F4F4"/>
        <w:spacing w:before="80" w:after="160"/>
      </w:pPr>
      <w:r>
        <w:rPr>
          <w:rFonts w:ascii="Consolas" w:eastAsia="Consolas" w:hAnsi="Consolas" w:cs="Consolas"/>
          <w:color w:val="333333"/>
          <w:sz w:val="18"/>
          <w:szCs w:val="18"/>
        </w:rPr>
        <w:t xml:space="preserve">        GOTO UPPER;</w:t>
      </w:r>
    </w:p>
    <w:p w:rsidR="00825013" w:rsidRDefault="003D55AB">
      <w:pPr>
        <w:shd w:val="clear" w:color="auto" w:fill="F4F4F4"/>
        <w:spacing w:before="80" w:after="160"/>
      </w:pPr>
      <w:r>
        <w:rPr>
          <w:rFonts w:ascii="Consolas" w:eastAsia="Consolas" w:hAnsi="Consolas" w:cs="Consolas"/>
          <w:color w:val="333333"/>
          <w:sz w:val="18"/>
          <w:szCs w:val="18"/>
        </w:rPr>
        <w:t xml:space="preserve">    END;</w:t>
      </w:r>
    </w:p>
    <w:p w:rsidR="00825013" w:rsidRDefault="003D55AB">
      <w:pPr>
        <w:shd w:val="clear" w:color="auto" w:fill="F4F4F4"/>
        <w:spacing w:before="80" w:after="160"/>
      </w:pPr>
      <w:r>
        <w:rPr>
          <w:rFonts w:ascii="Consolas" w:eastAsia="Consolas" w:hAnsi="Consolas" w:cs="Consolas"/>
          <w:color w:val="333333"/>
          <w:sz w:val="18"/>
          <w:szCs w:val="18"/>
        </w:rPr>
        <w:t>END;</w:t>
      </w:r>
    </w:p>
    <w:p w:rsidR="00825013" w:rsidRDefault="003D55AB">
      <w:pPr>
        <w:spacing w:after="160"/>
      </w:pPr>
      <w:r>
        <w:t>MEANL here is inherited from the previous SE/SM grid cell and the loop only scans upward from MEANL_previous − D, stopping at the very first point that passes.</w:t>
      </w:r>
    </w:p>
    <w:p w:rsidR="00825013" w:rsidRDefault="003D55AB">
      <w:pPr>
        <w:spacing w:after="160"/>
      </w:pPr>
      <w:r>
        <w:t>Because the true curve is so steep in this regime, almost any inherited starting point above ~84.5 will already register as “passing” on the very first check. SAS's loop therefore never actually walks back down toward the true crossing near 84.1 — it simply reports wherever its inherited starting guess happened to be. The result (84.8) is a by-product of the search path, not a solve of the equation.</w:t>
      </w:r>
    </w:p>
    <w:p w:rsidR="00825013" w:rsidRDefault="003D55AB">
      <w:pPr>
        <w:spacing w:after="160"/>
      </w:pPr>
      <w:r>
        <w:lastRenderedPageBreak/>
        <w:t>The Python implementation instead performs an independent, from-scratch root search for every grid cell, so it always converges to the true crossing of the identical formula — which is why it comes out consistently wider (more permissive) than SAS specifically in this regime.</w:t>
      </w:r>
    </w:p>
    <w:p w:rsidR="00825013" w:rsidRDefault="003D55AB">
      <w:pPr>
        <w:pStyle w:val="Heading2"/>
        <w:spacing w:before="200" w:after="100"/>
      </w:pPr>
      <w:r>
        <w:t>3.3 Why this only shows up at very small SE/SM</w:t>
      </w:r>
    </w:p>
    <w:p w:rsidR="00825013" w:rsidRDefault="003D55AB">
      <w:pPr>
        <w:spacing w:after="160"/>
      </w:pPr>
      <w:r>
        <w:t>At more typical variability levels (SE, SM on the order of 1–3), the probability curve is much gentler and changes gradually over many units of mean rather than snapping within one unit. SAS's warm-started guess lands close enough to the true root in those cases that the two implementations agree closely (differences on the order of the expected 0.1 rounding only). The discrepancy is specific to the near-zero-variability corner of the parameter space.</w:t>
      </w:r>
    </w:p>
    <w:p w:rsidR="00825013" w:rsidRDefault="003D55AB">
      <w:pPr>
        <w:pStyle w:val="Heading1"/>
        <w:spacing w:before="280" w:after="140"/>
      </w:pPr>
      <w:r>
        <w:t>4. Independent Confirmation via the Original S-PLUS Verification Code</w:t>
      </w:r>
    </w:p>
    <w:p w:rsidR="00825013" w:rsidRDefault="003D55AB">
      <w:pPr>
        <w:spacing w:after="160"/>
      </w:pPr>
      <w:r>
        <w:t>The original CuDAL SAS system was itself verified, at the time it was built, against an independent S-PLUS implementation (CUSP2.CALCUSP2). Re-examining that verification code directly answers the question raised in Section 3: does an independently-solved root actually agree with PyCuDAL, or was the earlier analysis only a plausible theory?</w:t>
      </w:r>
    </w:p>
    <w:p w:rsidR="00825013" w:rsidRDefault="003D55AB">
      <w:pPr>
        <w:pStyle w:val="Heading2"/>
        <w:spacing w:before="200" w:after="100"/>
      </w:pPr>
      <w:r>
        <w:t>4.1 The Original S-PLUS Code Shares SAS's Search Design</w:t>
      </w:r>
    </w:p>
    <w:p w:rsidR="00825013" w:rsidRDefault="003D55AB">
      <w:pPr>
        <w:spacing w:after="160"/>
      </w:pPr>
      <w:r>
        <w:t>Inspection of CUSP2.CALCUSP2 shows it was never an independent statistical check in the way it was intended to be. It uses the same coarse, warm-started search characteristics identified in Section 3.2 as the source of the discrepancy:</w:t>
      </w:r>
    </w:p>
    <w:p w:rsidR="00825013" w:rsidRDefault="003D55AB">
      <w:pPr>
        <w:pStyle w:val="ListParagraph"/>
        <w:numPr>
          <w:ilvl w:val="0"/>
          <w:numId w:val="1"/>
        </w:numPr>
        <w:spacing w:after="100"/>
      </w:pPr>
      <w:r>
        <w:t>Step size D = 0.10 — identical to the SAS macro's own search increment.</w:t>
      </w:r>
    </w:p>
    <w:p w:rsidR="00825013" w:rsidRDefault="003D55AB">
      <w:pPr>
        <w:pStyle w:val="ListParagraph"/>
        <w:numPr>
          <w:ilvl w:val="0"/>
          <w:numId w:val="1"/>
        </w:numPr>
        <w:spacing w:after="100"/>
      </w:pPr>
      <w:r>
        <w:t>The search starts from fixed, tight initial bounds: MEANL = 84.9 and MEANU = 115.1 — the same values, and the same warm-start mechanism, as SAS.</w:t>
      </w:r>
    </w:p>
    <w:p w:rsidR="00825013" w:rsidRDefault="003D55AB">
      <w:pPr>
        <w:spacing w:after="160"/>
      </w:pPr>
      <w:r>
        <w:t>In other words, the tool originally used to “independently” verify SAS was built with the same search design. Under the steep, near-step-function conditions described in Section 3.1, it would simply reproduce SAS's own path-dependent answer rather than genuinely re-deriving it from the formula — so at the time, it could never have caught this discrepancy.</w:t>
      </w:r>
    </w:p>
    <w:p w:rsidR="00825013" w:rsidRDefault="003D55AB">
      <w:pPr>
        <w:pStyle w:val="Heading2"/>
        <w:spacing w:before="200" w:after="100"/>
      </w:pPr>
      <w:r>
        <w:t>4.2 Re-Running S-PLUS at Higher Precision</w:t>
      </w:r>
    </w:p>
    <w:p w:rsidR="00825013" w:rsidRDefault="003D55AB">
      <w:pPr>
        <w:spacing w:after="160"/>
      </w:pPr>
      <w:r>
        <w:t>To test this directly, the S-PLUS search parameters were tightened — widening the starting bounds and reducing the step size by a factor of 10, giving the search far more room and far finer resolution to find the true root, instead of defaulting immediately to a nearby warm-started guess: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825013">
        <w:trPr>
          <w:tblHeader/>
        </w:trPr>
        <w:tc>
          <w:tcPr>
            <w:tcW w:w="3000" w:type="dxa"/>
            <w:shd w:val="clear" w:color="auto" w:fill="2F5597"/>
            <w:tcMar>
              <w:top w:w="80" w:type="dxa"/>
              <w:left w:w="120" w:type="dxa"/>
              <w:bottom w:w="80" w:type="dxa"/>
              <w:right w:w="120" w:type="dxa"/>
            </w:tcMar>
            <w:vAlign w:val="center"/>
          </w:tcPr>
          <w:p w:rsidR="00825013" w:rsidRDefault="003D55AB">
            <w:r>
              <w:rPr>
                <w:b/>
                <w:bCs/>
                <w:color w:val="FFFFFF"/>
              </w:rPr>
              <w:t>Parameter</w:t>
            </w:r>
          </w:p>
        </w:tc>
        <w:tc>
          <w:tcPr>
            <w:tcW w:w="3000" w:type="dxa"/>
            <w:shd w:val="clear" w:color="auto" w:fill="2F5597"/>
            <w:tcMar>
              <w:top w:w="80" w:type="dxa"/>
              <w:left w:w="120" w:type="dxa"/>
              <w:bottom w:w="80" w:type="dxa"/>
              <w:right w:w="120" w:type="dxa"/>
            </w:tcMar>
            <w:vAlign w:val="center"/>
          </w:tcPr>
          <w:p w:rsidR="00825013" w:rsidRDefault="003D55AB">
            <w:r>
              <w:rPr>
                <w:b/>
                <w:bCs/>
                <w:color w:val="FFFFFF"/>
              </w:rPr>
              <w:t>Original S-PLUS</w:t>
            </w:r>
          </w:p>
        </w:tc>
        <w:tc>
          <w:tcPr>
            <w:tcW w:w="3000" w:type="dxa"/>
            <w:shd w:val="clear" w:color="auto" w:fill="2F5597"/>
            <w:tcMar>
              <w:top w:w="80" w:type="dxa"/>
              <w:left w:w="120" w:type="dxa"/>
              <w:bottom w:w="80" w:type="dxa"/>
              <w:right w:w="120" w:type="dxa"/>
            </w:tcMar>
            <w:vAlign w:val="center"/>
          </w:tcPr>
          <w:p w:rsidR="00825013" w:rsidRDefault="003D55AB">
            <w:r>
              <w:rPr>
                <w:b/>
                <w:bCs/>
                <w:color w:val="FFFFFF"/>
              </w:rPr>
              <w:t>Refined S-PLUS</w:t>
            </w:r>
          </w:p>
        </w:tc>
      </w:tr>
      <w:tr w:rsidR="00825013">
        <w:tc>
          <w:tcPr>
            <w:tcW w:w="3000" w:type="dxa"/>
            <w:tcMar>
              <w:top w:w="80" w:type="dxa"/>
              <w:left w:w="120" w:type="dxa"/>
              <w:bottom w:w="80" w:type="dxa"/>
              <w:right w:w="120" w:type="dxa"/>
            </w:tcMar>
            <w:vAlign w:val="center"/>
          </w:tcPr>
          <w:p w:rsidR="00825013" w:rsidRDefault="003D55AB">
            <w:r>
              <w:rPr>
                <w:color w:val="1F2937"/>
              </w:rPr>
              <w:t>Step size (D)</w:t>
            </w:r>
          </w:p>
        </w:tc>
        <w:tc>
          <w:tcPr>
            <w:tcW w:w="3000" w:type="dxa"/>
            <w:tcMar>
              <w:top w:w="80" w:type="dxa"/>
              <w:left w:w="120" w:type="dxa"/>
              <w:bottom w:w="80" w:type="dxa"/>
              <w:right w:w="120" w:type="dxa"/>
            </w:tcMar>
            <w:vAlign w:val="center"/>
          </w:tcPr>
          <w:p w:rsidR="00825013" w:rsidRDefault="003D55AB">
            <w:r>
              <w:rPr>
                <w:color w:val="1F2937"/>
              </w:rPr>
              <w:t>0.10</w:t>
            </w:r>
          </w:p>
        </w:tc>
        <w:tc>
          <w:tcPr>
            <w:tcW w:w="3000" w:type="dxa"/>
            <w:tcMar>
              <w:top w:w="80" w:type="dxa"/>
              <w:left w:w="120" w:type="dxa"/>
              <w:bottom w:w="80" w:type="dxa"/>
              <w:right w:w="120" w:type="dxa"/>
            </w:tcMar>
            <w:vAlign w:val="center"/>
          </w:tcPr>
          <w:p w:rsidR="00825013" w:rsidRDefault="003D55AB">
            <w:r>
              <w:rPr>
                <w:color w:val="1F2937"/>
              </w:rPr>
              <w:t>0.010</w:t>
            </w:r>
          </w:p>
        </w:tc>
      </w:tr>
      <w:tr w:rsidR="00825013">
        <w:tc>
          <w:tcPr>
            <w:tcW w:w="3000" w:type="dxa"/>
            <w:shd w:val="clear" w:color="auto" w:fill="F2F5FA"/>
            <w:tcMar>
              <w:top w:w="80" w:type="dxa"/>
              <w:left w:w="120" w:type="dxa"/>
              <w:bottom w:w="80" w:type="dxa"/>
              <w:right w:w="120" w:type="dxa"/>
            </w:tcMar>
            <w:vAlign w:val="center"/>
          </w:tcPr>
          <w:p w:rsidR="00825013" w:rsidRDefault="003D55AB">
            <w:r>
              <w:rPr>
                <w:color w:val="1F2937"/>
              </w:rPr>
              <w:t>Initial MEANL</w:t>
            </w:r>
          </w:p>
        </w:tc>
        <w:tc>
          <w:tcPr>
            <w:tcW w:w="3000" w:type="dxa"/>
            <w:shd w:val="clear" w:color="auto" w:fill="F2F5FA"/>
            <w:tcMar>
              <w:top w:w="80" w:type="dxa"/>
              <w:left w:w="120" w:type="dxa"/>
              <w:bottom w:w="80" w:type="dxa"/>
              <w:right w:w="120" w:type="dxa"/>
            </w:tcMar>
            <w:vAlign w:val="center"/>
          </w:tcPr>
          <w:p w:rsidR="00825013" w:rsidRDefault="003D55AB">
            <w:r>
              <w:rPr>
                <w:color w:val="1F2937"/>
              </w:rPr>
              <w:t>84.9</w:t>
            </w:r>
          </w:p>
        </w:tc>
        <w:tc>
          <w:tcPr>
            <w:tcW w:w="3000" w:type="dxa"/>
            <w:shd w:val="clear" w:color="auto" w:fill="F2F5FA"/>
            <w:tcMar>
              <w:top w:w="80" w:type="dxa"/>
              <w:left w:w="120" w:type="dxa"/>
              <w:bottom w:w="80" w:type="dxa"/>
              <w:right w:w="120" w:type="dxa"/>
            </w:tcMar>
            <w:vAlign w:val="center"/>
          </w:tcPr>
          <w:p w:rsidR="00825013" w:rsidRDefault="003D55AB">
            <w:r>
              <w:rPr>
                <w:color w:val="1F2937"/>
              </w:rPr>
              <w:t>83.5</w:t>
            </w:r>
          </w:p>
        </w:tc>
      </w:tr>
      <w:tr w:rsidR="00825013">
        <w:tc>
          <w:tcPr>
            <w:tcW w:w="3000" w:type="dxa"/>
            <w:tcMar>
              <w:top w:w="80" w:type="dxa"/>
              <w:left w:w="120" w:type="dxa"/>
              <w:bottom w:w="80" w:type="dxa"/>
              <w:right w:w="120" w:type="dxa"/>
            </w:tcMar>
            <w:vAlign w:val="center"/>
          </w:tcPr>
          <w:p w:rsidR="00825013" w:rsidRDefault="003D55AB">
            <w:r>
              <w:rPr>
                <w:color w:val="1F2937"/>
              </w:rPr>
              <w:t>Initial MEANU</w:t>
            </w:r>
          </w:p>
        </w:tc>
        <w:tc>
          <w:tcPr>
            <w:tcW w:w="3000" w:type="dxa"/>
            <w:tcMar>
              <w:top w:w="80" w:type="dxa"/>
              <w:left w:w="120" w:type="dxa"/>
              <w:bottom w:w="80" w:type="dxa"/>
              <w:right w:w="120" w:type="dxa"/>
            </w:tcMar>
            <w:vAlign w:val="center"/>
          </w:tcPr>
          <w:p w:rsidR="00825013" w:rsidRDefault="003D55AB">
            <w:r>
              <w:rPr>
                <w:color w:val="1F2937"/>
              </w:rPr>
              <w:t>115.1</w:t>
            </w:r>
          </w:p>
        </w:tc>
        <w:tc>
          <w:tcPr>
            <w:tcW w:w="3000" w:type="dxa"/>
            <w:tcMar>
              <w:top w:w="80" w:type="dxa"/>
              <w:left w:w="120" w:type="dxa"/>
              <w:bottom w:w="80" w:type="dxa"/>
              <w:right w:w="120" w:type="dxa"/>
            </w:tcMar>
            <w:vAlign w:val="center"/>
          </w:tcPr>
          <w:p w:rsidR="00825013" w:rsidRDefault="003D55AB">
            <w:r>
              <w:rPr>
                <w:color w:val="1F2937"/>
              </w:rPr>
              <w:t>116.6</w:t>
            </w:r>
          </w:p>
        </w:tc>
      </w:tr>
    </w:tbl>
    <w:p w:rsidR="00825013" w:rsidRDefault="00825013">
      <w:pPr>
        <w:spacing w:before="200"/>
      </w:pPr>
    </w:p>
    <w:p w:rsidR="00825013" w:rsidRDefault="003D55AB">
      <w:pPr>
        <w:pStyle w:val="Heading2"/>
        <w:spacing w:before="200" w:after="100"/>
      </w:pPr>
      <w:r>
        <w:t>4.3 Result: Exact Agreement</w:t>
      </w:r>
    </w:p>
    <w:p w:rsidR="00825013" w:rsidRDefault="003D55AB">
      <w:pPr>
        <w:spacing w:after="160"/>
      </w:pPr>
      <w:r>
        <w:t>With these refined parameters, the S-PLUS output matched the Python (PyCuDAL) result exactly, for the same case examined in Section 1 (Locations = 3, Units/Location = 300, Lower Bound = 99%, CI Level = 50%, SE = SM = 0.1).</w:t>
      </w:r>
    </w:p>
    <w:p w:rsidR="00825013" w:rsidRDefault="003D55AB">
      <w:pPr>
        <w:pStyle w:val="ListParagraph"/>
        <w:numPr>
          <w:ilvl w:val="0"/>
          <w:numId w:val="1"/>
        </w:numPr>
        <w:spacing w:after="100"/>
      </w:pPr>
      <w:r>
        <w:t>This is a direct, independent confirmation — using the very code originally written to validate SAS — that the Python implementation's result is correct.</w:t>
      </w:r>
    </w:p>
    <w:p w:rsidR="00825013" w:rsidRDefault="003D55AB">
      <w:pPr>
        <w:pStyle w:val="ListParagraph"/>
        <w:numPr>
          <w:ilvl w:val="0"/>
          <w:numId w:val="1"/>
        </w:numPr>
        <w:spacing w:after="100"/>
      </w:pPr>
      <w:r>
        <w:lastRenderedPageBreak/>
        <w:t>It confirms the discrepancy is not a translation error: it is caused by the coarse search resolution and warm-start mechanism shared by SAS and its original S-PLUS verification code.</w:t>
      </w:r>
    </w:p>
    <w:p w:rsidR="00825013" w:rsidRDefault="003D55AB">
      <w:pPr>
        <w:pStyle w:val="ListParagraph"/>
        <w:numPr>
          <w:ilvl w:val="0"/>
          <w:numId w:val="1"/>
        </w:numPr>
        <w:spacing w:after="100"/>
      </w:pPr>
      <w:r>
        <w:t>Making the legacy search behave like a from-scratch solve (finer step, wider starting bounds) reproduces PyCuDAL's answer exactly, at higher computational cost — exactly what should happen if both approaches are solving the same equation, one path-dependently and one directly.</w:t>
      </w:r>
    </w:p>
    <w:p w:rsidR="00825013" w:rsidRDefault="003D55AB">
      <w:pPr>
        <w:spacing w:after="160"/>
      </w:pPr>
      <w:r>
        <w:t>This closes the loop opened in Section 3: the earlier analysis predicted that an independent, from-scratch solve should match Python's result; refining the legacy search to actually behave that way now confirms it empirically.</w:t>
      </w:r>
    </w:p>
    <w:p w:rsidR="00825013" w:rsidRDefault="003D55AB">
      <w:pPr>
        <w:pStyle w:val="Heading1"/>
        <w:spacing w:before="280" w:after="140"/>
      </w:pPr>
      <w:r>
        <w:t>5. Conclusion</w:t>
      </w:r>
    </w:p>
    <w:p w:rsidR="00825013" w:rsidRDefault="003D55AB">
      <w:pPr>
        <w:pStyle w:val="ListParagraph"/>
        <w:numPr>
          <w:ilvl w:val="0"/>
          <w:numId w:val="1"/>
        </w:numPr>
        <w:spacing w:after="100"/>
      </w:pPr>
      <w:r>
        <w:t>This is not a bug in the Python translation's formulas or numerical integration — those match SAS exactly.</w:t>
      </w:r>
    </w:p>
    <w:p w:rsidR="00825013" w:rsidRDefault="003D55AB">
      <w:pPr>
        <w:pStyle w:val="ListParagraph"/>
        <w:numPr>
          <w:ilvl w:val="0"/>
          <w:numId w:val="1"/>
        </w:numPr>
        <w:spacing w:after="100"/>
      </w:pPr>
      <w:r>
        <w:t>This is not primarily a rounding issue — rounding alone cannot produce a gap this large.</w:t>
      </w:r>
    </w:p>
    <w:p w:rsidR="00825013" w:rsidRDefault="003D55AB">
      <w:pPr>
        <w:pStyle w:val="ListParagraph"/>
        <w:numPr>
          <w:ilvl w:val="0"/>
          <w:numId w:val="1"/>
        </w:numPr>
        <w:spacing w:after="100"/>
      </w:pPr>
      <w:r>
        <w:t xml:space="preserve">The gap is a path-dependent artifact of SAS's sequential search algorithm, exposed only when the underlying probability curve is extremely steep (i.e., at very small SE/SM). In </w:t>
      </w:r>
      <w:bookmarkStart w:id="0" w:name="_GoBack"/>
      <w:bookmarkEnd w:id="0"/>
      <w:r>
        <w:t>that regime, SAS's answer depends on which nearby grid cell it happened to start from, rather than on the true root of the formula.</w:t>
      </w:r>
    </w:p>
    <w:p w:rsidR="00825013" w:rsidRDefault="003D55AB" w:rsidP="002C2E74">
      <w:pPr>
        <w:pStyle w:val="ListParagraph"/>
        <w:numPr>
          <w:ilvl w:val="0"/>
          <w:numId w:val="1"/>
        </w:numPr>
        <w:spacing w:after="100"/>
      </w:pPr>
      <w:r>
        <w:t>The Python implementation's result (</w:t>
      </w:r>
      <w:r>
        <w:rPr>
          <w:color w:val="1F2937"/>
        </w:rPr>
        <w:t xml:space="preserve">84.1469 </w:t>
      </w:r>
      <w:r>
        <w:t>/ 115.8531) is the mathematically correct root of the shared formula. SAS's result (84.8 / 115.2) is a valid output of its particular search procedure, but not a more accurate answer to the underlying equation.</w:t>
      </w:r>
    </w:p>
    <w:p w:rsidR="00825013" w:rsidRDefault="003D55AB">
      <w:pPr>
        <w:pStyle w:val="ListParagraph"/>
        <w:numPr>
          <w:ilvl w:val="0"/>
          <w:numId w:val="1"/>
        </w:numPr>
        <w:spacing w:after="100"/>
      </w:pPr>
      <w:r>
        <w:t>Independent confirmation: refining the original S-PLUS verification code's search parameters (finer step size, wider starting bounds — Section 4) causes it to converge to the same result as PyCuDAL, directly confirming the root cause using the very code originally used to validate the SAS system.</w:t>
      </w:r>
    </w:p>
    <w:p w:rsidR="00887D52" w:rsidRDefault="00887D52" w:rsidP="00887D52">
      <w:pPr>
        <w:spacing w:after="100"/>
      </w:pPr>
    </w:p>
    <w:sectPr w:rsidR="00887D5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87C" w:rsidRDefault="00F3087C" w:rsidP="00887D52">
      <w:r>
        <w:separator/>
      </w:r>
    </w:p>
  </w:endnote>
  <w:endnote w:type="continuationSeparator" w:id="0">
    <w:p w:rsidR="00F3087C" w:rsidRDefault="00F3087C" w:rsidP="00887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7D52" w:rsidRDefault="00887D52" w:rsidP="00887D52">
    <w:pPr>
      <w:pStyle w:val="Footer"/>
      <w:jc w:val="right"/>
    </w:pPr>
    <w:r>
      <w:t xml:space="preserve">Page </w:t>
    </w:r>
    <w:r>
      <w:fldChar w:fldCharType="begin"/>
    </w:r>
    <w:r>
      <w:instrText xml:space="preserve"> PAGE   \* MERGEFORMAT </w:instrText>
    </w:r>
    <w:r>
      <w:fldChar w:fldCharType="separate"/>
    </w:r>
    <w:r w:rsidR="004B4CDD">
      <w:rPr>
        <w:noProof/>
      </w:rPr>
      <w:t>4</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4B4CDD">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87C" w:rsidRDefault="00F3087C" w:rsidP="00887D52">
      <w:r>
        <w:separator/>
      </w:r>
    </w:p>
  </w:footnote>
  <w:footnote w:type="continuationSeparator" w:id="0">
    <w:p w:rsidR="00F3087C" w:rsidRDefault="00F3087C" w:rsidP="00887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A5A" w:rsidRPr="004B4CDD" w:rsidRDefault="004B4CDD" w:rsidP="004B4CDD">
    <w:pPr>
      <w:pStyle w:val="Header"/>
      <w:jc w:val="right"/>
    </w:pPr>
    <w:r>
      <w:rPr>
        <w:noProof/>
      </w:rPr>
      <w:drawing>
        <wp:inline distT="0" distB="0" distL="0" distR="0" wp14:anchorId="4C631FB7" wp14:editId="11C499A8">
          <wp:extent cx="914400" cy="34290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2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870259"/>
    <w:multiLevelType w:val="hybridMultilevel"/>
    <w:tmpl w:val="964EBD28"/>
    <w:lvl w:ilvl="0" w:tplc="3B64C33C">
      <w:start w:val="1"/>
      <w:numFmt w:val="bullet"/>
      <w:lvlText w:val="●"/>
      <w:lvlJc w:val="left"/>
      <w:pPr>
        <w:ind w:left="720" w:hanging="360"/>
      </w:pPr>
    </w:lvl>
    <w:lvl w:ilvl="1" w:tplc="8BF84EA0">
      <w:start w:val="1"/>
      <w:numFmt w:val="bullet"/>
      <w:lvlText w:val="○"/>
      <w:lvlJc w:val="left"/>
      <w:pPr>
        <w:ind w:left="1440" w:hanging="360"/>
      </w:pPr>
    </w:lvl>
    <w:lvl w:ilvl="2" w:tplc="E152B522">
      <w:start w:val="1"/>
      <w:numFmt w:val="bullet"/>
      <w:lvlText w:val="■"/>
      <w:lvlJc w:val="left"/>
      <w:pPr>
        <w:ind w:left="2160" w:hanging="360"/>
      </w:pPr>
    </w:lvl>
    <w:lvl w:ilvl="3" w:tplc="4D0419D8">
      <w:start w:val="1"/>
      <w:numFmt w:val="bullet"/>
      <w:lvlText w:val="●"/>
      <w:lvlJc w:val="left"/>
      <w:pPr>
        <w:ind w:left="2880" w:hanging="360"/>
      </w:pPr>
    </w:lvl>
    <w:lvl w:ilvl="4" w:tplc="CB68D73E">
      <w:start w:val="1"/>
      <w:numFmt w:val="bullet"/>
      <w:lvlText w:val="○"/>
      <w:lvlJc w:val="left"/>
      <w:pPr>
        <w:ind w:left="3600" w:hanging="360"/>
      </w:pPr>
    </w:lvl>
    <w:lvl w:ilvl="5" w:tplc="DD8CD062">
      <w:start w:val="1"/>
      <w:numFmt w:val="bullet"/>
      <w:lvlText w:val="■"/>
      <w:lvlJc w:val="left"/>
      <w:pPr>
        <w:ind w:left="4320" w:hanging="360"/>
      </w:pPr>
    </w:lvl>
    <w:lvl w:ilvl="6" w:tplc="F9B065DC">
      <w:start w:val="1"/>
      <w:numFmt w:val="bullet"/>
      <w:lvlText w:val="●"/>
      <w:lvlJc w:val="left"/>
      <w:pPr>
        <w:ind w:left="5040" w:hanging="360"/>
      </w:pPr>
    </w:lvl>
    <w:lvl w:ilvl="7" w:tplc="0D6E9156">
      <w:start w:val="1"/>
      <w:numFmt w:val="bullet"/>
      <w:lvlText w:val="●"/>
      <w:lvlJc w:val="left"/>
      <w:pPr>
        <w:ind w:left="5760" w:hanging="360"/>
      </w:pPr>
    </w:lvl>
    <w:lvl w:ilvl="8" w:tplc="06C2A7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013"/>
    <w:rsid w:val="000C6E10"/>
    <w:rsid w:val="002C2E74"/>
    <w:rsid w:val="003D55AB"/>
    <w:rsid w:val="004B4CDD"/>
    <w:rsid w:val="00611A5A"/>
    <w:rsid w:val="0065782F"/>
    <w:rsid w:val="00825013"/>
    <w:rsid w:val="00887D52"/>
    <w:rsid w:val="008D0D15"/>
    <w:rsid w:val="00964556"/>
    <w:rsid w:val="00AA5948"/>
    <w:rsid w:val="00BD25BA"/>
    <w:rsid w:val="00C711A9"/>
    <w:rsid w:val="00F308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BB99B"/>
  <w15:docId w15:val="{007B0FBF-E223-4602-86A8-AC21CC28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7D52"/>
    <w:pPr>
      <w:tabs>
        <w:tab w:val="center" w:pos="4680"/>
        <w:tab w:val="right" w:pos="9360"/>
      </w:tabs>
    </w:pPr>
  </w:style>
  <w:style w:type="character" w:customStyle="1" w:styleId="HeaderChar">
    <w:name w:val="Header Char"/>
    <w:basedOn w:val="DefaultParagraphFont"/>
    <w:link w:val="Header"/>
    <w:uiPriority w:val="99"/>
    <w:rsid w:val="00887D52"/>
  </w:style>
  <w:style w:type="paragraph" w:styleId="Footer">
    <w:name w:val="footer"/>
    <w:basedOn w:val="Normal"/>
    <w:link w:val="FooterChar"/>
    <w:uiPriority w:val="99"/>
    <w:unhideWhenUsed/>
    <w:rsid w:val="00887D52"/>
    <w:pPr>
      <w:tabs>
        <w:tab w:val="center" w:pos="4680"/>
        <w:tab w:val="right" w:pos="9360"/>
      </w:tabs>
    </w:pPr>
  </w:style>
  <w:style w:type="character" w:customStyle="1" w:styleId="FooterChar">
    <w:name w:val="Footer Char"/>
    <w:basedOn w:val="DefaultParagraphFont"/>
    <w:link w:val="Footer"/>
    <w:uiPriority w:val="99"/>
    <w:rsid w:val="00887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445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1335</Words>
  <Characters>7611</Characters>
  <Application>Microsoft Office Word</Application>
  <DocSecurity>0</DocSecurity>
  <Lines>63</Lines>
  <Paragraphs>17</Paragraphs>
  <ScaleCrop>false</ScaleCrop>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Moaz Elesawy</cp:lastModifiedBy>
  <cp:revision>10</cp:revision>
  <dcterms:created xsi:type="dcterms:W3CDTF">2026-08-29T06:28:00Z</dcterms:created>
  <dcterms:modified xsi:type="dcterms:W3CDTF">2026-09-01T05:45:00Z</dcterms:modified>
</cp:coreProperties>
</file>