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8"/>
        <w:jc w:val="center"/>
      </w:pPr>
      <w:r>
        <w:rPr>
          <w:rFonts w:ascii="Aptos Display" w:hAnsi="Aptos Display"/>
          <w:b/>
          <w:sz w:val="50"/>
        </w:rPr>
        <w:t>BUILDING A SCIENTIFICALLY CREDIBLE</w:t>
        <w:br/>
        <w:t>ONLINE IQ-STYLE TEST</w:t>
      </w:r>
    </w:p>
    <w:p>
      <w:pPr>
        <w:jc w:val="center"/>
      </w:pPr>
      <w:r>
        <w:rPr>
          <w:rFonts w:ascii="Aptos Display" w:hAnsi="Aptos Display"/>
          <w:sz w:val="28"/>
        </w:rPr>
        <w:t>Deep research evidence map + psychometric design blueprint</w:t>
      </w:r>
    </w:p>
    <w:p>
      <w:pPr>
        <w:jc w:val="center"/>
      </w:pPr>
      <w:r>
        <w:rPr>
          <w:i/>
        </w:rPr>
        <w:t>Research date: 8 September 2026  |  100 sources  |  Evidence-first, implementation-oriented</w:t>
      </w:r>
    </w:p>
    <w:p>
      <w:pPr>
        <w:jc w:val="center"/>
      </w:pPr>
      <w:r>
        <w:rPr>
          <w:sz w:val="18"/>
        </w:rPr>
        <w:br/>
        <w:t>Primary source emphasis: psychometric standards • peer-reviewed research • ICAR • Raven • WAIS/Pearson • Mensa • IRT • online-testing studies • copyright/licensing</w:t>
      </w:r>
    </w:p>
    <w:p>
      <w:r>
        <w:br w:type="page"/>
      </w:r>
    </w:p>
    <w:p>
      <w:pPr>
        <w:pStyle w:val="Heading1"/>
      </w:pPr>
      <w:r>
        <w:t>Executive answer</w:t>
      </w:r>
    </w:p>
    <w:p>
      <w:pPr>
        <w:spacing w:after="80"/>
      </w:pPr>
      <w:r>
        <w:t>The most defensible product is an online cognitive-ability/reasoning assessment whose primary score is explicitly an estimate of latent reasoning ability. Calling the result a clinical or professionally equivalent “IQ” score requires substantially more evidence: representative norms, documented validity evidence, measurement-invariance/DIF work, conditional reliability/SEM, retest studies, and concurrent/criterion validation against accepted instruments [S01,S05,S06].</w:t>
      </w:r>
    </w:p>
    <w:p>
      <w:pPr>
        <w:spacing w:after="80"/>
      </w:pPr>
      <w:r>
        <w:t>A strong first production version should use a versioned item bank and a balanced reasoning blueprint centered on matrix/figural reasoning, numerical/inductive reasoning, spatial reasoning and carefully designed verbal reasoning, with working-memory or processing-speed components only if those constructs are deliberately intended to affect the score [S19,S24,S38,S76,S77].</w:t>
      </w:r>
    </w:p>
    <w:p>
      <w:pPr>
        <w:spacing w:after="80"/>
      </w:pPr>
      <w:r>
        <w:t>For scoring, use IRT by domain where practical (starting with 2PL; consider multidimensional/bifactor structures for the total score), estimate item difficulty/discrimination from a broad pilot sample, compute test information/conditional SEM, and convert the final latent score to a 100/15 scale only after proper norming [S08,S09,S13,S15,S16].</w:t>
      </w:r>
    </w:p>
    <w:p>
      <w:pPr>
        <w:spacing w:after="80"/>
      </w:pPr>
      <w:r>
        <w:t>The strongest reusable foundation located is ICAR: the original paper describes a public-domain measure with high general-factor saturation and large online validation, while the project site provides the resource openly [S24,S25]. WAIS, Raven’s 2 and Mensa admission materials should be treated as benchmark/reference material rather than commercial item banks [S38,S40-S45].</w:t>
      </w:r>
    </w:p>
    <w:p>
      <w:pPr>
        <w:spacing w:after="80"/>
      </w:pPr>
      <w:r>
        <w:t>Online administration is not automatically equivalent to supervised administration. Peer-reviewed evidence includes score inflation under unproctored internet conditions and mode-equivalence work showing that procedures and speededness matter [S85,S88].</w:t>
      </w:r>
    </w:p>
    <w:p>
      <w:pPr>
        <w:spacing w:after="80"/>
      </w:pPr>
      <w:r>
        <w:t>Overall recommendation: build a psychometric product—not another 20-question quiz. The defensible moat is the item-generation system, calibrated bank, norm sample, scoring model, independent validation data and security/governance layer.</w:t>
      </w:r>
    </w:p>
    <w:p>
      <w:pPr>
        <w:pStyle w:val="Heading1"/>
      </w:pPr>
      <w:r>
        <w:t>1. Recommended test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7"/>
              </w:rPr>
              <w:t>Domain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7"/>
              </w:rPr>
              <w:t>V1 items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7"/>
              </w:rPr>
              <w:t>Why it belongs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7"/>
              </w:rPr>
              <w:t>Main risk to control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Matrix / abstract-figural induction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Fluid/inductive reasoning; extensive Raven/ICAR precedent [S24,S28-S37,S60,S76]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Rule ambiguity; incidental visual cues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Numerical / quantitative series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Inductive reasoning family with explicit high-ability precedent [S76,S80]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Schooling/education effects; multiple valid rules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Spatial / mental rotation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Established spatial-ability family [S77]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Reflection vs rotation; device/display effects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Verbal abstract reasoning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Useful broad ability signal; related to g but language-loaded [S20,S68,S78,S79]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Language, vocabulary, translation, education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Working memory / sequence manipulation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Established broad cognitive domain [S22,S23,S38]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Construct drift if mixed with speed/strategy</w:t>
            </w:r>
          </w:p>
        </w:tc>
      </w:tr>
    </w:tbl>
    <w:p>
      <w:pPr>
        <w:spacing w:after="80"/>
      </w:pPr>
      <w:r>
        <w:t>Recommended production form: 50 scored items. For an adaptive version, a starting engineering range is roughly 150–300+ calibrated operational candidates, with about 30–40 scored items per examinee while preserving content/domain balance. These are design recommendations, not universal psychometric laws.</w:t>
      </w:r>
    </w:p>
    <w:p>
      <w:pPr>
        <w:spacing w:after="80"/>
      </w:pPr>
      <w:r>
        <w:t>Keep processing speed separate unless you intentionally want it to contribute to the main score. Speeded tasks add device, latency, motor and administration sensitivities that must be validated [S38,S59,S85].</w:t>
      </w:r>
    </w:p>
    <w:p>
      <w:pPr>
        <w:pStyle w:val="Heading2"/>
      </w:pPr>
      <w:r>
        <w:t>Timing: what the literature actually supports</w:t>
      </w:r>
    </w:p>
    <w:p>
      <w:pPr>
        <w:spacing w:after="80"/>
      </w:pPr>
      <w:r>
        <w:t>There is no scientifically privileged universal item count or duration. External benchmarks show the plausible range: WAIS-5 reports ~45 minutes for a 7-subtest FSIQ and ~60 minutes for 10 primary index subtests, while the Mensa International public challenge uses 35 puzzles in 25 minutes and explicitly labels itself practice/entertainment [S38,S41]. These benchmarks inform feasibility, not an optimal online design.</w:t>
      </w:r>
    </w:p>
    <w:p>
      <w:pPr>
        <w:spacing w:after="80"/>
      </w:pPr>
      <w:r>
        <w:t>For the core ability score, prefer enough time that speed is not the dominant determinant. If a timed module is intentionally a processing-speed construct, analyze speededness and device effects separately [S03,S85].</w:t>
      </w:r>
    </w:p>
    <w:p>
      <w:pPr>
        <w:pStyle w:val="Heading1"/>
      </w:pPr>
      <w:r>
        <w:t>2. Validated item families + original sample formats</w:t>
      </w:r>
    </w:p>
    <w:p>
      <w:pPr>
        <w:spacing w:after="80"/>
      </w:pPr>
      <w:r>
        <w:t>The strongest approach is to define the cognitive process before the item. The examples below are original schematic items, not copied from Raven, WAIS, ICAR, Mensa or any proprietary source; they are not psychometrically validated operational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7"/>
              </w:rPr>
              <w:t>Format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7"/>
              </w:rPr>
              <w:t>Sample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7"/>
              </w:rPr>
              <w:t>Design implication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Number series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2, 5, 10, 17, 26, ?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37 — Differences +3,+5,+7,+9,+11. Useful prototype for inductive-series item models.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Letter series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A, C, F, J, O, ?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 — Increasing gaps +2,+3,+4,+5,+6. Language/script-specific; do not treat as globally culture-neutral.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Verbal analogy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Bird : Flock :: Fish : ?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School — Category/collective relation; vocabulary is a nuisance variable.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Rule transformation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 shape rotates 90° clockwise and adds one dot at each step. Which candidate satisfies both rules?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One predefined option — Tests compositional rule induction; keep visual salience controlled.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Mental rotation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Which 3-D object is identical after rotation, not reflection?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One predefined option — Established spatial family; analyze reflection confounds.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Working-memory reversal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Show 7–2–9–4–1 briefly; enter reverse sequence.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1–4–9–2–7 — Manipulation task; keep presentation duration/device behavior controlled.</w:t>
            </w:r>
          </w:p>
        </w:tc>
      </w:tr>
    </w:tbl>
    <w:p>
      <w:pPr>
        <w:spacing w:after="80"/>
      </w:pPr>
      <w:r>
        <w:t>The MITRE–ETS inductive reasoning battery is an unusually useful design precedent: it explicitly uses figure series, number series, letter series, matrix reasoning and a composite, with parallel-form and reliability/norming specifications [S76].</w:t>
      </w:r>
    </w:p>
    <w:p>
      <w:pPr>
        <w:spacing w:after="80"/>
      </w:pPr>
      <w:r>
        <w:t>Automatic-item-generation research supports building item families with intentional cognitive parameters rather than many unrelated hand-crafted questions. Number-series work and modern item-generation papers show how controlled features can be used to target difficulty and evaluate whether incidental surface changes alter performance [S80-S84].</w:t>
      </w:r>
    </w:p>
    <w:p>
      <w:pPr>
        <w:pStyle w:val="Heading2"/>
      </w:pPr>
      <w:r>
        <w:t>Item-writing rules</w:t>
      </w:r>
    </w:p>
    <w:p>
      <w:pPr>
        <w:pStyle w:val="ListBullet"/>
        <w:spacing w:after="40"/>
      </w:pPr>
      <w:r>
        <w:t>Specify the intended rule/process and difficulty mechanism before writing distractors.</w:t>
      </w:r>
    </w:p>
    <w:p>
      <w:pPr>
        <w:pStyle w:val="ListBullet"/>
        <w:spacing w:after="40"/>
      </w:pPr>
      <w:r>
        <w:t>Ensure exactly one option satisfies the intended rule set.</w:t>
      </w:r>
    </w:p>
    <w:p>
      <w:pPr>
        <w:pStyle w:val="ListBullet"/>
        <w:spacing w:after="40"/>
      </w:pPr>
      <w:r>
        <w:t>Control incidental visual and linguistic features: position, line weight, word length, color, salience and syntactic complexity.</w:t>
      </w:r>
    </w:p>
    <w:p>
      <w:pPr>
        <w:pStyle w:val="ListBullet"/>
        <w:spacing w:after="40"/>
      </w:pPr>
      <w:r>
        <w:t>Construct distractors from plausible rule violations, not arbitrary wrong answers.</w:t>
      </w:r>
    </w:p>
    <w:p>
      <w:pPr>
        <w:pStyle w:val="ListBullet"/>
        <w:spacing w:after="40"/>
      </w:pPr>
      <w:r>
        <w:t>Pilot every item family for difficulty, discrimination, response time, local dependence and DIF.</w:t>
      </w:r>
    </w:p>
    <w:p>
      <w:pPr>
        <w:pStyle w:val="ListBullet"/>
        <w:spacing w:after="40"/>
      </w:pPr>
      <w:r>
        <w:t>Keep a provenance record proving which items are original, licensed, public-domain or otherwise cleared.</w:t>
      </w:r>
    </w:p>
    <w:p>
      <w:pPr>
        <w:pStyle w:val="Heading1"/>
      </w:pPr>
      <w:r>
        <w:t>3. Question banks, datasets and benchmark assets</w:t>
      </w:r>
    </w:p>
    <w:p>
      <w:pPr>
        <w:spacing w:after="80"/>
      </w:pPr>
      <w:r>
        <w:t>ICAR is the best open starting point found. Its original paper describes a public-domain measure, reports high general-factor saturation and consistent factor loadings across item types, and used a very large online sample [S24]. The project site supplies item types and psychometric information [S25].</w:t>
      </w:r>
    </w:p>
    <w:p>
      <w:pPr>
        <w:spacing w:after="80"/>
      </w:pPr>
      <w:r>
        <w:t>Use ICAR primarily to benchmark architecture, construct coverage, open-science practices and psychometric workflow. Verify the current resource/license terms before commercial deployment; “open” should never be treated as a substitute for rights review [S25,S102-S104].</w:t>
      </w:r>
    </w:p>
    <w:p>
      <w:pPr>
        <w:spacing w:after="80"/>
      </w:pPr>
      <w:r>
        <w:t>Raven, WAIS and Mensa are best treated as construct/administration benchmarks. Pearson's Raven's 2 page explicitly states copyright protection; Pearson's WAIS products are proprietary clinical instruments; Mensa distinguishes its public online challenge from supervised admissions testing [S38,S40-S45].</w:t>
      </w:r>
    </w:p>
    <w:p>
      <w:pPr>
        <w:spacing w:after="80"/>
      </w:pPr>
      <w:r>
        <w:t>The MITRE–ETS battery, Vandenberg–Kuse mental rotations, Shipley-related abstraction research and the 2025 Rules test are useful task-family and validation references, but the existence of a published test does not itself grant permission to reproduce its item content [S60,S76-S79].</w:t>
      </w:r>
    </w:p>
    <w:p>
      <w:pPr>
        <w:spacing w:after="80"/>
      </w:pPr>
      <w:r>
        <w:t>Cambridge Brain Sciences is a useful example of a multi-task cognitive platform and domain scoring, but it explicitly says its C-Score is not IQ. Its product architecture should not be confused with independent validation of an IQ score [S54-S57].</w:t>
      </w:r>
    </w:p>
    <w:p>
      <w:pPr>
        <w:pStyle w:val="Heading1"/>
      </w:pPr>
      <w:r>
        <w:t>4. Psychometric engine</w:t>
      </w:r>
    </w:p>
    <w:p>
      <w:pPr>
        <w:pStyle w:val="Heading2"/>
      </w:pPr>
      <w:r>
        <w:t>4.1 IRT model</w:t>
      </w:r>
    </w:p>
    <w:p>
      <w:pPr>
        <w:spacing w:after="80"/>
      </w:pPr>
      <w:r>
        <w:t>A practical starting model is the 2PL within each reasonably unidimensional domain:</w:t>
      </w:r>
    </w:p>
    <w:p>
      <w:pPr>
        <w:jc w:val="center"/>
      </w:pPr>
      <w:r>
        <w:rPr>
          <w:b/>
          <w:sz w:val="24"/>
        </w:rPr>
        <w:t>P(Xᵢ = 1 | θ) = logistic[aᵢ(θ − bᵢ)]</w:t>
      </w:r>
    </w:p>
    <w:p>
      <w:pPr>
        <w:spacing w:after="80"/>
      </w:pPr>
      <w:r>
        <w:t>Here bᵢ is item location/difficulty and aᵢ is discrimination. Consider a guessing parameter only when item format/theory justifies it; do not add 3PL complexity merely because the response format is multiple choice [S08,S16].</w:t>
      </w:r>
    </w:p>
    <w:p>
      <w:pPr>
        <w:spacing w:after="80"/>
      </w:pPr>
      <w:r>
        <w:t>For the overall score, do not average heterogeneous raw percentages by fiat. Test the internal structure with CFA/IRT, including higher-order, bifactor or multidimensional models when theory and data support them. Carroll/CHC-style theory supports g plus broad abilities, but your item bank must establish its own structure empirically [S19-S23].</w:t>
      </w:r>
    </w:p>
    <w:p>
      <w:pPr>
        <w:pStyle w:val="Heading2"/>
      </w:pPr>
      <w:r>
        <w:t>4.2 Item analysis</w:t>
      </w:r>
    </w:p>
    <w:p>
      <w:pPr>
        <w:spacing w:after="80"/>
      </w:pPr>
      <w:r>
        <w:t>Classical difficulty p and item-total/point-biserial statistics are useful first-pass diagnostics, but their values depend on the sample. IRT becomes especially useful for item-bank calibration, score precision, equating and adaptive delivery [S08,S16-S18].</w:t>
      </w:r>
    </w:p>
    <w:p>
      <w:pPr>
        <w:spacing w:after="80"/>
      </w:pPr>
      <w:r>
        <w:t>Do not apply a simplistic “keep p between X and Y” rule. A very difficult item can be valuable when your target population includes high-ability users; a very easy item can be useful for floor protection. The correct criterion is whether the item adds valid information in the target ability range.</w:t>
      </w:r>
    </w:p>
    <w:p>
      <w:pPr>
        <w:spacing w:after="80"/>
      </w:pPr>
      <w:r>
        <w:t>Inspect item characteristic curves, distractor behavior, residual/local dependence, response-time distributions and DIF. Sweeney &amp; Sinharay show that difficulty/discrimination relationships differ across IRT specifications, which is another reason to evaluate the full model rather than one heuristic [S16].</w:t>
      </w:r>
    </w:p>
    <w:p>
      <w:pPr>
        <w:pStyle w:val="Heading2"/>
      </w:pPr>
      <w:r>
        <w:t>4.3 Reliability and measurement error</w:t>
      </w:r>
    </w:p>
    <w:p>
      <w:pPr>
        <w:spacing w:after="80"/>
      </w:pPr>
      <w:r>
        <w:t>Report model-based/marginal reliability plus conditional SEM/test information across θ. Omega can be more appropriate than coefficient alpha when assumptions support it [S13-S15]. Short multidimensional tests can also make naive Spearman–Brown extrapolations overoptimistic [S13].</w:t>
      </w:r>
    </w:p>
    <w:p>
      <w:pPr>
        <w:spacing w:after="80"/>
      </w:pPr>
      <w:r>
        <w:t>A score should be displayed with uncertainty. Do not imply that a one-point difference in IQ-style scores is a real difference in ability when both estimates fall inside overlapping confidence intervals.</w:t>
      </w:r>
    </w:p>
    <w:p>
      <w:pPr>
        <w:pStyle w:val="Heading2"/>
      </w:pPr>
      <w:r>
        <w:t>Recommended psychometric dashboard</w:t>
      </w:r>
    </w:p>
    <w:p>
      <w:pPr>
        <w:pStyle w:val="ListBullet"/>
        <w:spacing w:after="40"/>
      </w:pPr>
      <w:r>
        <w:t>Item: difficulty b, discrimination a, response-time distribution, exposure rate, DIF flags, local-dependence diagnostics.</w:t>
      </w:r>
    </w:p>
    <w:p>
      <w:pPr>
        <w:pStyle w:val="ListBullet"/>
        <w:spacing w:after="40"/>
      </w:pPr>
      <w:r>
        <w:t>Domain: dimensionality, IRT fit, test information, marginal/conditional reliability and SEM.</w:t>
      </w:r>
    </w:p>
    <w:p>
      <w:pPr>
        <w:pStyle w:val="ListBullet"/>
        <w:spacing w:after="40"/>
      </w:pPr>
      <w:r>
        <w:t>Overall: higher-order/bifactor fit, latent correlations, domain weighting and stability across validation samples.</w:t>
      </w:r>
    </w:p>
    <w:p>
      <w:pPr>
        <w:pStyle w:val="ListBullet"/>
        <w:spacing w:after="40"/>
      </w:pPr>
      <w:r>
        <w:t>Form: score distribution, floor/ceiling, missingness, retest gain and online-vs-proctored equivalence.</w:t>
      </w:r>
    </w:p>
    <w:p>
      <w:pPr>
        <w:pStyle w:val="ListBullet"/>
        <w:spacing w:after="40"/>
      </w:pPr>
      <w:r>
        <w:t>Versioning: item-bank version + calibration version + norm version + scoring-code version stored with every score.</w:t>
      </w:r>
    </w:p>
    <w:p>
      <w:pPr>
        <w:pStyle w:val="Heading1"/>
      </w:pPr>
      <w:r>
        <w:t>5. Norms, IQ-style scores and percentiles</w:t>
      </w:r>
    </w:p>
    <w:p>
      <w:pPr>
        <w:spacing w:after="80"/>
      </w:pPr>
      <w:r>
        <w:t>Recommended pipeline:</w:t>
      </w:r>
    </w:p>
    <w:p>
      <w:pPr>
        <w:jc w:val="center"/>
      </w:pPr>
      <w:r>
        <w:rPr>
          <w:b/>
          <w:sz w:val="21"/>
        </w:rPr>
        <w:t>responses → calibrated θ → norm transformation → standard score (e.g., 100/15) → percentile + confidence interval</w:t>
      </w:r>
    </w:p>
    <w:p>
      <w:pPr>
        <w:spacing w:after="80"/>
      </w:pPr>
      <w:r>
        <w:t>Do not define the mean/SD from ordinary site visitors and label it population IQ. The ARealMe transparency page is a useful caution: its sample is self-selected/nonrepresentative and its descriptive data do not establish IRT validity [S51,S52].</w:t>
      </w:r>
    </w:p>
    <w:p>
      <w:pPr>
        <w:spacing w:after="80"/>
      </w:pPr>
      <w:r>
        <w:t>Norm samples should explicitly represent the target market by age, education and language/country, with sex/gender and device/mode captured for fairness analysis. Existing Raven and ICAR evidence shows why invariance and DIF should be tested rather than assumed [S27,S29-S37,S74].</w:t>
      </w:r>
    </w:p>
    <w:p>
      <w:pPr>
        <w:spacing w:after="80"/>
      </w:pPr>
      <w:r>
        <w:t>For India-focused deployment, legacy international norms should be treated as a hypothesis requiring local validation. A 2026 Indian Raven-norm study is a strong current illustration: applying older norms to children in government schools produced a striking mismatch, showing the practical cost of unrepresentative normative bases [S75].</w:t>
      </w:r>
    </w:p>
    <w:p>
      <w:pPr>
        <w:spacing w:after="80"/>
      </w:pPr>
      <w:r>
        <w:t>Percentiles should be derived from an empirical CDF or validated norm model. Near the tails, report the standard score and uncertainty as well; percentiles are nonlinear and unstable when the norm sample is thin.</w:t>
      </w:r>
    </w:p>
    <w:p>
      <w:pPr>
        <w:spacing w:after="80"/>
      </w:pPr>
      <w:r>
        <w:t>Plan versioned norms. Raven/Wechsler literature and meta-analyses document secular score changes, so norms are not immutable assets [S30,S64-S67].</w:t>
      </w:r>
    </w:p>
    <w:p>
      <w:pPr>
        <w:pStyle w:val="Heading1"/>
      </w:pPr>
      <w:r>
        <w:t>6. Age, culture, language and education</w:t>
      </w:r>
    </w:p>
    <w:p>
      <w:pPr>
        <w:spacing w:after="80"/>
      </w:pPr>
      <w:r>
        <w:t>“Culture-fair” is a hypothesis to test, not a label to market. Raven-style visual matrices reduce language requirements, but published work still documents cross-cultural/socioeconomic variation and measurement-invariance questions [S29-S37,S74].</w:t>
      </w:r>
    </w:p>
    <w:p>
      <w:pPr>
        <w:spacing w:after="80"/>
      </w:pPr>
      <w:r>
        <w:t>Fluid and crystallized abilities show different age patterns, and broad cognitive abilities differentiate over the lifespan [S20-S23]. Therefore use age-aware norms and avoid comparing raw scores across age groups.</w:t>
      </w:r>
    </w:p>
    <w:p>
      <w:pPr>
        <w:spacing w:after="80"/>
      </w:pPr>
      <w:r>
        <w:t>Language-heavy reasoning should not dominate a globally marketed score. WAIS-5 separates verbal comprehension, visual-spatial and fluid reasoning domains and provides nonverbal options for language-sensitive situations, while its documentation still emphasizes considering language/culture [S38].</w:t>
      </w:r>
    </w:p>
    <w:p>
      <w:pPr>
        <w:spacing w:after="80"/>
      </w:pPr>
      <w:r>
        <w:t>For multilingual launch: independent translation → back-translation → cognitive interviewing → pilot → DIF/invariance review. Never assume an English item's translated difficulty/discrimination transfers unchanged.</w:t>
      </w:r>
    </w:p>
    <w:p>
      <w:pPr>
        <w:pStyle w:val="Heading1"/>
      </w:pPr>
      <w:r>
        <w:t>7. Online vs clinical accuracy</w:t>
      </w:r>
    </w:p>
    <w:p>
      <w:pPr>
        <w:spacing w:after="80"/>
      </w:pPr>
      <w:r>
        <w:t>The decisive distinction is administration. WAIS is an individually administered clinical instrument with standardized procedures; consumer online tests vary widely in control, sampling and purpose [S38,S41-S53].</w:t>
      </w:r>
    </w:p>
    <w:p>
      <w:pPr>
        <w:spacing w:after="80"/>
      </w:pPr>
      <w:r>
        <w:t>A natural-experiment study found score inflation on a high-stakes unproctored internet cognitive test compared with controlled administration [S88]. Separate digital-equivalence research indicates that computerized/paper scores can be equivalent under matched procedures, with speededness as an important moderator [S85].</w:t>
      </w:r>
    </w:p>
    <w:p>
      <w:pPr>
        <w:spacing w:after="80"/>
      </w:pPr>
      <w:r>
        <w:t>Thus an unsupervised online score should make restrained claims. A high-stakes product needs identity and environment controls, exposure management and direct validation against the intended benchmark.</w:t>
      </w:r>
    </w:p>
    <w:p>
      <w:pPr>
        <w:spacing w:after="80"/>
      </w:pPr>
      <w:r>
        <w:t>Study design for equivalence: randomize participants to web vs supervised conditions, counterbalance alternate forms, and compare mean differences, ICC/concordance, SEM, distribution shape, response-time profiles and agreement plots. A high correlation alone is insufficient because systematic bias can coexist with strong rank-order correlation [S59,S85,S88].</w:t>
      </w:r>
    </w:p>
    <w:p>
      <w:pPr>
        <w:pStyle w:val="Heading1"/>
      </w:pPr>
      <w:r>
        <w:t>8. Practice effects</w:t>
      </w:r>
    </w:p>
    <w:p>
      <w:pPr>
        <w:spacing w:after="80"/>
      </w:pPr>
      <w:r>
        <w:t>Repeated testing raises scores. A 2007 meta-analysis covered 50 studies, 107 samples and 134,436 participants and found an overall practice effect, larger with coaching and identical forms [S61]. A second meta-analysis shows alternate forms, age, diagnosis and retest interval matter [S62].</w:t>
      </w:r>
    </w:p>
    <w:p>
      <w:pPr>
        <w:pStyle w:val="ListBullet"/>
        <w:spacing w:after="40"/>
      </w:pPr>
      <w:r>
        <w:t>Maintain alternate forms and item-family variation.</w:t>
      </w:r>
    </w:p>
    <w:p>
      <w:pPr>
        <w:pStyle w:val="ListBullet"/>
        <w:spacing w:after="40"/>
      </w:pPr>
      <w:r>
        <w:t>Separate first-attempt score from recent/best score.</w:t>
      </w:r>
    </w:p>
    <w:p>
      <w:pPr>
        <w:pStyle w:val="ListBullet"/>
        <w:spacing w:after="40"/>
      </w:pPr>
      <w:r>
        <w:t>Do not reveal scored answers or explanations before operational retakes.</w:t>
      </w:r>
    </w:p>
    <w:p>
      <w:pPr>
        <w:pStyle w:val="ListBullet"/>
        <w:spacing w:after="40"/>
      </w:pPr>
      <w:r>
        <w:t>Use a meaningful retest policy and measure your own retest effect.</w:t>
      </w:r>
    </w:p>
    <w:p>
      <w:pPr>
        <w:pStyle w:val="ListBullet"/>
        <w:spacing w:after="40"/>
      </w:pPr>
      <w:r>
        <w:t>Do not allow a small exposed bank to become the effective test through repeated practice.</w:t>
      </w:r>
    </w:p>
    <w:p>
      <w:pPr>
        <w:pStyle w:val="Heading1"/>
      </w:pPr>
      <w:r>
        <w:t>9. Anti-cheating, item exposure and randomization</w:t>
      </w:r>
    </w:p>
    <w:p>
      <w:pPr>
        <w:spacing w:after="80"/>
      </w:pPr>
      <w:r>
        <w:t>Randomization should increase security without changing the measured construct. Randomize item order and, where tested as equivalent, answer-option order. Parameterized item families should vary surface features only after empirical evidence shows the generated variants behave as intended.</w:t>
      </w:r>
    </w:p>
    <w:p>
      <w:pPr>
        <w:spacing w:after="80"/>
      </w:pPr>
      <w:r>
        <w:t>For adaptive tests, random selection alone is not adequate. High-discrimination items are prone to overexposure; CAT literature offers Randomesque, Sympson–Hetter, Fade-Away, conditional and minimum/maximum exposure-control approaches [S89-S94]. Security and measurement efficiency trade off against each other, so monitor both [S91].</w:t>
      </w:r>
    </w:p>
    <w:p>
      <w:pPr>
        <w:spacing w:after="80"/>
      </w:pPr>
      <w:r>
        <w:t>Response-time and browser signals can support anomaly review, but a single fast response is not proof of cheating. For high-stakes use, combine identity verification, controlled browser/environment, exposure controls, alternate forms and defined human-review rules.</w:t>
      </w:r>
    </w:p>
    <w:p>
      <w:pPr>
        <w:pStyle w:val="Heading1"/>
      </w:pPr>
      <w:r>
        <w:t>10. Validation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7"/>
              </w:rPr>
              <w:t>What to prove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7"/>
              </w:rPr>
              <w:t>Design implication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Content validity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Construct map, task analysis, expert review, uniqueness of solution, nuisance-variable audit [S01,S05,S06].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Response process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Cognitive interviews, usability, accessibility, device and instruction studies [S01,S03,S06].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Internal structure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CFA/IRT, domain structure, higher-order/bifactor model where justified [S19,S24,S38].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Marginal + conditional reliability, SEM, test-retest and alternate-form stability [S13-S15,S61].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Convergent validity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Established fluid/nonverbal reasoning measure and licensed clinical benchmark where feasible [S24,S28,S38,S60].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Criterion validity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Education/achievement or other preregistered criterion; use noncausal language [S68-S73].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Fairness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DIF/invariance by age, sex/gender, language, country/culture, education, device/mode [S27,S34,S74].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Online equivalence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Controlled comparison of web vs supervised administration [S85,S88].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Norming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Representative/stratified sample, weighting, documented inclusion/exclusion and versioned norms [S29-S37,S64-S67].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Security &amp; monitoring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Exposure, retest, drift, anomaly audit and ongoing form-equivalence monitoring [S61,S89-S94].</w:t>
            </w:r>
          </w:p>
        </w:tc>
      </w:tr>
    </w:tbl>
    <w:p>
      <w:pPr>
        <w:spacing w:after="80"/>
      </w:pPr>
      <w:r>
        <w:t>This sequencing is directly aligned with modern validity theory: the scientific burden increases with the interpretation and use you claim for the score [S01,S05].</w:t>
      </w:r>
    </w:p>
    <w:p>
      <w:pPr>
        <w:pStyle w:val="Heading1"/>
      </w:pPr>
      <w:r>
        <w:t>11. Existing online IQ tests: competitive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7"/>
              </w:rPr>
              <w:t>Product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7"/>
              </w:rPr>
              <w:t>Publicly stated evidence/position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7"/>
              </w:rPr>
              <w:t>Scientific lesson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Mensa International IQ Challenge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35 puzzles / 25 min; practice/entertainment; not admission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Clear claim boundary; useful UX/time benchmark [S41,S42].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British Mensa Online IQ Test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Secure/proctored; fluid + verbal; 98th percentile criterion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Strong operational benchmark; public technical validation detail is limited [S44].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American Mensa testing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Supervised admission testing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High-stakes administration benchmark [S43].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Open-Source Psychometrics FSIQ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Open test; domain + full-scale scores; external-score calibration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Transparent, but self-selection/criterion contamination limit normative claims [S46].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123test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Commercial IQ/practice tools + quality guidance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Useful market/UX reference; public pages are not independent validation [S48-S50].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IQTest.com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Markets itself as scientifically valid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Treat as marketing until a technical validation report is independently supplied [S47].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ARealMe 2026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49/119 items; recent data; explicit non-clinical disclaimer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Good transparency, but data page itself says nonrepresentative and not IRT validation [S51-S53].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Cambridge Brain Sciences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Research-derived tasks + domain/C-score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Useful task architecture; explicitly not an IQ score [S54-S57].</w:t>
            </w:r>
          </w:p>
        </w:tc>
      </w:tr>
    </w:tbl>
    <w:p>
      <w:pPr>
        <w:spacing w:after="80"/>
      </w:pPr>
      <w:r>
        <w:t>Market gap: the strongest opportunity is an openly documented, multilingual, IRT-calibrated reasoning assessment with a large versioned bank, representative norms, explicit uncertainty, retest/exposure controls and independent validation. That combination is uncommon in the public online market [S24,S44,S46,S51-S57,S74,S88].</w:t>
      </w:r>
    </w:p>
    <w:p>
      <w:pPr>
        <w:pStyle w:val="Heading1"/>
      </w:pPr>
      <w:r>
        <w:t>12. Copyright, licensing and legal reuse</w:t>
      </w:r>
    </w:p>
    <w:p>
      <w:pPr>
        <w:spacing w:after="80"/>
      </w:pPr>
      <w:r>
        <w:t>This section is practical research guidance, not jurisdiction-specific legal advice. The low-risk commercial approach is original item writing/artwork/instructions plus cleared open/public-domain resources.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7"/>
              </w:rPr>
              <w:t>Material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7"/>
              </w:rPr>
              <w:t>Practical status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7"/>
              </w:rPr>
              <w:t>Evidence / rule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Original items/artwork/instructions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Safest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Maintain authorship/provenance records.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Ideas/procedures/test concepts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Concept may be usable; copied expression may not be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US copyright law distinguishes ideas/procedures/methods from expression [S95]; other jurisdictions differ.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ICAR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Potentially reusable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Project says public-domain/open; verify current terms before commercial use [S24,S25].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CC BY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Commercial reuse/adaptation allowed with attribution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Follow exact license terms [S102,S103].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CC BY-NC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Not for commercial use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Do not use in a paid product absent separate permission [S104].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CC BY-ND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No derivatives/adaptations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Do not modify/recombine without permission [S104].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WAIS/Pearson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Do not copy without license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Proprietary clinical materials [S38,S39].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Raven's 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Do not copy without license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Pearson explicitly states copyright protection [S40].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Mensa admission content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Do not assume reuse rights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Use as benchmark only unless rights are cleared [S41-S45].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Fair use / Indian fair dealing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Case-specific exception, not a commercial safe harbor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Build the bank on cleared rights; seek counsel for any disputed material [S97,S100,S101].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Government works/data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May be usable depending on provenance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5"/>
              </w:rPr>
              <w:t>U.S. federal works have special rules; contracts/third-party components can alter rights [S98].</w:t>
            </w:r>
          </w:p>
        </w:tc>
      </w:tr>
    </w:tbl>
    <w:p>
      <w:pPr>
        <w:pStyle w:val="Heading1"/>
      </w:pPr>
      <w:r>
        <w:t>13. Recommended v1 build specification</w:t>
      </w:r>
    </w:p>
    <w:p>
      <w:pPr>
        <w:pStyle w:val="ListBullet"/>
        <w:spacing w:after="40"/>
      </w:pPr>
      <w:r>
        <w:t>Product claim: “Online cognitive ability / reasoning assessment.” Reserve the label “IQ” for a standardized score only after proper norming and validation; explicitly state it is not a clinical diagnosis or substitute for supervised clinical testing.</w:t>
      </w:r>
    </w:p>
    <w:p>
      <w:pPr>
        <w:pStyle w:val="ListBullet"/>
        <w:spacing w:after="40"/>
      </w:pPr>
      <w:r>
        <w:t>Core form: 50 scored items — 16 matrix/figural, 10 numerical, 8 spatial, 8 verbal, 8 working-memory; optional separate speed module.</w:t>
      </w:r>
    </w:p>
    <w:p>
      <w:pPr>
        <w:pStyle w:val="ListBullet"/>
        <w:spacing w:after="40"/>
      </w:pPr>
      <w:r>
        <w:t>Bank: create substantially more candidate items than the live form; use model-based families and controlled variants.</w:t>
      </w:r>
    </w:p>
    <w:p>
      <w:pPr>
        <w:pStyle w:val="ListBullet"/>
        <w:spacing w:after="40"/>
      </w:pPr>
      <w:r>
        <w:t>Calibration: broad pilot sample with age, education, language/country, sex/gender, device and retest metadata; calibrate domains using IRT and test the total-score structure.</w:t>
      </w:r>
    </w:p>
    <w:p>
      <w:pPr>
        <w:pStyle w:val="ListBullet"/>
        <w:spacing w:after="40"/>
      </w:pPr>
      <w:r>
        <w:t>Scoring: θ → norm model → 100/15 standard score → percentile + 90/95% confidence interval.</w:t>
      </w:r>
    </w:p>
    <w:p>
      <w:pPr>
        <w:pStyle w:val="ListBullet"/>
        <w:spacing w:after="40"/>
      </w:pPr>
      <w:r>
        <w:t>Norming: target the actual user population; use quota/weighting or representative sampling rather than raw site visitors.</w:t>
      </w:r>
    </w:p>
    <w:p>
      <w:pPr>
        <w:pStyle w:val="ListBullet"/>
        <w:spacing w:after="40"/>
      </w:pPr>
      <w:r>
        <w:t>Security: exposure tracking, controlled randomization, alternate forms, retest policy and adaptive exposure-control when used.</w:t>
      </w:r>
    </w:p>
    <w:p>
      <w:pPr>
        <w:pStyle w:val="ListBullet"/>
        <w:spacing w:after="40"/>
      </w:pPr>
      <w:r>
        <w:t>Validation: at least one established nonverbal reasoning benchmark plus an established broader cognitive measure where legally/practically possible; use a held-out validation sample.</w:t>
      </w:r>
    </w:p>
    <w:p>
      <w:pPr>
        <w:pStyle w:val="ListBullet"/>
        <w:spacing w:after="40"/>
      </w:pPr>
      <w:r>
        <w:t>Governance: every score must be reproducible from item-bank version + norm version + scoring-model version.</w:t>
      </w:r>
    </w:p>
    <w:p>
      <w:pPr>
        <w:pStyle w:val="ListBullet"/>
        <w:spacing w:after="40"/>
      </w:pPr>
      <w:r>
        <w:t>Do not: promise Mensa qualification from an unproctored score, claim clinical equivalence, call a test culture-fair without invariance evidence, or treat large traffic counts as proof of validity.</w:t>
      </w:r>
    </w:p>
    <w:p>
      <w:pPr>
        <w:pStyle w:val="Heading1"/>
      </w:pPr>
      <w:r>
        <w:t>14. Evidence vs marketing: explicit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7"/>
              </w:rPr>
              <w:t>Evidence class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7"/>
              </w:rPr>
              <w:t>How to use it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Strong scientific evidence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Standards, Kane/Messick validity theory, ICAR validation, Raven psychometrics, practice-effect meta-analysis, online inflation study, IRT/exposure-control research.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Authoritative first-party benchmark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WAIS-5, Raven's 2, current Mensa product pages, British Mensa's current online admission setup. Authoritative for what the product does; not independent evidence that your product is equivalent.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Open/public project evidence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ICAR and Creative Commons licensing guidance; strong for reuse/process when current terms apply.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Marketing / self-description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IQTest.com claims, 123test promotional claims, vendor statements about “scientific” quality absent a public technical validation report. Treat as discovery/positioning, not validation.</w:t>
            </w:r>
          </w:p>
        </w:tc>
      </w:tr>
    </w:tbl>
    <w:p>
      <w:pPr>
        <w:pStyle w:val="Heading1"/>
      </w:pPr>
      <w:r>
        <w:t>15. Bottom line</w:t>
      </w:r>
    </w:p>
    <w:p>
      <w:pPr>
        <w:spacing w:after="80"/>
      </w:pPr>
      <w:r>
        <w:t>Build a psychometric product, not a quiz. The central assets are the item-generation system, calibrated item bank, norm sample, scoring model, validation dataset and operational security layer.</w:t>
      </w:r>
    </w:p>
    <w:p>
      <w:pPr>
        <w:spacing w:after="80"/>
      </w:pPr>
      <w:r>
        <w:t>The highest-leverage route is: open scientific task families → original item models → pilot + IRT calibration → invariance/DIF → representative norming → independent external validation → controlled production scoring → ongoing drift/exposure monitoring. That sequence can support a defensible IQ-style score. Skipping norming or online-equivalence work leaves you with a useful reasoning estimate, not a validated clinical IQ measure [S01,S05,S24,S74,S88].</w:t>
      </w:r>
    </w:p>
    <w:p>
      <w:r>
        <w:br w:type="page"/>
      </w:r>
    </w:p>
    <w:p>
      <w:pPr>
        <w:pStyle w:val="Heading1"/>
      </w:pPr>
      <w:r>
        <w:t>Appendix A — 100-source research index</w:t>
      </w:r>
    </w:p>
    <w:p>
      <w:pPr>
        <w:spacing w:after="80"/>
      </w:pPr>
      <w:r>
        <w:t>Source URLs are included so the report is auditable. “Evidence type” describes the role of the source, not its prestige. Rights notes are practical screening guidance; legal status must be rechecked for the deployment jurisdiction and current license.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5"/>
              </w:rPr>
              <w:t>Source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5"/>
              </w:rPr>
              <w:t>Year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2045"/>
            <w:vAlign w:val="top"/>
            <w:shd w:fill="D9EAF7"/>
          </w:tcPr>
          <w:p>
            <w:r/>
            <w:r>
              <w:rPr>
                <w:b/>
                <w:sz w:val="15"/>
              </w:rPr>
              <w:t>Link / reuse note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S01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Standards for Educational and Psychological Testing — AERA, APA, NCME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Standard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9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Foundation for validity, fairness, reliability, interpretation/use; no item reuse.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S03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ITC Guidelines on Computer-Based and Internet Delivered Testing — International Test Commission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Guideline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1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Directly relevant to online delivery; guideline text is copyrighted.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S05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Validating the Interpretations and Uses of Test Scores — Michael T. Kane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3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Validity is about interpretations/uses; supports conservative score claims.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S06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Validity of Psychological Assessment: Validation of Inferences from Persons’ Responses and Performances as Scientific Inquiry into Score Meaning — Samuel Messick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1995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4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Unified validity framework; informs content/structure/generalization/consequences.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S08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Fundamentals of Item Response Theory — R. K. Hambleton, H. Swaminathan, H. J. Rogers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1991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Book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6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Core IRT treatment: item parameters, bias, equating, CAT; reference only.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S09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Item Response Theory for Psychologists — Susan E. Embretson &amp; Steven P. Reise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Book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7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Practical IRT/modeling framework; reference only.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Generalizability Theory — Robert L. Brennan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Book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9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Generalizability and sources of measurement error; reference only.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The Wiley Handbook of Psychometric Testing — Paul Irwing, Tom Booth, David Hughes (eds.)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Handbook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20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Broad modern psychometric reference; reference only.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Proof of Reliability Convergence to 1 at Rate of Spearman–Brown Formula for Random Test Forms and Irrespective of Item Pool Dimensionality — Ellis &amp; Sijtsma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open access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21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Test length/reliability nuance; short multidimensional tests can make naive reliability extrapolation misleading.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From alpha to omega: a practical solution to the pervasive problems in estimating internal consistency — Dunn, Baguley &amp; Brunsden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22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Shows limitations of alpha; supports omega and model-based reliability.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Test Reliability—Basic Concepts — Samuel A. Livingston / ETS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Professional/technical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23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Reliability, SEM, forms/occasions, length; direct design guidance.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The Relationship Between Item Difficulty and Item Discrimination in the 2PL and 3PL IRT Models — Sweeney &amp; Sinharay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24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Item-parameter dependence matters; avoids simplistic item screening.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Item Analysis — University of Washington Assessment — University of Washington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n.d.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University guidance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25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Difficulty/discrimination heuristics and why extreme items can be weak discriminators.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Item Analysis Report — University of Minnesota — University of Minnesota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n.d.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University guidance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26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Explains mid-range difficulty/discrimination and distractor review.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The Three-Stratum Theory of Cognitive Abilities: Test of the Structure of Intelligence Across the Life Span — John B. Carroll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1995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27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Supports hierarchical g + broad cognitive abilities architecture.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S20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Refinement and Test of the Theory of Fluid and Crystallized General Intelligences — Horn &amp; Cattell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1966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28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Supports distinguishing fluid vs crystallized abilities.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S21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Age Differences in Fluid and Crystallized Intelligence — Horn &amp; Cattell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1967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29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Fluid/crystallized age trajectories; informs age-sensitive norming.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S22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Intelligence — Ian J. Deary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review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30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Broad evidence on intelligence, g, predictive validity and aging.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S23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The differentiation of cognitive abilities across the lifespan — Salthouse / lifespan review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review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31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Broad abilities (speed, memory, visuospatial, fluid, knowledge) differentiate with age.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S24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The International Cognitive Ability Resource: Development and initial validation of a public-domain measure — Condon &amp; Revelle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32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Public-domain cognitive measure; high g saturation; large online validation.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S25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ICAR Project — International Cognitive Ability Resource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Project / primary source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33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Open/public-domain test resource, item types and psychometric information.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S26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Using the International Cognitive Ability Resource as an open source tool to explore individual differences — Condon/Revelle et al.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open access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34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Open-source use, multiple cognitive item domains, reproducibility.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S27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Age and sex invariance of the International Cognitive Ability Resource — Young, Keith &amp; Bond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35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Supports age/sex invariance checks and cautions about subscale interpretation.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S28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Raven's Progressive Matrices: Validity, Reliability, and Norms — Burke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1972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36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Classic validity/reliability/norm evidence for matrices.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S29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The Raven Progressive Matrices: A Review of National Norming Studies and Ethnic and Socioeconomic Variation Within the United States — John Raven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1989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37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Norms vary across demographic/SES groups; supports local/representative norms.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S30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The Raven's Progressive Matrices: Change and Stability Over Culture and Time — John Raven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38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Cross-cultural and temporal norm variation; supports periodic renorming.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S31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Raven Standard Progressive Matrices: New School-Age Norms and Validity in Iceland — Iceland norms study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39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Shows local norms and ceiling effects can matter materially.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S32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Development of a Short Form for the Raven Advanced Progressive Matrices Test — Arthur &amp; Day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1994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40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12-item short form can preserve much psychometric information; informs brevity trade-off.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S33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College Student Normative Data for the 12-Item Raven Advanced Progressive Matrices — Arthur et al.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1999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41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College norming evidence for APM short form.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S34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IRT and Differential Item Functioning in the Raven Advanced Progressive Matrices short form — Learning and Individual Differences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42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Unidimensional IRT, test information, DIF by age/gender/country.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S35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The Raven Progressive Matrices and group differences in South African engineers — Rushton et al.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43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Example that group differences can coexist with psychometrically strong items; interpret norming carefully.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S36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The suitability of Raven Standard Progressive Matrices for various groups in South Africa — South Africa study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1992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44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Shows item reliabilities/discriminations can look similar while group means differ substantially.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S37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Cross-cultural differences in visuo-spatial processing and culture-fairness of visuo-spatial intelligence tests — Integrative review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open access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45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Visual/matrix tasks are not automatically culture-neutral; supports invariance/DIF work.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S38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Wechsler Adult Intelligence Scale, Fifth Edition (WAIS-5) — Pearson Clinical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First-party clinical product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46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Clinical benchmark: 5 domains, FSIQ, 45–60 min workflows; product/manual licensed/copyrighted.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S39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Wechsler Adult Intelligence Scale, Third Edition (WAIS-III) — Pearson Clinical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1997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First-party clinical product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47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Historical clinical benchmark, extensive item-bias analysis; proprietary.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S40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Raven's 2 — Pearson Clinical / Raven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First-party clinical product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48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Current matrix benchmark and explicit copyright protection; no item copying.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S41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Mensa IQ Challenge — Mensa International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First-party public test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49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35 puzzles/25 min; entertainment/practice only; not admission-equivalent.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S42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Getting Your IQ Tested — FAQ — Mensa International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First-party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50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Official testing vs online practice distinction; supports claim-boundary design.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S43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Mensa Testing — American Mensa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First-party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51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Supervised admissions testing and score threshold; operational benchmark.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S44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Mensa Online IQ Test — British Mensa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First-party current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52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Current proctored online admission test; fluid + verbal; 98th percentile criterion. Public technical detail is limited.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S45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Mensa Denmark FAQ — Mensa Denmark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First-party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53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Useful counterexample: large online statistical basis does not equal controlled/scientifically processed score.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S46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FSIQ Test v3 / Open Source Psychometrics Project — Open-Source Psychometrics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Open public project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54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Open online test with self-reported external-score calibration; transparent but self-selected/circularity risk.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S47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IQ Test.com — IQTest.com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Commercial first-party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55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Marketing claim example; “scientifically valid” claims should not be treated as validation without technical evidence.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S48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About 123test — 123test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Commercial first-party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56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Marketing/positioning example; claims professional psychometric development.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S49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What makes a good IQ test? — 123test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Commercial first-party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57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Useful heuristic discussion, but not independent validation.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S50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Professional IQ test or practice test? — 123test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Commercial first-party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58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Useful checklist (norms, reliability, theory, item count); marketing-adjacent guidance.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S51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IQ Test 2026 — ARealMe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Commercial first-party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59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119/49-item variants, 15–45 min, domain profile; explicitly informative/non-clinical.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S52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IQ Test Data Transparency — ARealMe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Commercial first-party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60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5,913 attempts / 2,146 completions; 119-item bank; sample self-selected/nonrepresentative; data CC BY-NC 4.0, code MIT.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S53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Online IQ Tests Have a Trust Problem — ARealMe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Commercial first-party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61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Self-described redesign rationale; treat as marketing/source-of-claims, not independent validation.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S54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How were the tests created? — Cambridge Brain Sciences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First-party platform science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62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Task-family provenance and research-test lineage; C-Score is not IQ.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S55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Explore the Science — Cambridge Brain Sciences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First-party platform science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63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Platform research and normative claims; use independently validated task literature for core evidence.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S56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Does the C-Score measure IQ? — Cambridge Brain Sciences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First-party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64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Explicitly distinguishes C-Score from IQ; useful product positioning.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S57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How test scores are used to calculate C-Score and domain scores — Cambridge Brain Sciences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First-party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65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Example of composite/domain score architecture; not an IQ validation.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S58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Cognitive Reflection and Decision Making — Frederick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66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CRT measures intuitive-vs-reflective reasoning, not g; optional supplementary item type.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S59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Digital Digit Symbol Substitution Test: validation study — Digital DDSST study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open access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67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Shows digital tasks need agreement/concurrent validity analysis, not correlation alone.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S60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A Free Non-verbal “Rules” Test for Fluid Intelligence — Original source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68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28-item nonverbal rules test; MIRT; Raven’s 2 correlation and educational criteria correlations.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S61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A Meta-Analysis of Practice Effects in Repeated Cognitive Testing — Hausknecht et al.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69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50 studies, 134,436 participants; retesting/coaching/identical forms inflate scores.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S62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Practice effects in neuropsychological assessment: a meta-analysis — 2012 meta-analysis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70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Alternate forms, age, diagnosis and interval influence retest gains.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S63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The psychometric paradox of practice effects in IQ testing — Original source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71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Retest gains are not simply g-saturated; informs retest policy and interpretation.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S64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The Flynn Effect: A Meta-Analysis — 2014 meta-analysis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72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Large secular score gains; norms can drift, requiring periodic re-norming.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S65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One Century of Global IQ Gains: A Formal Meta-Analysis (1909–2013) — Pietschnig &amp; Voracek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73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Long-run secular gains; supports versioned norms.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S66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Cross-temporal meta-analysis of Raven SPM — Original source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meta-analysis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74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734 samples, ~202k people, 48 countries; demonstrates temporal/cross-national change.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S67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Extended Raven meta-analysis — Original source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2023/2024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meta-analysis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75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1038 samples, ~299k people, 72 countries; further evidence of secular score change.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S68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Intelligence and educational achievement — Deary et al.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76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Prospective 70k+ children; latent g strongly related to educational achievement.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S69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Education and cognitive ability meta-analysis — Ritchie &amp; Tucker-Drob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meta-analysis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77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Additional education is associated with IQ gains; education is a major norming covariate.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S70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Broad cognitive abilities and academic achievement meta-analysis — Broad-ability meta-analysis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78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g and broad abilities predict academic achievement; supports criterion validation.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S71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General Mental Ability in the World of Work — Schmidt &amp; Hunter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79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Classic occupational validity evidence; avoid direct consumer IQ-job claims.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S72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General mental ability and job performance meta-analysis — Rojas et al.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meta-analysis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80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Modern re-estimates and moderators; useful only for criterion validation framing.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S73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General mental ability and job performance: current-century meta-analysis — Original source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meta-analysis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81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More recent validity estimates are lower than historical estimates; guards against overclaiming.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S74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The importance of measurement invariance in neurocognitive ability testing — Wicherts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review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82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Many studies find non-invariance by ethnicity, gender, education, cohort or age; motivates DIF/invariance.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S75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Challenging existing Raven’s norms based on children attending government schools in India — India Raven norms study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Peer-reviewed/current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83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Current India-specific example of major score/norm mismatch under legacy norms.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S76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Guide: MITRE–ETS Inductive Reasoning Battery — MITRE &amp; ETS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Technical/first-party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84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Research battery: figure/number/letter/matrix/composite; parallel forms; reliability and high-ability norms.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S77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Mental Rotations, a Group Test of Three-Dimensional Spatial Visualization — Vandenberg &amp; Kuse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1978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85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Validated spatial/mental rotation task family; classic reliability evidence.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S78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A review of adult verbal abstract reasoning assessments — 2016 review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review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86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Reviews verbal abstract reasoning tasks and construct validity weaknesses.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S79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Shipley-2 / WISC-IV reasoning relations — Reynolds et al.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87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Supports abstraction as psychometric g-related construct; verbal item choice affects interpretation.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S80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Automatic Generation of Number Series Reasoning Items of High Difficulty — Original source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open access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88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Number-series item generation, cognitive features and high-difficulty coverage.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S81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Psychometric and Cognitive Analysis as a Basis for the Design and Revision of Quantitative Item Models — Graf et al. / ETS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Technical research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89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Model-based item families; combines cognitive design with psychometric prediction.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S82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Automatic item generation and cognitive psychology — Embretson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Academic chapter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90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AIG with cognitive design and IRT; supports item-model engineering.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S83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Automatic item generation: foundations and machine learning-based approaches for assessments — 2023 review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open access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91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AIG evaluation methods; still requires expert/statistical validation.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S84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Automatic item generation measurement model with radicals and incidentals — University of Konstanz / Sage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open access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92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Current framework for separating difficulty-relevant item features from incidental surface variation.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S85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Computerization of Paper-and-Pencil Tests: When are They Equivalent? — Neuman &amp; Baydoun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1998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93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Mode equivalence can hold under matched conditions; speededness can alter results.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S86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Web-based cognitive assessment in older adults: review — 2023 review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open access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94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Online cognitive assessment has promise but norms/construct validity remain variable.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S87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Systematic/scoping review of app/web cognitive tools — 2020 review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 open access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95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Large landscape review; many online cognitive tools have uncertain quality.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S88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Internet testing: a natural experiment reveals test score inflation on a high-stakes, unproctored cognitive test — Carstairs &amp; Myors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96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Direct evidence that unproctored online high-stakes cognitive tests can show score inflation.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S89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Item exposure control in a-stratified computerized adaptive testing — Original source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97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High-discrimination items are overexposed; exposure control can improve pool security without large precision loss.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S90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Comparison of item exposure control methods — Ozturk &amp; Dogan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2015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98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Compares Randomesque/Sympson-Hetter/Fade-Away exposure control.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S91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Variable-length CAT item exposure and test overlap — Original source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99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Tighter overlap/security trades off against measurement efficiency.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S92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Two-stage item exposure control method — Original source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2023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00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Controls minimum/maximum exposure and improves pool utilization in simulation.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S93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Multidimensional CAT item exposure control — Original source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2008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01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Exposure control in multidimensional adaptive tests.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S94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Some procedures for reducing the overexposure of items in CAT — Stocking &amp; Lewis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1998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Technical/peer-reviewed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02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Classical exposure-control procedures and rationale.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S95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17 U.S.C. §102 — U.S. Copyright Office / Cornell LII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Statute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03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Copyright protects original expression, not ideas/procedures/methods; foundational legal distinction.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S96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37 CFR §202.13 — Secure tests — U.S. Copyright Office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Regulation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04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Defines/handles secure tests/test items; highly relevant to copying proprietary test content.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S97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Copyright Fair Use Index — U.S. Copyright Office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Government guidance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05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Fair use is case-by-case; not a commercial safe harbor.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S98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17 U.S.C. §105 — United States Government works — U.S. Code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Statute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06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U.S. government works generally not copyrightable under federal copyright, with contractual caveats.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S99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Indian Copyright Act 1957 — Chapter I — Government of India Copyright Office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Statute/gov guidance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07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Indian copyright scope; literary/artistic expression including tables/diagrams.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Indian Copyright Office Handbook / exceptions — Government of India Copyright Office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Government guidance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08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Idea/expression distinction and fair-dealing context; commercial reuse still needs legal review.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S101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Exceptions to Copyright / Section 52 — Government of India Copyright Office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Government guidance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09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Research/private study/criticism exceptions; do not treat as blanket commercial reuse permission.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S102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Reusing CC-licensed content — Creative Commons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License guidance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10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All CC licenses require attribution; exact license terms control reuse.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S103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CC BY 4.0 — Creative Commons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License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11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Commercial reuse/adaptation allowed with attribution.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S104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CC license suite overview — Creative Commons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3"/>
              </w:rPr>
              <w:t>License guidance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hyperlink r:id="rId112">
              <w:r>
                <w:rPr>
                  <w:color w:val="1F4E79"/>
                  <w:u w:val="single"/>
                </w:rPr>
                <w:t>Open source</w:t>
              </w:r>
            </w:hyperlink>
            <w:r>
              <w:rPr>
                <w:sz w:val="12"/>
              </w:rPr>
              <w:t xml:space="preserve"> — NC bars commercial use; ND bars adaptations; SA imposes share-alike conditions.</w:t>
            </w:r>
          </w:p>
        </w:tc>
      </w:tr>
    </w:tbl>
    <w:sectPr w:rsidR="00FC693F" w:rsidRPr="0006063C" w:rsidSect="00034616">
      <w:footerReference w:type="default" r:id="rId1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Online IQ-Style Test Research Blueprint • 8 Sep 2026 •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estingstandards.net/open-access-files.html" TargetMode="External"/><Relationship Id="rId10" Type="http://schemas.openxmlformats.org/officeDocument/2006/relationships/hyperlink" Target="https://www.apa.org/monitor/2014/12/testing-standards" TargetMode="External"/><Relationship Id="rId11" Type="http://schemas.openxmlformats.org/officeDocument/2006/relationships/hyperlink" Target="https://www.intestcom.org/files/guideline_computer_based_testing.pdf" TargetMode="External"/><Relationship Id="rId12" Type="http://schemas.openxmlformats.org/officeDocument/2006/relationships/hyperlink" Target="https://www.efpa.eu/consultation-model-for-the-review-description-and-evaluation-of-psychological-and-educational-tests/" TargetMode="External"/><Relationship Id="rId13" Type="http://schemas.openxmlformats.org/officeDocument/2006/relationships/hyperlink" Target="https://onlinelibrary.wiley.com/doi/full/10.1111/jedm.12000" TargetMode="External"/><Relationship Id="rId14" Type="http://schemas.openxmlformats.org/officeDocument/2006/relationships/hyperlink" Target="https://doi.org/10.1037/0003-066X.50.9.741" TargetMode="External"/><Relationship Id="rId15" Type="http://schemas.openxmlformats.org/officeDocument/2006/relationships/hyperlink" Target="https://www.ets.org/research/policy_research_reports/publications/book/1968/awej.html" TargetMode="External"/><Relationship Id="rId16" Type="http://schemas.openxmlformats.org/officeDocument/2006/relationships/hyperlink" Target="https://www.sagepub.com/shop/buy-a-book/fundamentals-of-item-response-theory-1-3067" TargetMode="External"/><Relationship Id="rId17" Type="http://schemas.openxmlformats.org/officeDocument/2006/relationships/hyperlink" Target="https://openlibrary.org/works/OL3168895W/Item_response_theory_for_psychologists" TargetMode="External"/><Relationship Id="rId18" Type="http://schemas.openxmlformats.org/officeDocument/2006/relationships/hyperlink" Target="https://www.ncbi.nlm.nih.gov/nlmcatalog/1254018" TargetMode="External"/><Relationship Id="rId19" Type="http://schemas.openxmlformats.org/officeDocument/2006/relationships/hyperlink" Target="https://doi.org/10.1007/978-1-4757-3456-0" TargetMode="External"/><Relationship Id="rId20" Type="http://schemas.openxmlformats.org/officeDocument/2006/relationships/hyperlink" Target="https://doi.org/10.1002/9781118489772" TargetMode="External"/><Relationship Id="rId21" Type="http://schemas.openxmlformats.org/officeDocument/2006/relationships/hyperlink" Target="https://link.springer.com/article/10.1007/s11336-024-09956-7" TargetMode="External"/><Relationship Id="rId22" Type="http://schemas.openxmlformats.org/officeDocument/2006/relationships/hyperlink" Target="https://bpspsychub.onlinelibrary.wiley.com/doi/10.1111/bjop.12046" TargetMode="External"/><Relationship Id="rId23" Type="http://schemas.openxmlformats.org/officeDocument/2006/relationships/hyperlink" Target="https://www.ets.org/research/policy_research_reports/publications/report/2018/jysw.html" TargetMode="External"/><Relationship Id="rId24" Type="http://schemas.openxmlformats.org/officeDocument/2006/relationships/hyperlink" Target="https://onlinelibrary.wiley.com/doi/10.1111/emip.12522" TargetMode="External"/><Relationship Id="rId25" Type="http://schemas.openxmlformats.org/officeDocument/2006/relationships/hyperlink" Target="https://www.washington.edu/assessment/scanning-scoring/scoring/reports/item-analysis/" TargetMode="External"/><Relationship Id="rId26" Type="http://schemas.openxmlformats.org/officeDocument/2006/relationships/hyperlink" Target="https://survey.umn.edu/exams/additional-resources/report-options-and-interpretation-guide/item-analysis-report" TargetMode="External"/><Relationship Id="rId27" Type="http://schemas.openxmlformats.org/officeDocument/2006/relationships/hyperlink" Target="https://www.sciencedirect.com/science/article/pii/0160289695900136" TargetMode="External"/><Relationship Id="rId28" Type="http://schemas.openxmlformats.org/officeDocument/2006/relationships/hyperlink" Target="https://pubmed.ncbi.nlm.nih.gov/5918295/" TargetMode="External"/><Relationship Id="rId29" Type="http://schemas.openxmlformats.org/officeDocument/2006/relationships/hyperlink" Target="https://doi.org/10.1016/0001-6918(67)90011-X" TargetMode="External"/><Relationship Id="rId30" Type="http://schemas.openxmlformats.org/officeDocument/2006/relationships/hyperlink" Target="https://www.annualreviews.org/content/journals/10.1146/annurev-psych-120710-100353" TargetMode="External"/><Relationship Id="rId31" Type="http://schemas.openxmlformats.org/officeDocument/2006/relationships/hyperlink" Target="https://pmc.ncbi.nlm.nih.gov/articles/PMC2855504/" TargetMode="External"/><Relationship Id="rId32" Type="http://schemas.openxmlformats.org/officeDocument/2006/relationships/hyperlink" Target="https://www.sciencedirect.com/science/article/pii/S0160289614000051" TargetMode="External"/><Relationship Id="rId33" Type="http://schemas.openxmlformats.org/officeDocument/2006/relationships/hyperlink" Target="https://www.icar-project.org/" TargetMode="External"/><Relationship Id="rId34" Type="http://schemas.openxmlformats.org/officeDocument/2006/relationships/hyperlink" Target="https://www.sciencedirect.com/science/article/pii/S0191886920300957" TargetMode="External"/><Relationship Id="rId35" Type="http://schemas.openxmlformats.org/officeDocument/2006/relationships/hyperlink" Target="https://www.sciencedirect.com/science/article/pii/S0160289619301813" TargetMode="External"/><Relationship Id="rId36" Type="http://schemas.openxmlformats.org/officeDocument/2006/relationships/hyperlink" Target="https://www.tandfonline.com/doi/abs/10.1080/00223980.1972.9923815" TargetMode="External"/><Relationship Id="rId37" Type="http://schemas.openxmlformats.org/officeDocument/2006/relationships/hyperlink" Target="https://doi.org/10.1111/j.1745-3984.1989.tb00314.x" TargetMode="External"/><Relationship Id="rId38" Type="http://schemas.openxmlformats.org/officeDocument/2006/relationships/hyperlink" Target="https://pubmed.ncbi.nlm.nih.gov/10945921/" TargetMode="External"/><Relationship Id="rId39" Type="http://schemas.openxmlformats.org/officeDocument/2006/relationships/hyperlink" Target="https://www.sciencedirect.com/science/article/pii/S0191886902000582" TargetMode="External"/><Relationship Id="rId40" Type="http://schemas.openxmlformats.org/officeDocument/2006/relationships/hyperlink" Target="https://journals.sagepub.com/doi/10.1177/0013164494054002013" TargetMode="External"/><Relationship Id="rId41" Type="http://schemas.openxmlformats.org/officeDocument/2006/relationships/hyperlink" Target="https://journals.sagepub.com/doi/pdf/10.1177/073428299901700405" TargetMode="External"/><Relationship Id="rId42" Type="http://schemas.openxmlformats.org/officeDocument/2006/relationships/hyperlink" Target="https://www.sciencedirect.com/science/article/pii/S1041608011001919" TargetMode="External"/><Relationship Id="rId43" Type="http://schemas.openxmlformats.org/officeDocument/2006/relationships/hyperlink" Target="https://doi.org/10.1111/j.0965-075X.2004.00276.x" TargetMode="External"/><Relationship Id="rId44" Type="http://schemas.openxmlformats.org/officeDocument/2006/relationships/hyperlink" Target="https://www.sciencedirect.com/science/article/pii/019188699290037P" TargetMode="External"/><Relationship Id="rId45" Type="http://schemas.openxmlformats.org/officeDocument/2006/relationships/hyperlink" Target="https://pmc.ncbi.nlm.nih.gov/articles/PMC8816982/" TargetMode="External"/><Relationship Id="rId46" Type="http://schemas.openxmlformats.org/officeDocument/2006/relationships/hyperlink" Target="https://www.pearsonassessments.com/en-us/Store/Professional-Assessments/Cognition-%26-Neuro/Wechsler-Adult-Intelligence-Scale-%7C-Fifth-Edition/p/P100071002" TargetMode="External"/><Relationship Id="rId47" Type="http://schemas.openxmlformats.org/officeDocument/2006/relationships/hyperlink" Target="https://www.pearsonassessments.com/store/usassessments/en/p/wechsler-adult-intelligence-scale-third-edition/100000243" TargetMode="External"/><Relationship Id="rId48" Type="http://schemas.openxmlformats.org/officeDocument/2006/relationships/hyperlink" Target="https://www.pearsonclinical.nl/store/nlassessments/en/Store/p/P100100011.html" TargetMode="External"/><Relationship Id="rId49" Type="http://schemas.openxmlformats.org/officeDocument/2006/relationships/hyperlink" Target="https://www.mensa.org/mensa-iq-challenge/" TargetMode="External"/><Relationship Id="rId50" Type="http://schemas.openxmlformats.org/officeDocument/2006/relationships/hyperlink" Target="https://www.mensa.org/getting-your-iq-tested-faqs/" TargetMode="External"/><Relationship Id="rId51" Type="http://schemas.openxmlformats.org/officeDocument/2006/relationships/hyperlink" Target="https://www.us.mensa.org/join/testing/" TargetMode="External"/><Relationship Id="rId52" Type="http://schemas.openxmlformats.org/officeDocument/2006/relationships/hyperlink" Target="https://mensa.org.uk/mensa-online-iq-test/" TargetMode="External"/><Relationship Id="rId53" Type="http://schemas.openxmlformats.org/officeDocument/2006/relationships/hyperlink" Target="https://mensa.dk/om-mensa/faq" TargetMode="External"/><Relationship Id="rId54" Type="http://schemas.openxmlformats.org/officeDocument/2006/relationships/hyperlink" Target="https://openpsychometrics.org/tests/FSIQ/" TargetMode="External"/><Relationship Id="rId55" Type="http://schemas.openxmlformats.org/officeDocument/2006/relationships/hyperlink" Target="https://iqtest.com/" TargetMode="External"/><Relationship Id="rId56" Type="http://schemas.openxmlformats.org/officeDocument/2006/relationships/hyperlink" Target="https://www.123test.com/about_123test/" TargetMode="External"/><Relationship Id="rId57" Type="http://schemas.openxmlformats.org/officeDocument/2006/relationships/hyperlink" Target="https://www.123test.com/iq-test-quality/" TargetMode="External"/><Relationship Id="rId58" Type="http://schemas.openxmlformats.org/officeDocument/2006/relationships/hyperlink" Target="https://www.123test.com/professional-iq-test-or-practice-test/" TargetMode="External"/><Relationship Id="rId59" Type="http://schemas.openxmlformats.org/officeDocument/2006/relationships/hyperlink" Target="https://www.arealme.com/iq/en/" TargetMode="External"/><Relationship Id="rId60" Type="http://schemas.openxmlformats.org/officeDocument/2006/relationships/hyperlink" Target="https://www.arealme.com/iq/data/" TargetMode="External"/><Relationship Id="rId61" Type="http://schemas.openxmlformats.org/officeDocument/2006/relationships/hyperlink" Target="https://blog.arealme.com/2026/08/16/online-iq-tests-have-a-trust-problem/" TargetMode="External"/><Relationship Id="rId62" Type="http://schemas.openxmlformats.org/officeDocument/2006/relationships/hyperlink" Target="https://help.cambridgebrainsciences.com/en/articles/625026-how-were-the-tests-created" TargetMode="External"/><Relationship Id="rId63" Type="http://schemas.openxmlformats.org/officeDocument/2006/relationships/hyperlink" Target="https://help.cambridgebrainsciences.com/en/collections/258738-explore-the-science" TargetMode="External"/><Relationship Id="rId64" Type="http://schemas.openxmlformats.org/officeDocument/2006/relationships/hyperlink" Target="https://help.cambridgebrainsciences.com/en/articles/625022-does-the-c-score-measure-iq" TargetMode="External"/><Relationship Id="rId65" Type="http://schemas.openxmlformats.org/officeDocument/2006/relationships/hyperlink" Target="https://help.cambridgebrainsciences.com/en/articles/1027938-how-are-test-scores-used-to-calculate-the-c-score-and-cognitive-domain-scores" TargetMode="External"/><Relationship Id="rId66" Type="http://schemas.openxmlformats.org/officeDocument/2006/relationships/hyperlink" Target="https://www.aeaweb.org/articles?id=10.1257/089533005775196732" TargetMode="External"/><Relationship Id="rId67" Type="http://schemas.openxmlformats.org/officeDocument/2006/relationships/hyperlink" Target="https://pmc.ncbi.nlm.nih.gov/articles/PMC9919459/" TargetMode="External"/><Relationship Id="rId68" Type="http://schemas.openxmlformats.org/officeDocument/2006/relationships/hyperlink" Target="https://www.sciencedirect.com/science/article/pii/S0160289625000261" TargetMode="External"/><Relationship Id="rId69" Type="http://schemas.openxmlformats.org/officeDocument/2006/relationships/hyperlink" Target="https://pubmed.ncbi.nlm.nih.gov/17371085/" TargetMode="External"/><Relationship Id="rId70" Type="http://schemas.openxmlformats.org/officeDocument/2006/relationships/hyperlink" Target="https://pubmed.ncbi.nlm.nih.gov/22540222/" TargetMode="External"/><Relationship Id="rId71" Type="http://schemas.openxmlformats.org/officeDocument/2006/relationships/hyperlink" Target="https://pubmed.ncbi.nlm.nih.gov/16161386/" TargetMode="External"/><Relationship Id="rId72" Type="http://schemas.openxmlformats.org/officeDocument/2006/relationships/hyperlink" Target="https://pubmed.ncbi.nlm.nih.gov/24979188/" TargetMode="External"/><Relationship Id="rId73" Type="http://schemas.openxmlformats.org/officeDocument/2006/relationships/hyperlink" Target="https://pubmed.ncbi.nlm.nih.gov/25987509/" TargetMode="External"/><Relationship Id="rId74" Type="http://schemas.openxmlformats.org/officeDocument/2006/relationships/hyperlink" Target="https://pubmed.ncbi.nlm.nih.gov/25504234/" TargetMode="External"/><Relationship Id="rId75" Type="http://schemas.openxmlformats.org/officeDocument/2006/relationships/hyperlink" Target="https://pubmed.ncbi.nlm.nih.gov/37625143/" TargetMode="External"/><Relationship Id="rId76" Type="http://schemas.openxmlformats.org/officeDocument/2006/relationships/hyperlink" Target="https://www.research.ed.ac.uk/en/publications/intelligence-and-educational-achievement/" TargetMode="External"/><Relationship Id="rId77" Type="http://schemas.openxmlformats.org/officeDocument/2006/relationships/hyperlink" Target="https://pmc.ncbi.nlm.nih.gov/articles/PMC6088505/" TargetMode="External"/><Relationship Id="rId78" Type="http://schemas.openxmlformats.org/officeDocument/2006/relationships/hyperlink" Target="https://pubmed.ncbi.nlm.nih.gov/29585130/" TargetMode="External"/><Relationship Id="rId79" Type="http://schemas.openxmlformats.org/officeDocument/2006/relationships/hyperlink" Target="https://pubmed.ncbi.nlm.nih.gov/14717634/" TargetMode="External"/><Relationship Id="rId80" Type="http://schemas.openxmlformats.org/officeDocument/2006/relationships/hyperlink" Target="https://pubmed.ncbi.nlm.nih.gov/31292869/" TargetMode="External"/><Relationship Id="rId81" Type="http://schemas.openxmlformats.org/officeDocument/2006/relationships/hyperlink" Target="https://pubmed.ncbi.nlm.nih.gov/39523102/" TargetMode="External"/><Relationship Id="rId82" Type="http://schemas.openxmlformats.org/officeDocument/2006/relationships/hyperlink" Target="https://pubmed.ncbi.nlm.nih.gov/27356958/" TargetMode="External"/><Relationship Id="rId83" Type="http://schemas.openxmlformats.org/officeDocument/2006/relationships/hyperlink" Target="https://doi.org/10.1007/s41809-026-00207-y" TargetMode="External"/><Relationship Id="rId84" Type="http://schemas.openxmlformats.org/officeDocument/2006/relationships/hyperlink" Target="https://www.mitre.org/news-insights/publication/guide-mitre-educational-testing-service-inductive-reasoning-battery" TargetMode="External"/><Relationship Id="rId85" Type="http://schemas.openxmlformats.org/officeDocument/2006/relationships/hyperlink" Target="https://doi.org/10.2466/pms.1978.47.2.599" TargetMode="External"/><Relationship Id="rId86" Type="http://schemas.openxmlformats.org/officeDocument/2006/relationships/hyperlink" Target="https://pubmed.ncbi.nlm.nih.gov/26732461/" TargetMode="External"/><Relationship Id="rId87" Type="http://schemas.openxmlformats.org/officeDocument/2006/relationships/hyperlink" Target="https://pubmed.ncbi.nlm.nih.gov/25712673/" TargetMode="External"/><Relationship Id="rId88" Type="http://schemas.openxmlformats.org/officeDocument/2006/relationships/hyperlink" Target="https://pmc.ncbi.nlm.nih.gov/articles/PMC6491774/" TargetMode="External"/><Relationship Id="rId89" Type="http://schemas.openxmlformats.org/officeDocument/2006/relationships/hyperlink" Target="https://www.ets.org/research/policy_research_reports/publications/report/2005/hzdk.html" TargetMode="External"/><Relationship Id="rId90" Type="http://schemas.openxmlformats.org/officeDocument/2006/relationships/hyperlink" Target="https://www.sciencedirect.com/science/article/pii/S0169716106260231" TargetMode="External"/><Relationship Id="rId91" Type="http://schemas.openxmlformats.org/officeDocument/2006/relationships/hyperlink" Target="https://www.frontiersin.org/journals/education/articles/10.3389/feduc.2023.858273/full" TargetMode="External"/><Relationship Id="rId92" Type="http://schemas.openxmlformats.org/officeDocument/2006/relationships/hyperlink" Target="https://journals.sagepub.com/doi/10.1177/01466216261453386" TargetMode="External"/><Relationship Id="rId93" Type="http://schemas.openxmlformats.org/officeDocument/2006/relationships/hyperlink" Target="https://journals.sagepub.com/doi/10.1177/01466216980221006" TargetMode="External"/><Relationship Id="rId94" Type="http://schemas.openxmlformats.org/officeDocument/2006/relationships/hyperlink" Target="https://pmc.ncbi.nlm.nih.gov/articles/PMC10487375/" TargetMode="External"/><Relationship Id="rId95" Type="http://schemas.openxmlformats.org/officeDocument/2006/relationships/hyperlink" Target="https://pmc.ncbi.nlm.nih.gov/articles/PMC6996724/" TargetMode="External"/><Relationship Id="rId96" Type="http://schemas.openxmlformats.org/officeDocument/2006/relationships/hyperlink" Target="https://www.sciencedirect.com/science/article/pii/S0747563209000260" TargetMode="External"/><Relationship Id="rId97" Type="http://schemas.openxmlformats.org/officeDocument/2006/relationships/hyperlink" Target="https://www.sciencedirect.com/science/article/pii/S0160289608000374" TargetMode="External"/><Relationship Id="rId98" Type="http://schemas.openxmlformats.org/officeDocument/2006/relationships/hyperlink" Target="https://pmc.ncbi.nlm.nih.gov/articles/PMC4560462/" TargetMode="External"/><Relationship Id="rId99" Type="http://schemas.openxmlformats.org/officeDocument/2006/relationships/hyperlink" Target="https://www.sciencedirect.com/science/article/pii/S0160289607000222" TargetMode="External"/><Relationship Id="rId100" Type="http://schemas.openxmlformats.org/officeDocument/2006/relationships/hyperlink" Target="https://journals.sagepub.com/doi/10.1177/01466216231154640" TargetMode="External"/><Relationship Id="rId101" Type="http://schemas.openxmlformats.org/officeDocument/2006/relationships/hyperlink" Target="https://www.sciencedirect.com/science/article/pii/S0160289608000386" TargetMode="External"/><Relationship Id="rId102" Type="http://schemas.openxmlformats.org/officeDocument/2006/relationships/hyperlink" Target="https://www.ets.org/research/policy_research_reports/publications/article/1998/ibrr.html" TargetMode="External"/><Relationship Id="rId103" Type="http://schemas.openxmlformats.org/officeDocument/2006/relationships/hyperlink" Target="https://www.law.cornell.edu/uscode/text/17/102" TargetMode="External"/><Relationship Id="rId104" Type="http://schemas.openxmlformats.org/officeDocument/2006/relationships/hyperlink" Target="https://www.copyright.gov/title37/202/37cfr202-13.html" TargetMode="External"/><Relationship Id="rId105" Type="http://schemas.openxmlformats.org/officeDocument/2006/relationships/hyperlink" Target="https://copyright.gov/fair-use/" TargetMode="External"/><Relationship Id="rId106" Type="http://schemas.openxmlformats.org/officeDocument/2006/relationships/hyperlink" Target="https://www.law.cornell.edu/uscode/text/17/105" TargetMode="External"/><Relationship Id="rId107" Type="http://schemas.openxmlformats.org/officeDocument/2006/relationships/hyperlink" Target="https://copyright.gov.in/Copyright_Act_1957/chapter_i.html" TargetMode="External"/><Relationship Id="rId108" Type="http://schemas.openxmlformats.org/officeDocument/2006/relationships/hyperlink" Target="https://copyright.gov.in/Documents/handbook.html" TargetMode="External"/><Relationship Id="rId109" Type="http://schemas.openxmlformats.org/officeDocument/2006/relationships/hyperlink" Target="https://copyright.gov.in/Exceptions.aspx/FORMXV/Society/Society/ExpungedROC.aspx" TargetMode="External"/><Relationship Id="rId110" Type="http://schemas.openxmlformats.org/officeDocument/2006/relationships/hyperlink" Target="https://creativecommons.org/reusing-cc-licensed-content/" TargetMode="External"/><Relationship Id="rId111" Type="http://schemas.openxmlformats.org/officeDocument/2006/relationships/hyperlink" Target="https://creativecommons.org/licenses/by/4.0/" TargetMode="External"/><Relationship Id="rId112" Type="http://schemas.openxmlformats.org/officeDocument/2006/relationships/hyperlink" Target="https://creativecommons.org/share-your-work/use-remix/cc-licenses/" TargetMode="External"/><Relationship Id="rId1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