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D2662" w14:textId="77777777" w:rsidR="00D256BA" w:rsidRPr="00812461" w:rsidRDefault="00D256BA" w:rsidP="00D256BA">
      <w:pPr>
        <w:pStyle w:val="MyNormal"/>
        <w:rPr>
          <w:rFonts w:asciiTheme="majorBidi" w:hAnsiTheme="majorBidi" w:cstheme="majorBidi"/>
        </w:rPr>
      </w:pPr>
      <w:r w:rsidRPr="00812461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EF20246" wp14:editId="754DE702">
            <wp:extent cx="2108200" cy="787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25" w:type="dxa"/>
        <w:tblCellMar>
          <w:top w:w="72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4855"/>
        <w:gridCol w:w="4770"/>
      </w:tblGrid>
      <w:tr w:rsidR="00D256BA" w:rsidRPr="00812461" w14:paraId="6D215E56" w14:textId="77777777" w:rsidTr="00736DF5">
        <w:trPr>
          <w:trHeight w:val="1052"/>
        </w:trPr>
        <w:tc>
          <w:tcPr>
            <w:tcW w:w="4855" w:type="dxa"/>
          </w:tcPr>
          <w:p w14:paraId="11E6647B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DEPARTMENT OF CIVIL AND ENVIRONMENTAL ENGINEERING</w:t>
            </w:r>
          </w:p>
          <w:p w14:paraId="4EA98538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4110 Old Main Hill</w:t>
            </w:r>
          </w:p>
          <w:p w14:paraId="58689A92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Logan, UT 84322-4110</w:t>
            </w:r>
          </w:p>
          <w:p w14:paraId="3FFEBC17" w14:textId="77777777" w:rsidR="00D256BA" w:rsidRPr="00812461" w:rsidRDefault="00D256BA" w:rsidP="00736DF5">
            <w:pPr>
              <w:tabs>
                <w:tab w:val="left" w:pos="4320"/>
                <w:tab w:val="right" w:pos="9260"/>
              </w:tabs>
              <w:spacing w:line="200" w:lineRule="exact"/>
              <w:ind w:left="270"/>
              <w:rPr>
                <w:rFonts w:asciiTheme="majorBidi" w:hAnsiTheme="majorBidi" w:cstheme="majorBidi"/>
                <w:sz w:val="24"/>
                <w:szCs w:val="24"/>
              </w:rPr>
            </w:pPr>
            <w:r w:rsidRPr="00812461">
              <w:rPr>
                <w:rFonts w:asciiTheme="majorBidi" w:hAnsiTheme="majorBidi" w:cstheme="majorBidi"/>
                <w:sz w:val="24"/>
                <w:szCs w:val="24"/>
              </w:rPr>
              <w:t>Fax: 435 797 1185</w:t>
            </w:r>
          </w:p>
        </w:tc>
        <w:tc>
          <w:tcPr>
            <w:tcW w:w="4770" w:type="dxa"/>
          </w:tcPr>
          <w:p w14:paraId="2A828B29" w14:textId="77777777" w:rsidR="00D256BA" w:rsidRPr="00812461" w:rsidRDefault="00D256BA" w:rsidP="00736DF5">
            <w:pPr>
              <w:tabs>
                <w:tab w:val="left" w:pos="3960"/>
                <w:tab w:val="left" w:pos="4320"/>
                <w:tab w:val="right" w:pos="9260"/>
              </w:tabs>
              <w:spacing w:line="200" w:lineRule="exact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42CFD28" w14:textId="4E719965" w:rsidR="000833B5" w:rsidRPr="00812461" w:rsidRDefault="000833B5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July </w:t>
      </w:r>
      <w:r w:rsidR="00C6460D">
        <w:rPr>
          <w:rFonts w:asciiTheme="majorBidi" w:eastAsia="Times New Roman" w:hAnsiTheme="majorBidi" w:cstheme="majorBidi"/>
          <w:color w:val="222222"/>
          <w:sz w:val="24"/>
          <w:szCs w:val="24"/>
        </w:rPr>
        <w:t>2</w:t>
      </w:r>
      <w:r w:rsidR="00B81D7A">
        <w:rPr>
          <w:rFonts w:asciiTheme="majorBidi" w:eastAsia="Times New Roman" w:hAnsiTheme="majorBidi" w:cstheme="majorBidi"/>
          <w:color w:val="222222"/>
          <w:sz w:val="24"/>
          <w:szCs w:val="24"/>
        </w:rPr>
        <w:t>9</w:t>
      </w:r>
      <w:r w:rsidRPr="007F51E5">
        <w:rPr>
          <w:rFonts w:asciiTheme="majorBidi" w:eastAsia="Times New Roman" w:hAnsiTheme="majorBidi" w:cstheme="majorBidi"/>
          <w:color w:val="222222"/>
          <w:sz w:val="24"/>
          <w:szCs w:val="24"/>
        </w:rPr>
        <w:t>, 202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6</w:t>
      </w:r>
    </w:p>
    <w:p w14:paraId="3CF8C15F" w14:textId="77777777" w:rsidR="000833B5" w:rsidRPr="00043531" w:rsidRDefault="000833B5" w:rsidP="00043531">
      <w:pPr>
        <w:rPr>
          <w:rFonts w:ascii="Times New Roman" w:eastAsia="Times New Roman" w:hAnsi="Times New Roman" w:cs="Times New Roman"/>
          <w:sz w:val="24"/>
          <w:szCs w:val="24"/>
        </w:rPr>
      </w:pP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Subject: 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Resubmit</w:t>
      </w: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 “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Bugs Pay for Days of Steady Reservoir Releases to Reduce Hydrop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eaking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-Ecosystem conflict</w:t>
      </w: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”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 - </w:t>
      </w:r>
      <w:r w:rsidRPr="000833B5">
        <w:rPr>
          <w:rFonts w:ascii="Times New Roman" w:eastAsia="Times New Roman" w:hAnsi="Times New Roman" w:cs="Times New Roman"/>
          <w:sz w:val="24"/>
          <w:szCs w:val="24"/>
        </w:rPr>
        <w:t>HYDRO-D-25-00024R1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56D65A5" w14:textId="77777777" w:rsidR="00C6460D" w:rsidRDefault="00C6460D" w:rsidP="000833B5">
      <w:pPr>
        <w:rPr>
          <w:rFonts w:asciiTheme="majorBidi" w:eastAsia="Times New Roman" w:hAnsiTheme="majorBidi" w:cstheme="majorBidi"/>
          <w:color w:val="222222"/>
          <w:sz w:val="24"/>
          <w:szCs w:val="24"/>
        </w:rPr>
      </w:pPr>
    </w:p>
    <w:p w14:paraId="2E1F2B2F" w14:textId="5338CF16" w:rsidR="000833B5" w:rsidRPr="0085745D" w:rsidRDefault="000833B5" w:rsidP="000833B5">
      <w:pPr>
        <w:rPr>
          <w:rFonts w:ascii="Times New Roman" w:eastAsia="Times New Roman" w:hAnsi="Times New Roman" w:cs="Times New Roman"/>
          <w:sz w:val="24"/>
          <w:szCs w:val="24"/>
        </w:rPr>
      </w:pPr>
      <w:r w:rsidRPr="0085745D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Dear Dr. </w:t>
      </w:r>
      <w:r w:rsidRPr="000833B5">
        <w:rPr>
          <w:rFonts w:ascii="Times New Roman" w:eastAsia="Times New Roman" w:hAnsi="Times New Roman" w:cs="Times New Roman"/>
          <w:sz w:val="24"/>
          <w:szCs w:val="24"/>
        </w:rPr>
        <w:t>Philippe Gourbesville</w:t>
      </w:r>
    </w:p>
    <w:p w14:paraId="752A816D" w14:textId="798EFBBA" w:rsidR="005B7C55" w:rsidRPr="00F00896" w:rsidRDefault="000833B5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We are resubmitting the manuscript titled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“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Bugs Pay for Days of Steady Reservoir Releases to Reduce Hydrop</w:t>
      </w:r>
      <w: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eaking</w:t>
      </w:r>
      <w:r w:rsidRPr="00456B9D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>-Ecosystem conflict</w:t>
      </w:r>
      <w:r w:rsidRPr="00812461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” 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by 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Moazzam Rind and David Rosenberg 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for publication in the </w:t>
      </w:r>
      <w:r w:rsidRPr="00987B0A">
        <w:rPr>
          <w:rFonts w:asciiTheme="majorBidi" w:eastAsia="Times New Roman" w:hAnsiTheme="majorBidi" w:cstheme="majorBidi"/>
          <w:i/>
          <w:iCs/>
          <w:color w:val="222222"/>
          <w:sz w:val="24"/>
          <w:szCs w:val="24"/>
        </w:rPr>
        <w:t xml:space="preserve">Journal </w:t>
      </w:r>
      <w:r>
        <w:rPr>
          <w:rFonts w:asciiTheme="majorBidi" w:eastAsia="Times New Roman" w:hAnsiTheme="majorBidi" w:cstheme="majorBidi"/>
          <w:i/>
          <w:iCs/>
          <w:color w:val="222222"/>
          <w:sz w:val="24"/>
          <w:szCs w:val="24"/>
        </w:rPr>
        <w:t>of Hydroinformatics</w:t>
      </w:r>
      <w:r w:rsidRPr="00812461">
        <w:rPr>
          <w:rFonts w:asciiTheme="majorBidi" w:eastAsia="Times New Roman" w:hAnsiTheme="majorBidi" w:cstheme="majorBidi"/>
          <w:color w:val="222222"/>
          <w:sz w:val="24"/>
          <w:szCs w:val="24"/>
        </w:rPr>
        <w:t>.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We appreciate the last reviewer’s feedback</w:t>
      </w:r>
      <w:r w:rsidR="00DF3C04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about using more recent energy prices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. </w:t>
      </w:r>
      <w:r w:rsidR="006F510C">
        <w:rPr>
          <w:rFonts w:asciiTheme="majorBidi" w:eastAsia="Times New Roman" w:hAnsiTheme="majorBidi" w:cstheme="majorBidi"/>
          <w:color w:val="222222"/>
          <w:sz w:val="24"/>
          <w:szCs w:val="24"/>
        </w:rPr>
        <w:t>Using estimated 2024 energy prices, w</w:t>
      </w:r>
      <w:r w:rsidR="006053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e </w:t>
      </w:r>
      <w:r w:rsidR="00DF3C04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re-did </w:t>
      </w:r>
      <w:r w:rsidR="00997BB5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most of </w:t>
      </w:r>
      <w:r w:rsidR="00DF3C04">
        <w:rPr>
          <w:rFonts w:asciiTheme="majorBidi" w:eastAsia="Times New Roman" w:hAnsiTheme="majorBidi" w:cstheme="majorBidi"/>
          <w:color w:val="222222"/>
          <w:sz w:val="24"/>
          <w:szCs w:val="24"/>
        </w:rPr>
        <w:t>our modeling, analysis</w:t>
      </w:r>
      <w:r w:rsidR="002F5376">
        <w:rPr>
          <w:rFonts w:asciiTheme="majorBidi" w:eastAsia="Times New Roman" w:hAnsiTheme="majorBidi" w:cstheme="majorBidi"/>
          <w:color w:val="222222"/>
          <w:sz w:val="24"/>
          <w:szCs w:val="24"/>
        </w:rPr>
        <w:t>, and write up</w:t>
      </w:r>
      <w:r w:rsidR="007D59E0">
        <w:rPr>
          <w:rFonts w:asciiTheme="majorBidi" w:eastAsia="Times New Roman" w:hAnsiTheme="majorBidi" w:cstheme="majorBidi"/>
          <w:color w:val="222222"/>
          <w:sz w:val="24"/>
          <w:szCs w:val="24"/>
        </w:rPr>
        <w:t>. We</w:t>
      </w:r>
      <w:r w:rsidR="006F510C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additionally added sensitivity analysis that drew on our prior work with 2014 energy prices</w:t>
      </w:r>
      <w:r w:rsidR="002F5376">
        <w:rPr>
          <w:rFonts w:asciiTheme="majorBidi" w:eastAsia="Times New Roman" w:hAnsiTheme="majorBidi" w:cstheme="majorBidi"/>
          <w:color w:val="222222"/>
          <w:sz w:val="24"/>
          <w:szCs w:val="24"/>
        </w:rPr>
        <w:t>.</w:t>
      </w:r>
      <w:r w:rsidR="00582B7F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While the switch from 2014 to 2024 energy prices </w:t>
      </w:r>
      <w:r w:rsidR="009D01AA" w:rsidRPr="00F00896">
        <w:rPr>
          <w:rFonts w:asciiTheme="majorBidi" w:eastAsia="Times New Roman" w:hAnsiTheme="majorBidi" w:cstheme="majorBidi"/>
          <w:sz w:val="24"/>
          <w:szCs w:val="24"/>
        </w:rPr>
        <w:t xml:space="preserve">changed the </w:t>
      </w:r>
      <w:r w:rsidR="005B7C55" w:rsidRPr="00F00896">
        <w:rPr>
          <w:rFonts w:asciiTheme="majorBidi" w:eastAsia="Times New Roman" w:hAnsiTheme="majorBidi" w:cstheme="majorBidi"/>
          <w:sz w:val="24"/>
          <w:szCs w:val="24"/>
        </w:rPr>
        <w:t xml:space="preserve">details of some results,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ultimately, the </w:t>
      </w:r>
      <w:r w:rsidR="003732B8">
        <w:rPr>
          <w:rFonts w:asciiTheme="majorBidi" w:eastAsia="Times New Roman" w:hAnsiTheme="majorBidi" w:cstheme="majorBidi"/>
          <w:sz w:val="24"/>
          <w:szCs w:val="24"/>
        </w:rPr>
        <w:t xml:space="preserve">paper’s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main findings</w:t>
      </w:r>
      <w:r w:rsidR="00FB5E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D1A09">
        <w:rPr>
          <w:rFonts w:asciiTheme="majorBidi" w:eastAsia="Times New Roman" w:hAnsiTheme="majorBidi" w:cstheme="majorBidi"/>
          <w:sz w:val="24"/>
          <w:szCs w:val="24"/>
        </w:rPr>
        <w:t>still stand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453AFD08" w14:textId="77777777" w:rsidR="005B7C55" w:rsidRPr="00F00896" w:rsidRDefault="005B7C55" w:rsidP="005B7C55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sz w:val="24"/>
          <w:szCs w:val="24"/>
        </w:rPr>
      </w:pPr>
      <w:r w:rsidRPr="00F00896">
        <w:rPr>
          <w:rFonts w:asciiTheme="majorBidi" w:eastAsia="Times New Roman" w:hAnsiTheme="majorBidi" w:cstheme="majorBidi"/>
          <w:sz w:val="24"/>
          <w:szCs w:val="24"/>
        </w:rPr>
        <w:t>S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hapes of tradeoff curves for hydropeaking value versus number of days of steady low reservoir releases, </w:t>
      </w:r>
    </w:p>
    <w:p w14:paraId="4E010152" w14:textId="42B08DF1" w:rsidR="00F00896" w:rsidRPr="00F00896" w:rsidRDefault="00F00896" w:rsidP="005B7C55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sz w:val="24"/>
          <w:szCs w:val="24"/>
        </w:rPr>
      </w:pPr>
      <w:r w:rsidRPr="00F00896">
        <w:rPr>
          <w:rFonts w:asciiTheme="majorBidi" w:eastAsia="Times New Roman" w:hAnsiTheme="majorBidi" w:cstheme="majorBidi"/>
          <w:sz w:val="24"/>
          <w:szCs w:val="24"/>
        </w:rPr>
        <w:t>N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ew </w:t>
      </w:r>
      <w:r w:rsidRPr="00F00896">
        <w:rPr>
          <w:rFonts w:asciiTheme="majorBidi" w:eastAsia="Times New Roman" w:hAnsiTheme="majorBidi" w:cstheme="majorBidi"/>
          <w:sz w:val="24"/>
          <w:szCs w:val="24"/>
        </w:rPr>
        <w:t xml:space="preserve">financial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 xml:space="preserve">instrument </w:t>
      </w:r>
      <w:r w:rsidRPr="00F00896">
        <w:rPr>
          <w:rFonts w:asciiTheme="majorBidi" w:eastAsia="Times New Roman" w:hAnsiTheme="majorBidi" w:cstheme="majorBidi"/>
          <w:sz w:val="24"/>
          <w:szCs w:val="24"/>
        </w:rPr>
        <w:t xml:space="preserve">can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reduce hydropeaking-ecosystem conflict</w:t>
      </w:r>
      <w:r w:rsidR="00106B27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91EE4A5" w14:textId="77777777" w:rsidR="00D7549C" w:rsidRPr="00FB5E4F" w:rsidRDefault="00F00896" w:rsidP="005B7C55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F00896">
        <w:rPr>
          <w:rFonts w:asciiTheme="majorBidi" w:eastAsia="Times New Roman" w:hAnsiTheme="majorBidi" w:cstheme="majorBidi"/>
          <w:sz w:val="24"/>
          <w:szCs w:val="24"/>
        </w:rPr>
        <w:t xml:space="preserve">There are </w:t>
      </w:r>
      <w:r w:rsidR="00307091" w:rsidRPr="00F00896">
        <w:rPr>
          <w:rFonts w:asciiTheme="majorBidi" w:eastAsia="Times New Roman" w:hAnsiTheme="majorBidi" w:cstheme="majorBidi"/>
          <w:sz w:val="24"/>
          <w:szCs w:val="24"/>
        </w:rPr>
        <w:t>potential benefits for new experiments to switch days of steady low reservoir releases in July and August to spring/fall months</w:t>
      </w:r>
      <w:r w:rsidR="00307091" w:rsidRPr="005B7C55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5D3CAA69" w14:textId="22F7BE8E" w:rsidR="00FB5E4F" w:rsidRPr="00FB5E4F" w:rsidRDefault="00EE1E1C" w:rsidP="00FB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The limitations and </w:t>
      </w:r>
      <w:r w:rsidR="00A22B70">
        <w:rPr>
          <w:rFonts w:asciiTheme="majorBidi" w:eastAsia="Times New Roman" w:hAnsiTheme="majorBidi" w:cstheme="majorBidi"/>
          <w:color w:val="222222"/>
          <w:sz w:val="24"/>
          <w:szCs w:val="24"/>
        </w:rPr>
        <w:t>listed in the prior submission also still stand:</w:t>
      </w:r>
    </w:p>
    <w:p w14:paraId="0D25182B" w14:textId="0A423CC2" w:rsidR="00D7549C" w:rsidRPr="00D7549C" w:rsidRDefault="00D7549C" w:rsidP="00D7549C">
      <w:pPr>
        <w:pStyle w:val="ListParagraph"/>
        <w:numPr>
          <w:ilvl w:val="0"/>
          <w:numId w:val="1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7549C">
        <w:rPr>
          <w:rFonts w:asciiTheme="majorBidi" w:eastAsia="Times New Roman" w:hAnsiTheme="majorBidi" w:cstheme="majorBidi"/>
          <w:sz w:val="24"/>
          <w:szCs w:val="24"/>
        </w:rPr>
        <w:t>We acknowledge that future energy prices may change the magnitude of reported hydropeaking values, lost value per day of steady low releases, and ecosystem budget</w:t>
      </w:r>
      <w:r w:rsidR="00106B27">
        <w:rPr>
          <w:rFonts w:asciiTheme="majorBidi" w:eastAsia="Times New Roman" w:hAnsiTheme="majorBidi" w:cstheme="majorBidi"/>
          <w:sz w:val="24"/>
          <w:szCs w:val="24"/>
        </w:rPr>
        <w:t>.</w:t>
      </w:r>
      <w:r w:rsidRPr="00D7549C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8D63819" w14:textId="17F5E02F" w:rsidR="006F510C" w:rsidRPr="00D7549C" w:rsidRDefault="00D7549C" w:rsidP="00D7549C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D7549C">
        <w:rPr>
          <w:rFonts w:asciiTheme="majorBidi" w:eastAsia="Times New Roman" w:hAnsiTheme="majorBidi" w:cstheme="majorBidi"/>
          <w:sz w:val="24"/>
          <w:szCs w:val="24"/>
        </w:rPr>
        <w:t>When planning a new round of bug flow experiments, use the most recent hydropower prices.</w:t>
      </w:r>
    </w:p>
    <w:p w14:paraId="7CC88376" w14:textId="750B78AD" w:rsidR="000833B5" w:rsidRDefault="002F5376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We</w:t>
      </w:r>
      <w:r w:rsidR="00997BB5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r w:rsidR="006053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believe we have addressed </w:t>
      </w:r>
      <w:r w:rsidR="00605323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all </w:t>
      </w:r>
      <w:r w:rsidR="006053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reviewer comments. </w:t>
      </w:r>
      <w:r w:rsidR="00D854FD">
        <w:rPr>
          <w:rFonts w:asciiTheme="majorBidi" w:eastAsia="Times New Roman" w:hAnsiTheme="majorBidi" w:cstheme="majorBidi"/>
          <w:color w:val="222222"/>
          <w:sz w:val="24"/>
          <w:szCs w:val="24"/>
        </w:rPr>
        <w:t>Below, r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eviewer comments are in </w:t>
      </w:r>
      <w:r w:rsidR="00E6514E" w:rsidRPr="00C01550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</w:rPr>
        <w:t xml:space="preserve">bold 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black and our </w:t>
      </w:r>
      <w:r w:rsidR="00E6514E">
        <w:rPr>
          <w:rFonts w:asciiTheme="majorBidi" w:eastAsia="Times New Roman" w:hAnsiTheme="majorBidi" w:cstheme="majorBidi"/>
          <w:color w:val="222222"/>
          <w:sz w:val="24"/>
          <w:szCs w:val="24"/>
        </w:rPr>
        <w:t>responses are in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r w:rsidR="00E6514E" w:rsidRPr="00C01550">
        <w:rPr>
          <w:rFonts w:asciiTheme="majorBidi" w:eastAsia="Times New Roman" w:hAnsiTheme="majorBidi" w:cstheme="majorBidi"/>
          <w:color w:val="7030A0"/>
          <w:sz w:val="24"/>
          <w:szCs w:val="24"/>
        </w:rPr>
        <w:t>purple</w:t>
      </w:r>
      <w:r w:rsidR="00E6514E" w:rsidRPr="00C01550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. </w:t>
      </w:r>
    </w:p>
    <w:p w14:paraId="4FFD43C1" w14:textId="77777777" w:rsidR="00DF3C04" w:rsidRDefault="00DF3C04" w:rsidP="00DF3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Moazzam Rind</w:t>
      </w:r>
    </w:p>
    <w:p w14:paraId="421D11DD" w14:textId="77777777" w:rsidR="00DF3C04" w:rsidRPr="00043531" w:rsidRDefault="00DF3C04" w:rsidP="00DF3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>David Rosenberg</w:t>
      </w:r>
    </w:p>
    <w:p w14:paraId="6A68BA94" w14:textId="77777777" w:rsidR="00DF3C04" w:rsidRDefault="00DF3C04" w:rsidP="000833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222222"/>
          <w:sz w:val="24"/>
          <w:szCs w:val="24"/>
        </w:rPr>
      </w:pPr>
    </w:p>
    <w:p w14:paraId="33683A75" w14:textId="77777777" w:rsidR="00E6514E" w:rsidRDefault="00E6514E" w:rsidP="00E6514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651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Energy prices uncertainty: The use of 2014 energy prices represents a starting point for the analyses. The authors should either update the prices or more explicitly quantify the uncertainty introduced by using decade-old pricing data - a lot has happened since then.</w:t>
      </w:r>
    </w:p>
    <w:p w14:paraId="7BA33879" w14:textId="77777777" w:rsidR="00DE6BE3" w:rsidRDefault="00DE6BE3" w:rsidP="00DE6BE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C2CC792" w14:textId="29F321C3" w:rsidR="00BD690D" w:rsidRDefault="00043531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04353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</w:t>
      </w:r>
      <w:r w:rsidR="00A73045">
        <w:rPr>
          <w:rFonts w:asciiTheme="majorBidi" w:eastAsia="Times New Roman" w:hAnsiTheme="majorBidi" w:cstheme="majorBidi"/>
          <w:color w:val="7030A0"/>
          <w:sz w:val="24"/>
          <w:szCs w:val="24"/>
        </w:rPr>
        <w:t>have updated our analysis with more recent energy prices</w:t>
      </w:r>
      <w:r w:rsidRPr="00043531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  <w:r w:rsidR="003838B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We 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>continue to</w:t>
      </w:r>
      <w:r w:rsidR="003838B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use the 20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14 </w:t>
      </w:r>
      <w:r w:rsidR="00AC16F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price data </w:t>
      </w:r>
      <w:r w:rsidR="00AC16F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that </w:t>
      </w:r>
      <w:r w:rsidR="0003658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hydropower managers shared early in the project </w:t>
      </w:r>
      <w:r w:rsidR="004E52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for model validation (hereafter, “2014 </w:t>
      </w:r>
      <w:r w:rsidR="00382D9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="004E52F1">
        <w:rPr>
          <w:rFonts w:asciiTheme="majorBidi" w:eastAsia="Times New Roman" w:hAnsiTheme="majorBidi" w:cstheme="majorBidi"/>
          <w:color w:val="7030A0"/>
          <w:sz w:val="24"/>
          <w:szCs w:val="24"/>
        </w:rPr>
        <w:t>prices”</w:t>
      </w:r>
      <w:r w:rsidR="00382D90">
        <w:rPr>
          <w:rFonts w:asciiTheme="majorBidi" w:eastAsia="Times New Roman" w:hAnsiTheme="majorBidi" w:cstheme="majorBidi"/>
          <w:color w:val="7030A0"/>
          <w:sz w:val="24"/>
          <w:szCs w:val="24"/>
        </w:rPr>
        <w:t>)</w:t>
      </w:r>
      <w:r w:rsidR="00A75B92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and for one sensitivity analysis</w:t>
      </w:r>
      <w:r w:rsidR="00B51E7B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07D41F63" w14:textId="77777777" w:rsidR="00BD690D" w:rsidRDefault="00BD690D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243E2466" w14:textId="1360EA42" w:rsidR="000A4C90" w:rsidRDefault="00B51E7B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</w:t>
      </w:r>
      <w:r w:rsidR="00DA2F88">
        <w:rPr>
          <w:rFonts w:asciiTheme="majorBidi" w:eastAsia="Times New Roman" w:hAnsiTheme="majorBidi" w:cstheme="majorBidi"/>
          <w:color w:val="7030A0"/>
          <w:sz w:val="24"/>
          <w:szCs w:val="24"/>
        </w:rPr>
        <w:t>now use</w:t>
      </w:r>
      <w:r w:rsidR="00B41CD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D633A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estimated </w:t>
      </w:r>
      <w:r w:rsidR="00B41CD0">
        <w:rPr>
          <w:rFonts w:asciiTheme="majorBidi" w:eastAsia="Times New Roman" w:hAnsiTheme="majorBidi" w:cstheme="majorBidi"/>
          <w:color w:val="7030A0"/>
          <w:sz w:val="24"/>
          <w:szCs w:val="24"/>
        </w:rPr>
        <w:t>2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024 </w:t>
      </w:r>
      <w:r w:rsidR="009448F4">
        <w:rPr>
          <w:rFonts w:asciiTheme="majorBidi" w:eastAsia="Times New Roman" w:hAnsiTheme="majorBidi" w:cstheme="majorBidi"/>
          <w:color w:val="7030A0"/>
          <w:sz w:val="24"/>
          <w:szCs w:val="24"/>
        </w:rPr>
        <w:t>energy prices</w:t>
      </w:r>
      <w:r w:rsidR="00DA2F8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for the remainder of the modeling</w:t>
      </w:r>
      <w:r w:rsidR="002C48E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, </w:t>
      </w:r>
      <w:r w:rsidR="00456A9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results, </w:t>
      </w:r>
      <w:r w:rsidR="00042F91">
        <w:rPr>
          <w:rFonts w:asciiTheme="majorBidi" w:eastAsia="Times New Roman" w:hAnsiTheme="majorBidi" w:cstheme="majorBidi"/>
          <w:color w:val="7030A0"/>
          <w:sz w:val="24"/>
          <w:szCs w:val="24"/>
        </w:rPr>
        <w:t>analysis</w:t>
      </w:r>
      <w:r w:rsidR="002C48E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, </w:t>
      </w:r>
      <w:r w:rsidR="006C0B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management recommendations, and </w:t>
      </w:r>
      <w:r w:rsidR="002C48EA">
        <w:rPr>
          <w:rFonts w:asciiTheme="majorBidi" w:eastAsia="Times New Roman" w:hAnsiTheme="majorBidi" w:cstheme="majorBidi"/>
          <w:color w:val="7030A0"/>
          <w:sz w:val="24"/>
          <w:szCs w:val="24"/>
        </w:rPr>
        <w:t>discussion</w:t>
      </w:r>
      <w:r w:rsidR="00042F9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. </w:t>
      </w:r>
      <w:r w:rsidR="009C391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2024 energy prices were </w:t>
      </w:r>
      <w:r w:rsidR="00DF1827">
        <w:rPr>
          <w:rFonts w:asciiTheme="majorBidi" w:eastAsia="Times New Roman" w:hAnsiTheme="majorBidi" w:cstheme="majorBidi"/>
          <w:color w:val="7030A0"/>
          <w:sz w:val="24"/>
          <w:szCs w:val="24"/>
        </w:rPr>
        <w:t>estimated</w:t>
      </w:r>
      <w:r w:rsidR="009C3914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CB3FB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from energy value and </w:t>
      </w:r>
      <w:r w:rsidR="006E5135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="00CB3FB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generation data </w:t>
      </w:r>
      <w:r w:rsidR="00A30B6C" w:rsidRPr="00A30B6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Interior </w:t>
      </w:r>
      <w:r w:rsidR="00E75CC7">
        <w:rPr>
          <w:rFonts w:asciiTheme="majorBidi" w:eastAsia="Times New Roman" w:hAnsiTheme="majorBidi" w:cstheme="majorBidi"/>
          <w:color w:val="7030A0"/>
          <w:sz w:val="24"/>
          <w:szCs w:val="24"/>
        </w:rPr>
        <w:t>used in a</w:t>
      </w:r>
      <w:r w:rsidR="00A30B6C" w:rsidRPr="00A30B6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supplemental EIS in spring 2024 to allow for water releases through Glen Canyon Dam’s low-level outlets—no hydropower generation—in summer and fall of 2024 to 2026 to lower release temperature with the goal to disrupt spawning of small mouth bass</w:t>
      </w:r>
      <w:r w:rsidR="00E75CC7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. </w:t>
      </w:r>
      <w:r w:rsidR="002E25E2">
        <w:rPr>
          <w:rFonts w:asciiTheme="majorBidi" w:eastAsia="Times New Roman" w:hAnsiTheme="majorBidi" w:cstheme="majorBidi"/>
          <w:color w:val="7030A0"/>
          <w:sz w:val="24"/>
          <w:szCs w:val="24"/>
        </w:rPr>
        <w:t>Since the work supporting the supplemental EIS did not share the underlying energy prices, w</w:t>
      </w:r>
      <w:r w:rsidR="00AE240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 </w:t>
      </w:r>
      <w:r w:rsidR="00DF1827">
        <w:rPr>
          <w:rFonts w:asciiTheme="majorBidi" w:eastAsia="Times New Roman" w:hAnsiTheme="majorBidi" w:cstheme="majorBidi"/>
          <w:color w:val="7030A0"/>
          <w:sz w:val="24"/>
          <w:szCs w:val="24"/>
        </w:rPr>
        <w:t>estimated</w:t>
      </w:r>
      <w:r w:rsidR="00AE240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energy prices by dividing </w:t>
      </w:r>
      <w:r w:rsidR="00BE6A2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reported </w:t>
      </w:r>
      <w:r w:rsidR="00AE240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value ($) by </w:t>
      </w:r>
      <w:r w:rsidR="00BE6A2D">
        <w:rPr>
          <w:rFonts w:asciiTheme="majorBidi" w:eastAsia="Times New Roman" w:hAnsiTheme="majorBidi" w:cstheme="majorBidi"/>
          <w:color w:val="7030A0"/>
          <w:sz w:val="24"/>
          <w:szCs w:val="24"/>
        </w:rPr>
        <w:t>generation (MW-hours</w:t>
      </w:r>
      <w:r w:rsidR="00442ACC">
        <w:rPr>
          <w:rFonts w:asciiTheme="majorBidi" w:eastAsia="Times New Roman" w:hAnsiTheme="majorBidi" w:cstheme="majorBidi"/>
          <w:color w:val="7030A0"/>
          <w:sz w:val="24"/>
          <w:szCs w:val="24"/>
        </w:rPr>
        <w:t>; hereafter “2024 energy prices”</w:t>
      </w:r>
      <w:r w:rsidR="00BE6A2D">
        <w:rPr>
          <w:rFonts w:asciiTheme="majorBidi" w:eastAsia="Times New Roman" w:hAnsiTheme="majorBidi" w:cstheme="majorBidi"/>
          <w:color w:val="7030A0"/>
          <w:sz w:val="24"/>
          <w:szCs w:val="24"/>
        </w:rPr>
        <w:t>).</w:t>
      </w:r>
    </w:p>
    <w:p w14:paraId="3C1E58C0" w14:textId="77777777" w:rsidR="002F6C92" w:rsidRDefault="002F6C92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7E8A79F" w14:textId="77777777" w:rsidR="00440DAF" w:rsidRDefault="002F6C92" w:rsidP="002F6C92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We also added a scenario that represented a</w:t>
      </w:r>
      <w:r w:rsidR="00440DAF">
        <w:rPr>
          <w:rFonts w:asciiTheme="majorBidi" w:eastAsia="Times New Roman" w:hAnsiTheme="majorBidi" w:cstheme="majorBidi"/>
          <w:color w:val="7030A0"/>
          <w:sz w:val="24"/>
          <w:szCs w:val="24"/>
        </w:rPr>
        <w:t>:</w:t>
      </w:r>
    </w:p>
    <w:p w14:paraId="54DE7C96" w14:textId="77777777" w:rsidR="00440DAF" w:rsidRDefault="00440DAF" w:rsidP="002F6C92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B96810C" w14:textId="77757F51" w:rsidR="000A4C90" w:rsidRDefault="00440DAF" w:rsidP="00440DAF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0A4C90"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tatic increase of $5/MWh </w:t>
      </w:r>
      <w:r w:rsidR="00C1748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price </w:t>
      </w:r>
      <w:r w:rsidR="001416C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premium </w:t>
      </w:r>
      <w:r w:rsidR="000A4C90"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above average 2024 energy prices on all days and all periods that could indicate a $40/MWh price spike for 2 hours that day, $80/MWh price spike for 1 hour that day, or a $200/MWh price spike for 2 weekday on-peak hours that week.</w:t>
      </w:r>
    </w:p>
    <w:p w14:paraId="1DA64A6D" w14:textId="77777777" w:rsidR="00440DAF" w:rsidRPr="00440DAF" w:rsidRDefault="00440DAF" w:rsidP="00993FF7">
      <w:p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27E16B86" w14:textId="06CDEAA8" w:rsidR="000A4C90" w:rsidRPr="000A4C90" w:rsidRDefault="000A4C90" w:rsidP="000A4C90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We additionally performed 2 sensitivity analyses:</w:t>
      </w:r>
    </w:p>
    <w:p w14:paraId="31468783" w14:textId="77777777" w:rsidR="00440DAF" w:rsidRDefault="00440DAF" w:rsidP="000A4C90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4BD65693" w14:textId="7EA54DD1" w:rsidR="00440DAF" w:rsidRDefault="000A4C90" w:rsidP="00440DAF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Static increase of $30/MWh</w:t>
      </w:r>
      <w:r w:rsidR="001416C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pr</w:t>
      </w:r>
      <w:r w:rsidR="00367F7B">
        <w:rPr>
          <w:rFonts w:asciiTheme="majorBidi" w:eastAsia="Times New Roman" w:hAnsiTheme="majorBidi" w:cstheme="majorBidi"/>
          <w:color w:val="7030A0"/>
          <w:sz w:val="24"/>
          <w:szCs w:val="24"/>
        </w:rPr>
        <w:t>e</w:t>
      </w:r>
      <w:r w:rsidR="001416CC">
        <w:rPr>
          <w:rFonts w:asciiTheme="majorBidi" w:eastAsia="Times New Roman" w:hAnsiTheme="majorBidi" w:cstheme="majorBidi"/>
          <w:color w:val="7030A0"/>
          <w:sz w:val="24"/>
          <w:szCs w:val="24"/>
        </w:rPr>
        <w:t>mium</w:t>
      </w: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above average 2024 </w:t>
      </w:r>
      <w:r w:rsidR="005B332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energy </w:t>
      </w:r>
      <w:r w:rsidRPr="000A4C90">
        <w:rPr>
          <w:rFonts w:asciiTheme="majorBidi" w:eastAsia="Times New Roman" w:hAnsiTheme="majorBidi" w:cstheme="majorBidi"/>
          <w:color w:val="7030A0"/>
          <w:sz w:val="24"/>
          <w:szCs w:val="24"/>
        </w:rPr>
        <w:t>prices on all days and all periods that could indicate price spikes of $240/MWh for 2 on-peak hours per day or $1,200/MWh price spikes for 2 on-peak weekday hours per week.</w:t>
      </w:r>
    </w:p>
    <w:p w14:paraId="4DB12D56" w14:textId="695C10D8" w:rsidR="000A4C90" w:rsidRPr="00440DAF" w:rsidRDefault="000A4C90" w:rsidP="00440DAF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440DAF">
        <w:rPr>
          <w:rFonts w:asciiTheme="majorBidi" w:eastAsia="Times New Roman" w:hAnsiTheme="majorBidi" w:cstheme="majorBidi"/>
          <w:color w:val="7030A0"/>
          <w:sz w:val="24"/>
          <w:szCs w:val="24"/>
        </w:rPr>
        <w:t>Static increase of $5/MWh above average 2014 contract prices on all days and all periods</w:t>
      </w:r>
      <w:r w:rsidR="008D2DE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(i.e., </w:t>
      </w:r>
      <w:r w:rsidR="006C7236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scenarios we ran in the prior </w:t>
      </w:r>
      <w:r w:rsidR="006A0697">
        <w:rPr>
          <w:rFonts w:asciiTheme="majorBidi" w:eastAsia="Times New Roman" w:hAnsiTheme="majorBidi" w:cstheme="majorBidi"/>
          <w:color w:val="7030A0"/>
          <w:sz w:val="24"/>
          <w:szCs w:val="24"/>
        </w:rPr>
        <w:t>submission</w:t>
      </w:r>
      <w:r w:rsidR="006C7236">
        <w:rPr>
          <w:rFonts w:asciiTheme="majorBidi" w:eastAsia="Times New Roman" w:hAnsiTheme="majorBidi" w:cstheme="majorBidi"/>
          <w:color w:val="7030A0"/>
          <w:sz w:val="24"/>
          <w:szCs w:val="24"/>
        </w:rPr>
        <w:t>)</w:t>
      </w:r>
      <w:r w:rsidRPr="00440DAF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152C76F1" w14:textId="77777777" w:rsidR="00AB79BB" w:rsidRDefault="00AB79BB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5FD318D5" w14:textId="374C5791" w:rsidR="00993FF7" w:rsidRPr="004076C4" w:rsidRDefault="00993FF7" w:rsidP="00993FF7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edited/added text in Sections 3.1 (Engagement), 3.8 (Input Data), and 3.11 (Scenarios), and Supplemental Text S1 (Energy Prices) to further describe all of the above, including details on the </w:t>
      </w:r>
      <w:r w:rsidR="006C7236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estimation and use of the 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2014 and 2024 energy pricing data sets.</w:t>
      </w:r>
    </w:p>
    <w:p w14:paraId="36BF314D" w14:textId="77777777" w:rsidR="00993FF7" w:rsidRDefault="00993FF7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2110C77" w14:textId="2E432A07" w:rsidR="00AA31F4" w:rsidRDefault="000466B6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We also </w:t>
      </w:r>
      <w:r w:rsidR="006A763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updated </w:t>
      </w:r>
      <w:r w:rsidR="00B11C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</w:t>
      </w:r>
      <w:r w:rsidR="006A763E">
        <w:rPr>
          <w:rFonts w:asciiTheme="majorBidi" w:eastAsia="Times New Roman" w:hAnsiTheme="majorBidi" w:cstheme="majorBidi"/>
          <w:color w:val="7030A0"/>
          <w:sz w:val="24"/>
          <w:szCs w:val="24"/>
        </w:rPr>
        <w:t>modeling</w:t>
      </w:r>
      <w:r w:rsidR="00065B3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B11C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analysis </w:t>
      </w:r>
      <w:r w:rsidR="00065B3D">
        <w:rPr>
          <w:rFonts w:asciiTheme="majorBidi" w:eastAsia="Times New Roman" w:hAnsiTheme="majorBidi" w:cstheme="majorBidi"/>
          <w:color w:val="7030A0"/>
          <w:sz w:val="24"/>
          <w:szCs w:val="24"/>
        </w:rPr>
        <w:t>using the 2024 energy prices</w:t>
      </w:r>
      <w:r w:rsidR="00B11C5D">
        <w:rPr>
          <w:rFonts w:asciiTheme="majorBidi" w:eastAsia="Times New Roman" w:hAnsiTheme="majorBidi" w:cstheme="majorBidi"/>
          <w:color w:val="7030A0"/>
          <w:sz w:val="24"/>
          <w:szCs w:val="24"/>
        </w:rPr>
        <w:t>. These updates include</w:t>
      </w:r>
      <w:r w:rsidR="00AA31F4">
        <w:rPr>
          <w:rFonts w:asciiTheme="majorBidi" w:eastAsia="Times New Roman" w:hAnsiTheme="majorBidi" w:cstheme="majorBidi"/>
          <w:color w:val="7030A0"/>
          <w:sz w:val="24"/>
          <w:szCs w:val="24"/>
        </w:rPr>
        <w:t>:</w:t>
      </w:r>
    </w:p>
    <w:p w14:paraId="76289117" w14:textId="77777777" w:rsidR="002C48EA" w:rsidRDefault="002C48EA" w:rsidP="003838B4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AAFE16D" w14:textId="77777777" w:rsidR="00AA31F4" w:rsidRDefault="00AA31F4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T</w:t>
      </w:r>
      <w:r w:rsidR="00173061">
        <w:rPr>
          <w:rFonts w:asciiTheme="majorBidi" w:eastAsia="Times New Roman" w:hAnsiTheme="majorBidi" w:cstheme="majorBidi"/>
          <w:color w:val="7030A0"/>
          <w:sz w:val="24"/>
          <w:szCs w:val="24"/>
        </w:rPr>
        <w:t>radeoff curves</w:t>
      </w:r>
      <w:r w:rsidR="001813D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for different monthly release volumes</w:t>
      </w:r>
      <w:r w:rsidR="0017306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(Figure 4)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60C2381B" w14:textId="46C421CD" w:rsidR="00AA31F4" w:rsidRDefault="00AA31F4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C</w:t>
      </w:r>
      <w:r w:rsidR="001813D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omparison of tradeoffs for contract and market </w:t>
      </w:r>
      <w:r w:rsidR="002918E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premium </w:t>
      </w:r>
      <w:r w:rsidR="001813D1">
        <w:rPr>
          <w:rFonts w:asciiTheme="majorBidi" w:eastAsia="Times New Roman" w:hAnsiTheme="majorBidi" w:cstheme="majorBidi"/>
          <w:color w:val="7030A0"/>
          <w:sz w:val="24"/>
          <w:szCs w:val="24"/>
        </w:rPr>
        <w:t>prices (Figure 5)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353B8364" w14:textId="0CFD0D19" w:rsidR="00F232F0" w:rsidRDefault="00F232F0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Renamed Section 4.4</w:t>
      </w:r>
      <w:r w:rsidR="002B3045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F67D70">
        <w:rPr>
          <w:rFonts w:asciiTheme="majorBidi" w:eastAsia="Times New Roman" w:hAnsiTheme="majorBidi" w:cstheme="majorBidi"/>
          <w:color w:val="7030A0"/>
          <w:sz w:val="24"/>
          <w:szCs w:val="24"/>
        </w:rPr>
        <w:t>(</w:t>
      </w:r>
      <w:r w:rsidR="002B3045">
        <w:rPr>
          <w:rFonts w:asciiTheme="majorBidi" w:eastAsia="Times New Roman" w:hAnsiTheme="majorBidi" w:cstheme="majorBidi"/>
          <w:color w:val="7030A0"/>
          <w:sz w:val="24"/>
          <w:szCs w:val="24"/>
        </w:rPr>
        <w:t>Costs for Bug Flows with 2024 Energy Prices</w:t>
      </w:r>
      <w:r w:rsidR="00F67D70">
        <w:rPr>
          <w:rFonts w:asciiTheme="majorBidi" w:eastAsia="Times New Roman" w:hAnsiTheme="majorBidi" w:cstheme="majorBidi"/>
          <w:color w:val="7030A0"/>
          <w:sz w:val="24"/>
          <w:szCs w:val="24"/>
        </w:rPr>
        <w:t>)</w:t>
      </w:r>
      <w:r w:rsidR="002B3045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171A7E58" w14:textId="77777777" w:rsidR="00AA31F4" w:rsidRDefault="00AA31F4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lastRenderedPageBreak/>
        <w:t>C</w:t>
      </w:r>
      <w:r w:rsidR="00D90C5C">
        <w:rPr>
          <w:rFonts w:asciiTheme="majorBidi" w:eastAsia="Times New Roman" w:hAnsiTheme="majorBidi" w:cstheme="majorBidi"/>
          <w:color w:val="7030A0"/>
          <w:sz w:val="24"/>
          <w:szCs w:val="24"/>
        </w:rPr>
        <w:t>umulative loss of hydropeaking value per added day of steady release (Table 1)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50275F7B" w14:textId="5DF84AED" w:rsidR="002B3045" w:rsidRDefault="00F67D70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Added new Section 4.5 (Cost S</w:t>
      </w:r>
      <w:r w:rsidR="004A711B">
        <w:rPr>
          <w:rFonts w:asciiTheme="majorBidi" w:eastAsia="Times New Roman" w:hAnsiTheme="majorBidi" w:cstheme="majorBidi"/>
          <w:color w:val="7030A0"/>
          <w:sz w:val="24"/>
          <w:szCs w:val="24"/>
        </w:rPr>
        <w:t>ensitivity to 2014 Energy Prices).</w:t>
      </w:r>
    </w:p>
    <w:p w14:paraId="6A40CB1E" w14:textId="251E8030" w:rsidR="00095BA5" w:rsidRPr="00287067" w:rsidRDefault="00166CAE" w:rsidP="00AA31F4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D560DF">
        <w:rPr>
          <w:rFonts w:ascii="Times New Roman" w:hAnsi="Times New Roman" w:cs="Times New Roman"/>
          <w:color w:val="7030A0"/>
          <w:sz w:val="24"/>
          <w:szCs w:val="24"/>
        </w:rPr>
        <w:t>Budgets for ecosystem managers and e</w:t>
      </w:r>
      <w:r w:rsidR="00095BA5" w:rsidRPr="00D560DF">
        <w:rPr>
          <w:rFonts w:ascii="Times New Roman" w:hAnsi="Times New Roman" w:cs="Times New Roman"/>
          <w:color w:val="7030A0"/>
          <w:sz w:val="24"/>
          <w:szCs w:val="24"/>
        </w:rPr>
        <w:t>xample shifts of days from summer to spring/</w:t>
      </w:r>
      <w:r w:rsidRPr="00D560DF">
        <w:rPr>
          <w:rFonts w:ascii="Times New Roman" w:hAnsi="Times New Roman" w:cs="Times New Roman"/>
          <w:color w:val="7030A0"/>
          <w:sz w:val="24"/>
          <w:szCs w:val="24"/>
        </w:rPr>
        <w:t>fall months (Section 5).</w:t>
      </w:r>
    </w:p>
    <w:p w14:paraId="6B95B1F1" w14:textId="77777777" w:rsidR="00287067" w:rsidRDefault="00287067" w:rsidP="00095BA5">
      <w:p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B82AB66" w14:textId="53BB1E3D" w:rsidR="001E1BD0" w:rsidRDefault="006B1A89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Within the Supplemental, we </w:t>
      </w:r>
      <w:r w:rsidR="00F95C7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updated Figures S11 </w:t>
      </w:r>
      <w:r w:rsidR="00F07E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(Tradeoffs for four offset release scenarios) </w:t>
      </w:r>
      <w:r w:rsidR="00E86DF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and S12 </w:t>
      </w:r>
      <w:r w:rsidR="00F07E5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(sensitivity to price premiums) </w:t>
      </w:r>
      <w:r w:rsidR="00E86DF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to show results </w:t>
      </w:r>
      <w:r w:rsidR="006A7523">
        <w:rPr>
          <w:rFonts w:asciiTheme="majorBidi" w:eastAsia="Times New Roman" w:hAnsiTheme="majorBidi" w:cstheme="majorBidi"/>
          <w:color w:val="7030A0"/>
          <w:sz w:val="24"/>
          <w:szCs w:val="24"/>
        </w:rPr>
        <w:t>that used 2024 energy prices. We also</w:t>
      </w:r>
      <w:r w:rsidR="007453C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added</w:t>
      </w:r>
      <w:r w:rsidR="001E1BD0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: </w:t>
      </w:r>
    </w:p>
    <w:p w14:paraId="1FABD180" w14:textId="77777777" w:rsidR="001E1BD0" w:rsidRDefault="001E1BD0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580DA23C" w14:textId="58C95AF4" w:rsidR="001E1BD0" w:rsidRDefault="001E1BD0" w:rsidP="001E1BD0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Table S7 that </w:t>
      </w:r>
      <w:r w:rsidR="00893AE2">
        <w:rPr>
          <w:rFonts w:asciiTheme="majorBidi" w:eastAsia="Times New Roman" w:hAnsiTheme="majorBidi" w:cstheme="majorBidi"/>
          <w:color w:val="7030A0"/>
          <w:sz w:val="24"/>
          <w:szCs w:val="24"/>
        </w:rPr>
        <w:t>show</w:t>
      </w:r>
      <w:r w:rsidR="003C2B5F"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893AE2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cumulative loss of hydropeaking value using 2014 energy prices (e.g., as a sensitivity analysis). This table was formerly Table 1 in the prior </w:t>
      </w:r>
      <w:r w:rsidR="00D149BD">
        <w:rPr>
          <w:rFonts w:asciiTheme="majorBidi" w:eastAsia="Times New Roman" w:hAnsiTheme="majorBidi" w:cstheme="majorBidi"/>
          <w:color w:val="7030A0"/>
          <w:sz w:val="24"/>
          <w:szCs w:val="24"/>
        </w:rPr>
        <w:t>submission</w:t>
      </w:r>
      <w:r w:rsidR="00893AE2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7B61C588" w14:textId="5F160592" w:rsidR="00893AE2" w:rsidRPr="001E1BD0" w:rsidRDefault="007453CF" w:rsidP="001E1BD0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Table S8 that compares changes in hydropeaking value per additional</w:t>
      </w:r>
      <w:r w:rsidR="00D8033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day of steady low reservoir releases </w:t>
      </w:r>
      <w:r w:rsidR="004C48E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between </w:t>
      </w:r>
      <w:r w:rsidR="00D8033C">
        <w:rPr>
          <w:rFonts w:asciiTheme="majorBidi" w:eastAsia="Times New Roman" w:hAnsiTheme="majorBidi" w:cstheme="majorBidi"/>
          <w:color w:val="7030A0"/>
          <w:sz w:val="24"/>
          <w:szCs w:val="24"/>
        </w:rPr>
        <w:t>the 2024 and 2014 energy price</w:t>
      </w:r>
      <w:r w:rsidR="005410F9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datasets</w:t>
      </w:r>
      <w:r w:rsidR="004C48EF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66C3D173" w14:textId="77777777" w:rsidR="001E1BD0" w:rsidRDefault="001E1BD0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4881CD70" w14:textId="3207D686" w:rsidR="005410F9" w:rsidRDefault="005410F9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</w:t>
      </w:r>
      <w:r w:rsidR="008B5BD9">
        <w:rPr>
          <w:rFonts w:asciiTheme="majorBidi" w:eastAsia="Times New Roman" w:hAnsiTheme="majorBidi" w:cstheme="majorBidi"/>
          <w:color w:val="7030A0"/>
          <w:sz w:val="24"/>
          <w:szCs w:val="24"/>
        </w:rPr>
        <w:t>switch from 2014 to 2024 e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>nergy prices was a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lot of new modeling work that</w:t>
      </w:r>
      <w:r w:rsidR="00813A9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, ultimately, did not change the </w:t>
      </w:r>
      <w:r w:rsidR="001325E2">
        <w:rPr>
          <w:rFonts w:asciiTheme="majorBidi" w:eastAsia="Times New Roman" w:hAnsiTheme="majorBidi" w:cstheme="majorBidi"/>
          <w:color w:val="7030A0"/>
          <w:sz w:val="24"/>
          <w:szCs w:val="24"/>
        </w:rPr>
        <w:t>main findings of the paper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: (i) 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</w:t>
      </w:r>
      <w:r w:rsidR="003D69F4">
        <w:rPr>
          <w:rFonts w:asciiTheme="majorBidi" w:eastAsia="Times New Roman" w:hAnsiTheme="majorBidi" w:cstheme="majorBidi"/>
          <w:color w:val="7030A0"/>
          <w:sz w:val="24"/>
          <w:szCs w:val="24"/>
        </w:rPr>
        <w:t>shapes of tradeoff curve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 for </w:t>
      </w:r>
      <w:r w:rsidR="003D69F4">
        <w:rPr>
          <w:rFonts w:asciiTheme="majorBidi" w:eastAsia="Times New Roman" w:hAnsiTheme="majorBidi" w:cstheme="majorBidi"/>
          <w:color w:val="7030A0"/>
          <w:sz w:val="24"/>
          <w:szCs w:val="24"/>
        </w:rPr>
        <w:t>hydrop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eaking value </w:t>
      </w:r>
      <w:r w:rsidR="003C7C5B">
        <w:rPr>
          <w:rFonts w:asciiTheme="majorBidi" w:eastAsia="Times New Roman" w:hAnsiTheme="majorBidi" w:cstheme="majorBidi"/>
          <w:color w:val="7030A0"/>
          <w:sz w:val="24"/>
          <w:szCs w:val="24"/>
        </w:rPr>
        <w:t>versus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number of days of steady low reservoir releases, (ii) 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a new instrument to reduce 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>h</w:t>
      </w:r>
      <w:r w:rsidR="00B40431">
        <w:rPr>
          <w:rFonts w:asciiTheme="majorBidi" w:eastAsia="Times New Roman" w:hAnsiTheme="majorBidi" w:cstheme="majorBidi"/>
          <w:color w:val="7030A0"/>
          <w:sz w:val="24"/>
          <w:szCs w:val="24"/>
        </w:rPr>
        <w:t>ydropeaking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>-ecosystem conflict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>,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and </w:t>
      </w:r>
      <w:r w:rsidR="00ED679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(iii) potential benefits </w:t>
      </w:r>
      <w:r w:rsidR="00877C9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for </w:t>
      </w:r>
      <w:r w:rsidR="00A62EB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new experiments </w:t>
      </w:r>
      <w:r w:rsidR="00EA52F6">
        <w:rPr>
          <w:rFonts w:asciiTheme="majorBidi" w:eastAsia="Times New Roman" w:hAnsiTheme="majorBidi" w:cstheme="majorBidi"/>
          <w:color w:val="7030A0"/>
          <w:sz w:val="24"/>
          <w:szCs w:val="24"/>
        </w:rPr>
        <w:t>to</w:t>
      </w:r>
      <w:r w:rsidR="00A62EB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switch days of steady low reservoir releases </w:t>
      </w:r>
      <w:r w:rsidR="004F4F88">
        <w:rPr>
          <w:rFonts w:asciiTheme="majorBidi" w:eastAsia="Times New Roman" w:hAnsiTheme="majorBidi" w:cstheme="majorBidi"/>
          <w:color w:val="7030A0"/>
          <w:sz w:val="24"/>
          <w:szCs w:val="24"/>
        </w:rPr>
        <w:t>in July and August to spring/fall months</w:t>
      </w:r>
      <w:r w:rsidR="00DB39F1">
        <w:rPr>
          <w:rFonts w:asciiTheme="majorBidi" w:eastAsia="Times New Roman" w:hAnsiTheme="majorBidi" w:cstheme="majorBidi"/>
          <w:color w:val="7030A0"/>
          <w:sz w:val="24"/>
          <w:szCs w:val="24"/>
        </w:rPr>
        <w:t>. Some details did change:</w:t>
      </w:r>
    </w:p>
    <w:p w14:paraId="314A674F" w14:textId="77777777" w:rsidR="00A47211" w:rsidRDefault="00A47211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15DAC3E3" w14:textId="7A335FD6" w:rsidR="00A47211" w:rsidRDefault="00A47211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costs of bug flows in </w:t>
      </w:r>
      <w:r w:rsidR="00564E51">
        <w:rPr>
          <w:rFonts w:asciiTheme="majorBidi" w:eastAsia="Times New Roman" w:hAnsiTheme="majorBidi" w:cstheme="majorBidi"/>
          <w:color w:val="7030A0"/>
          <w:sz w:val="24"/>
          <w:szCs w:val="24"/>
        </w:rPr>
        <w:t>May to August 2018 that become the monthly budget to give ecosystem managers.</w:t>
      </w:r>
    </w:p>
    <w:p w14:paraId="693EB44D" w14:textId="08C32436" w:rsidR="00564E51" w:rsidRDefault="00877C9E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 position </w:t>
      </w:r>
      <w:r w:rsidR="00B07B53">
        <w:rPr>
          <w:rFonts w:asciiTheme="majorBidi" w:eastAsia="Times New Roman" w:hAnsiTheme="majorBidi" w:cstheme="majorBidi"/>
          <w:color w:val="7030A0"/>
          <w:sz w:val="24"/>
          <w:szCs w:val="24"/>
        </w:rPr>
        <w:t>where the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tradeoff c</w:t>
      </w:r>
      <w:r w:rsidR="003200ED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urves </w:t>
      </w:r>
      <w:r w:rsidR="00B07B53">
        <w:rPr>
          <w:rFonts w:asciiTheme="majorBidi" w:eastAsia="Times New Roman" w:hAnsiTheme="majorBidi" w:cstheme="majorBidi"/>
          <w:color w:val="7030A0"/>
          <w:sz w:val="24"/>
          <w:szCs w:val="24"/>
        </w:rPr>
        <w:t>intercepted the</w:t>
      </w:r>
      <w:r w:rsidR="00B07B53" w:rsidRPr="00497D7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x-axis (hydropeaking value with zero days of steady low releases) were shifted left or right depending on changes in weekday and weekend peak- and off-peak prices</w:t>
      </w:r>
      <w:r w:rsidR="00A627C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from 2014 to 2024</w:t>
      </w:r>
      <w:r w:rsidR="005A6D2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. </w:t>
      </w:r>
      <w:r w:rsidR="00B07B53" w:rsidRPr="00497D7C">
        <w:rPr>
          <w:rFonts w:asciiTheme="majorBidi" w:eastAsia="Times New Roman" w:hAnsiTheme="majorBidi" w:cstheme="majorBidi"/>
          <w:color w:val="7030A0"/>
          <w:sz w:val="24"/>
          <w:szCs w:val="24"/>
        </w:rPr>
        <w:t>For example, in March to June, weekday on- and off-peak and weekend off-peak hydropower prices were higher in 2014 than in 2024.</w:t>
      </w:r>
      <w:r w:rsidR="00575D88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</w:t>
      </w:r>
      <w:r w:rsidR="00575D88" w:rsidRPr="00497D7C">
        <w:rPr>
          <w:rFonts w:asciiTheme="majorBidi" w:eastAsia="Times New Roman" w:hAnsiTheme="majorBidi" w:cstheme="majorBidi"/>
          <w:color w:val="7030A0"/>
          <w:sz w:val="24"/>
          <w:szCs w:val="24"/>
        </w:rPr>
        <w:t>Thus, the x-axis intercepts of tradeoff curves shifted outward (right) to higher hydropeaking value. These shifts ranged from $0.52 million (June) to $2.83 million (May). In contrast, July and August, 2014 prices were lower for all day-types and periods than in 2024. Thus, the x-axis intercepts of tradeoff curves for July and August shifted inward (left) to lower hydropeaking value by $3.6 to $8.9 million.</w:t>
      </w:r>
    </w:p>
    <w:p w14:paraId="461865EC" w14:textId="5D9061D4" w:rsidR="001E5168" w:rsidRDefault="001E5168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Shift days of steady low reservoir releases in </w:t>
      </w:r>
      <w:r w:rsidR="004F4F88">
        <w:rPr>
          <w:rFonts w:asciiTheme="majorBidi" w:eastAsia="Times New Roman" w:hAnsiTheme="majorBidi" w:cstheme="majorBidi"/>
          <w:color w:val="7030A0"/>
          <w:sz w:val="24"/>
          <w:szCs w:val="24"/>
        </w:rPr>
        <w:t>May and June to March and/or April</w:t>
      </w:r>
      <w:r w:rsidR="00AC425B">
        <w:rPr>
          <w:rFonts w:asciiTheme="majorBidi" w:eastAsia="Times New Roman" w:hAnsiTheme="majorBidi" w:cstheme="majorBidi"/>
          <w:color w:val="7030A0"/>
          <w:sz w:val="24"/>
          <w:szCs w:val="24"/>
        </w:rPr>
        <w:t>,</w:t>
      </w:r>
      <w:r w:rsidR="00660EB1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whereas with </w:t>
      </w:r>
      <w:r w:rsidR="00AC425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2014 </w:t>
      </w:r>
      <w:r w:rsidR="002331B3">
        <w:rPr>
          <w:rFonts w:asciiTheme="majorBidi" w:eastAsia="Times New Roman" w:hAnsiTheme="majorBidi" w:cstheme="majorBidi"/>
          <w:color w:val="7030A0"/>
          <w:sz w:val="24"/>
          <w:szCs w:val="24"/>
        </w:rPr>
        <w:t>energy prices, could also shift steady low reservoir releases in May and June to September and/or October.</w:t>
      </w:r>
    </w:p>
    <w:p w14:paraId="3B061475" w14:textId="175F6CFC" w:rsidR="007C317B" w:rsidRPr="00A47211" w:rsidRDefault="00C01D36" w:rsidP="00A47211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Additional </w:t>
      </w:r>
      <w:r w:rsidR="007C317B" w:rsidRPr="00D560DF">
        <w:rPr>
          <w:rFonts w:ascii="Times New Roman" w:hAnsi="Times New Roman" w:cs="Times New Roman"/>
          <w:color w:val="7030A0"/>
          <w:sz w:val="24"/>
          <w:szCs w:val="24"/>
        </w:rPr>
        <w:t>example shifts of days to spring/fall months</w:t>
      </w:r>
      <w:r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07FFC00C" w14:textId="77777777" w:rsidR="001447E5" w:rsidRDefault="001447E5" w:rsidP="001E1BD0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77E6408E" w14:textId="04A5A5F8" w:rsidR="00B31D60" w:rsidRDefault="00AF7B53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These new results and sensitivity analysis are discussed in </w:t>
      </w:r>
      <w:r w:rsidR="005050C5">
        <w:rPr>
          <w:rFonts w:asciiTheme="majorBidi" w:eastAsia="Times New Roman" w:hAnsiTheme="majorBidi" w:cstheme="majorBidi"/>
          <w:color w:val="7030A0"/>
          <w:sz w:val="24"/>
          <w:szCs w:val="24"/>
        </w:rPr>
        <w:t>sections 4.5</w:t>
      </w:r>
      <w:r w:rsidR="00CF1D8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(Sensitivity to 2014 Energy Prices)</w:t>
      </w:r>
      <w:r w:rsidR="005050C5">
        <w:rPr>
          <w:rFonts w:asciiTheme="majorBidi" w:eastAsia="Times New Roman" w:hAnsiTheme="majorBidi" w:cstheme="majorBidi"/>
          <w:color w:val="7030A0"/>
          <w:sz w:val="24"/>
          <w:szCs w:val="24"/>
        </w:rPr>
        <w:t>, 5</w:t>
      </w:r>
      <w:r w:rsidR="00CF1D8C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(New Financial Instrument</w:t>
      </w:r>
      <w:r w:rsidR="00CC0BA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to Reduce Hydropeaking-Ecosystem Conflict)</w:t>
      </w:r>
      <w:r w:rsidR="005050C5">
        <w:rPr>
          <w:rFonts w:asciiTheme="majorBidi" w:eastAsia="Times New Roman" w:hAnsiTheme="majorBidi" w:cstheme="majorBidi"/>
          <w:color w:val="7030A0"/>
          <w:sz w:val="24"/>
          <w:szCs w:val="24"/>
        </w:rPr>
        <w:t>, and 6</w:t>
      </w:r>
      <w:r w:rsidR="00CC0BA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(Discussion).</w:t>
      </w:r>
    </w:p>
    <w:p w14:paraId="70FE70EA" w14:textId="77777777" w:rsidR="00CC0BAF" w:rsidRDefault="00CC0BAF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3A6565ED" w14:textId="63A44FCD" w:rsidR="002C5905" w:rsidRDefault="007B1B3C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Even with the new analysis with 2024 energy prices, </w:t>
      </w:r>
      <w:r w:rsidR="000C19CA">
        <w:rPr>
          <w:rFonts w:asciiTheme="majorBidi" w:eastAsia="Times New Roman" w:hAnsiTheme="majorBidi" w:cstheme="majorBidi"/>
          <w:color w:val="7030A0"/>
          <w:sz w:val="24"/>
          <w:szCs w:val="24"/>
        </w:rPr>
        <w:t>our statement</w:t>
      </w:r>
      <w:r w:rsidR="007916FE"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0C19CA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in the discussion </w:t>
      </w:r>
      <w:r w:rsidR="002C5905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section </w:t>
      </w:r>
      <w:r w:rsidR="006356FE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of the </w:t>
      </w:r>
      <w:r w:rsidR="006A0697">
        <w:rPr>
          <w:rFonts w:asciiTheme="majorBidi" w:eastAsia="Times New Roman" w:hAnsiTheme="majorBidi" w:cstheme="majorBidi"/>
          <w:color w:val="7030A0"/>
          <w:sz w:val="24"/>
          <w:szCs w:val="24"/>
        </w:rPr>
        <w:t>prior submission remain:</w:t>
      </w:r>
    </w:p>
    <w:p w14:paraId="7927BE28" w14:textId="77777777" w:rsidR="002C5905" w:rsidRDefault="002C5905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565D6E94" w14:textId="77777777" w:rsidR="009B01FF" w:rsidRDefault="004636D3" w:rsidP="002C5905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4636D3">
        <w:rPr>
          <w:rFonts w:asciiTheme="majorBidi" w:eastAsia="Times New Roman" w:hAnsiTheme="majorBidi" w:cstheme="majorBidi"/>
          <w:color w:val="7030A0"/>
          <w:sz w:val="24"/>
          <w:szCs w:val="24"/>
        </w:rPr>
        <w:lastRenderedPageBreak/>
        <w:t xml:space="preserve">We acknowledge that future energy prices may change the magnitude of reported hydropeaking values, lost value per day of steady low releases, and ecosystem budget </w:t>
      </w:r>
    </w:p>
    <w:p w14:paraId="7F147F11" w14:textId="2D27AC17" w:rsidR="000C19CA" w:rsidRPr="002C5905" w:rsidRDefault="009B01FF" w:rsidP="002C5905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9B01FF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When planning a new round of bug flow experiments, </w:t>
      </w:r>
      <w:r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use </w:t>
      </w:r>
      <w:r w:rsidRPr="009B01FF">
        <w:rPr>
          <w:rFonts w:asciiTheme="majorBidi" w:eastAsia="Times New Roman" w:hAnsiTheme="majorBidi" w:cstheme="majorBidi"/>
          <w:color w:val="7030A0"/>
          <w:sz w:val="24"/>
          <w:szCs w:val="24"/>
        </w:rPr>
        <w:t>the most recent hydropower price</w:t>
      </w:r>
      <w:r w:rsidR="00096C33">
        <w:rPr>
          <w:rFonts w:asciiTheme="majorBidi" w:eastAsia="Times New Roman" w:hAnsiTheme="majorBidi" w:cstheme="majorBidi"/>
          <w:color w:val="7030A0"/>
          <w:sz w:val="24"/>
          <w:szCs w:val="24"/>
        </w:rPr>
        <w:t>s</w:t>
      </w:r>
      <w:r w:rsidR="00314EFB" w:rsidRPr="002C5905">
        <w:rPr>
          <w:rFonts w:asciiTheme="majorBidi" w:eastAsia="Times New Roman" w:hAnsiTheme="majorBidi" w:cstheme="majorBidi"/>
          <w:color w:val="7030A0"/>
          <w:sz w:val="24"/>
          <w:szCs w:val="24"/>
        </w:rPr>
        <w:t>.</w:t>
      </w:r>
    </w:p>
    <w:p w14:paraId="3ABA064E" w14:textId="77777777" w:rsidR="00314EFB" w:rsidRDefault="00314EFB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37DAD75" w14:textId="0AD2A044" w:rsidR="00314EFB" w:rsidRPr="000C19CA" w:rsidRDefault="006F6C34" w:rsidP="000C19CA">
      <w:pPr>
        <w:spacing w:after="0" w:line="240" w:lineRule="auto"/>
        <w:ind w:left="720"/>
        <w:rPr>
          <w:rFonts w:asciiTheme="majorBidi" w:eastAsia="Times New Roman" w:hAnsiTheme="majorBidi" w:cstheme="majorBidi"/>
          <w:color w:val="7030A0"/>
          <w:sz w:val="24"/>
          <w:szCs w:val="24"/>
        </w:rPr>
      </w:pPr>
      <w:r>
        <w:rPr>
          <w:rFonts w:asciiTheme="majorBidi" w:eastAsia="Times New Roman" w:hAnsiTheme="majorBidi" w:cstheme="majorBidi"/>
          <w:color w:val="7030A0"/>
          <w:sz w:val="24"/>
          <w:szCs w:val="24"/>
        </w:rPr>
        <w:t>We hope these changes address the reviewer’s comment to</w:t>
      </w:r>
      <w:r w:rsidR="00314EFB">
        <w:rPr>
          <w:rFonts w:asciiTheme="majorBidi" w:eastAsia="Times New Roman" w:hAnsiTheme="majorBidi" w:cstheme="majorBidi"/>
          <w:color w:val="7030A0"/>
          <w:sz w:val="24"/>
          <w:szCs w:val="24"/>
        </w:rPr>
        <w:t xml:space="preserve"> use more recent energy pricing data.</w:t>
      </w:r>
    </w:p>
    <w:p w14:paraId="6CA8CE33" w14:textId="77777777" w:rsidR="00DE6BE3" w:rsidRPr="00314EFB" w:rsidRDefault="00DE6BE3" w:rsidP="00314EFB">
      <w:pPr>
        <w:pStyle w:val="ListParagraph"/>
        <w:spacing w:after="0" w:line="240" w:lineRule="auto"/>
        <w:ind w:left="1440"/>
        <w:rPr>
          <w:rFonts w:asciiTheme="majorBidi" w:eastAsia="Times New Roman" w:hAnsiTheme="majorBidi" w:cstheme="majorBidi"/>
          <w:color w:val="7030A0"/>
          <w:sz w:val="24"/>
          <w:szCs w:val="24"/>
        </w:rPr>
      </w:pPr>
    </w:p>
    <w:p w14:paraId="0B3ABDF5" w14:textId="77777777" w:rsidR="00E6514E" w:rsidRDefault="00E6514E" w:rsidP="00E6514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6514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Conversion factor inconsistency: The conversion factor is reported as 0.0375 in Equation 1 of the main text but as 0.03715 in Equation S1 of the supplementary material. This discrepancy should be resolved and a single consistent value used throughout the manuscript.</w:t>
      </w:r>
    </w:p>
    <w:p w14:paraId="76DB0F0E" w14:textId="77777777" w:rsidR="006069B9" w:rsidRPr="00E6514E" w:rsidRDefault="006069B9" w:rsidP="006069B9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7961A85" w14:textId="77777777" w:rsidR="000833B5" w:rsidRPr="00E6514E" w:rsidRDefault="00E6514E" w:rsidP="00E651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color w:val="7030A0"/>
          <w:sz w:val="24"/>
          <w:szCs w:val="24"/>
        </w:rPr>
      </w:pPr>
      <w:r w:rsidRPr="00E6514E">
        <w:rPr>
          <w:rFonts w:asciiTheme="majorBidi" w:eastAsia="Times New Roman" w:hAnsiTheme="majorBidi" w:cstheme="majorBidi"/>
          <w:color w:val="7030A0"/>
          <w:sz w:val="24"/>
          <w:szCs w:val="24"/>
        </w:rPr>
        <w:t>We corrected this typo, and both equations now use the consistent factor value of 0.03715.</w:t>
      </w:r>
    </w:p>
    <w:sectPr w:rsidR="000833B5" w:rsidRPr="00E65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25F69"/>
    <w:multiLevelType w:val="hybridMultilevel"/>
    <w:tmpl w:val="FA2AA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CB0C55"/>
    <w:multiLevelType w:val="hybridMultilevel"/>
    <w:tmpl w:val="7604F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8D4555"/>
    <w:multiLevelType w:val="hybridMultilevel"/>
    <w:tmpl w:val="0BE01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8B446A"/>
    <w:multiLevelType w:val="hybridMultilevel"/>
    <w:tmpl w:val="69D46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507EC"/>
    <w:multiLevelType w:val="hybridMultilevel"/>
    <w:tmpl w:val="4BD82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70717"/>
    <w:multiLevelType w:val="hybridMultilevel"/>
    <w:tmpl w:val="5A084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2531E"/>
    <w:multiLevelType w:val="hybridMultilevel"/>
    <w:tmpl w:val="9864E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03348"/>
    <w:multiLevelType w:val="hybridMultilevel"/>
    <w:tmpl w:val="339EAB9A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8" w15:restartNumberingAfterBreak="0">
    <w:nsid w:val="54447525"/>
    <w:multiLevelType w:val="hybridMultilevel"/>
    <w:tmpl w:val="D03E5B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8C7B5A"/>
    <w:multiLevelType w:val="hybridMultilevel"/>
    <w:tmpl w:val="F056B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217F8"/>
    <w:multiLevelType w:val="hybridMultilevel"/>
    <w:tmpl w:val="E53E3F64"/>
    <w:lvl w:ilvl="0" w:tplc="0409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10"/>
  </w:num>
  <w:num w:numId="9">
    <w:abstractNumId w:val="1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6BA"/>
    <w:rsid w:val="0000578C"/>
    <w:rsid w:val="000071AE"/>
    <w:rsid w:val="0003658F"/>
    <w:rsid w:val="00042F91"/>
    <w:rsid w:val="00043531"/>
    <w:rsid w:val="000466B6"/>
    <w:rsid w:val="00065B3D"/>
    <w:rsid w:val="000833B5"/>
    <w:rsid w:val="00095BA5"/>
    <w:rsid w:val="00096C33"/>
    <w:rsid w:val="000A4C90"/>
    <w:rsid w:val="000B782E"/>
    <w:rsid w:val="000C19CA"/>
    <w:rsid w:val="000D7BD6"/>
    <w:rsid w:val="000E1BA6"/>
    <w:rsid w:val="000F40A0"/>
    <w:rsid w:val="00106B27"/>
    <w:rsid w:val="00115376"/>
    <w:rsid w:val="001244EA"/>
    <w:rsid w:val="0013031F"/>
    <w:rsid w:val="001325E2"/>
    <w:rsid w:val="001416CC"/>
    <w:rsid w:val="001447E5"/>
    <w:rsid w:val="00166CAE"/>
    <w:rsid w:val="00173061"/>
    <w:rsid w:val="001813D1"/>
    <w:rsid w:val="001B504A"/>
    <w:rsid w:val="001E1BD0"/>
    <w:rsid w:val="001E5168"/>
    <w:rsid w:val="00216B21"/>
    <w:rsid w:val="00216D14"/>
    <w:rsid w:val="00231ADD"/>
    <w:rsid w:val="002331B3"/>
    <w:rsid w:val="00287067"/>
    <w:rsid w:val="002918EA"/>
    <w:rsid w:val="002B3045"/>
    <w:rsid w:val="002C48EA"/>
    <w:rsid w:val="002C5905"/>
    <w:rsid w:val="002E25E2"/>
    <w:rsid w:val="002F5376"/>
    <w:rsid w:val="002F6C92"/>
    <w:rsid w:val="00307091"/>
    <w:rsid w:val="00314EFB"/>
    <w:rsid w:val="003200ED"/>
    <w:rsid w:val="00331E56"/>
    <w:rsid w:val="003336F5"/>
    <w:rsid w:val="00367F7B"/>
    <w:rsid w:val="003730B1"/>
    <w:rsid w:val="003732B8"/>
    <w:rsid w:val="00381E28"/>
    <w:rsid w:val="00382D90"/>
    <w:rsid w:val="003838B4"/>
    <w:rsid w:val="003A00FC"/>
    <w:rsid w:val="003C2B5F"/>
    <w:rsid w:val="003C7C5B"/>
    <w:rsid w:val="003D69F4"/>
    <w:rsid w:val="003E10CA"/>
    <w:rsid w:val="004076C4"/>
    <w:rsid w:val="00440DAF"/>
    <w:rsid w:val="00442ACC"/>
    <w:rsid w:val="00456A91"/>
    <w:rsid w:val="004636D3"/>
    <w:rsid w:val="00497D7C"/>
    <w:rsid w:val="004A711B"/>
    <w:rsid w:val="004B1573"/>
    <w:rsid w:val="004C48EF"/>
    <w:rsid w:val="004D612F"/>
    <w:rsid w:val="004E125E"/>
    <w:rsid w:val="004E33FE"/>
    <w:rsid w:val="004E52F1"/>
    <w:rsid w:val="004F4F88"/>
    <w:rsid w:val="005050C5"/>
    <w:rsid w:val="005410F9"/>
    <w:rsid w:val="00564E51"/>
    <w:rsid w:val="00575D88"/>
    <w:rsid w:val="00582B7F"/>
    <w:rsid w:val="005A6D2A"/>
    <w:rsid w:val="005B09C0"/>
    <w:rsid w:val="005B3320"/>
    <w:rsid w:val="005B7C55"/>
    <w:rsid w:val="005C21CB"/>
    <w:rsid w:val="005C3086"/>
    <w:rsid w:val="00605323"/>
    <w:rsid w:val="006069B9"/>
    <w:rsid w:val="00615F83"/>
    <w:rsid w:val="006273E4"/>
    <w:rsid w:val="006356FE"/>
    <w:rsid w:val="00660EB1"/>
    <w:rsid w:val="0067059F"/>
    <w:rsid w:val="00693F44"/>
    <w:rsid w:val="006A0697"/>
    <w:rsid w:val="006A7523"/>
    <w:rsid w:val="006A763E"/>
    <w:rsid w:val="006B1A89"/>
    <w:rsid w:val="006B494F"/>
    <w:rsid w:val="006C06D5"/>
    <w:rsid w:val="006C0BF1"/>
    <w:rsid w:val="006C14A6"/>
    <w:rsid w:val="006C7236"/>
    <w:rsid w:val="006E5135"/>
    <w:rsid w:val="006F510C"/>
    <w:rsid w:val="006F6C34"/>
    <w:rsid w:val="00700547"/>
    <w:rsid w:val="007157E9"/>
    <w:rsid w:val="00737362"/>
    <w:rsid w:val="007453CF"/>
    <w:rsid w:val="007916FE"/>
    <w:rsid w:val="007B1B3C"/>
    <w:rsid w:val="007C317B"/>
    <w:rsid w:val="007D1A09"/>
    <w:rsid w:val="007D59E0"/>
    <w:rsid w:val="00813A9F"/>
    <w:rsid w:val="00843BFA"/>
    <w:rsid w:val="008544B9"/>
    <w:rsid w:val="00877C9E"/>
    <w:rsid w:val="008800EE"/>
    <w:rsid w:val="00880EBC"/>
    <w:rsid w:val="00893AE2"/>
    <w:rsid w:val="008B5BD9"/>
    <w:rsid w:val="008D19DF"/>
    <w:rsid w:val="008D2DEE"/>
    <w:rsid w:val="008E68FE"/>
    <w:rsid w:val="008F4DE4"/>
    <w:rsid w:val="00906AE5"/>
    <w:rsid w:val="009448F4"/>
    <w:rsid w:val="0095519A"/>
    <w:rsid w:val="00955942"/>
    <w:rsid w:val="00972558"/>
    <w:rsid w:val="00993FF7"/>
    <w:rsid w:val="00997BB5"/>
    <w:rsid w:val="009B01FF"/>
    <w:rsid w:val="009C3914"/>
    <w:rsid w:val="009C641F"/>
    <w:rsid w:val="009D01AA"/>
    <w:rsid w:val="009D484E"/>
    <w:rsid w:val="009E25C0"/>
    <w:rsid w:val="00A11DC4"/>
    <w:rsid w:val="00A22B70"/>
    <w:rsid w:val="00A242F4"/>
    <w:rsid w:val="00A30B6C"/>
    <w:rsid w:val="00A44988"/>
    <w:rsid w:val="00A47211"/>
    <w:rsid w:val="00A60332"/>
    <w:rsid w:val="00A627CC"/>
    <w:rsid w:val="00A62EBD"/>
    <w:rsid w:val="00A73045"/>
    <w:rsid w:val="00A73CBC"/>
    <w:rsid w:val="00A75B92"/>
    <w:rsid w:val="00A81ED4"/>
    <w:rsid w:val="00A909D2"/>
    <w:rsid w:val="00AA31F4"/>
    <w:rsid w:val="00AB79BB"/>
    <w:rsid w:val="00AC16FD"/>
    <w:rsid w:val="00AC425B"/>
    <w:rsid w:val="00AE192E"/>
    <w:rsid w:val="00AE240E"/>
    <w:rsid w:val="00AE4B5E"/>
    <w:rsid w:val="00AF7B53"/>
    <w:rsid w:val="00B07B53"/>
    <w:rsid w:val="00B101A5"/>
    <w:rsid w:val="00B11C5D"/>
    <w:rsid w:val="00B31D60"/>
    <w:rsid w:val="00B40431"/>
    <w:rsid w:val="00B41CD0"/>
    <w:rsid w:val="00B51E7B"/>
    <w:rsid w:val="00B52A2F"/>
    <w:rsid w:val="00B81D7A"/>
    <w:rsid w:val="00BC349E"/>
    <w:rsid w:val="00BD690D"/>
    <w:rsid w:val="00BE6A2D"/>
    <w:rsid w:val="00BF6DE7"/>
    <w:rsid w:val="00C01D36"/>
    <w:rsid w:val="00C17488"/>
    <w:rsid w:val="00C33938"/>
    <w:rsid w:val="00C602F6"/>
    <w:rsid w:val="00C6460D"/>
    <w:rsid w:val="00C733FE"/>
    <w:rsid w:val="00CB3FBC"/>
    <w:rsid w:val="00CC0BAF"/>
    <w:rsid w:val="00CE4D8C"/>
    <w:rsid w:val="00CF0256"/>
    <w:rsid w:val="00CF1D8C"/>
    <w:rsid w:val="00D149BD"/>
    <w:rsid w:val="00D15F99"/>
    <w:rsid w:val="00D16EA0"/>
    <w:rsid w:val="00D256BA"/>
    <w:rsid w:val="00D560DF"/>
    <w:rsid w:val="00D633AD"/>
    <w:rsid w:val="00D7549C"/>
    <w:rsid w:val="00D8033C"/>
    <w:rsid w:val="00D854FD"/>
    <w:rsid w:val="00D866C0"/>
    <w:rsid w:val="00D90C5C"/>
    <w:rsid w:val="00D956ED"/>
    <w:rsid w:val="00DA2F88"/>
    <w:rsid w:val="00DB39F1"/>
    <w:rsid w:val="00DE6BE3"/>
    <w:rsid w:val="00DE7D7F"/>
    <w:rsid w:val="00DF1827"/>
    <w:rsid w:val="00DF3C04"/>
    <w:rsid w:val="00E0736F"/>
    <w:rsid w:val="00E21467"/>
    <w:rsid w:val="00E30A9C"/>
    <w:rsid w:val="00E6514E"/>
    <w:rsid w:val="00E75CC7"/>
    <w:rsid w:val="00E86DF8"/>
    <w:rsid w:val="00EA52F6"/>
    <w:rsid w:val="00ED28C0"/>
    <w:rsid w:val="00ED679B"/>
    <w:rsid w:val="00EE1E1C"/>
    <w:rsid w:val="00F00896"/>
    <w:rsid w:val="00F035B4"/>
    <w:rsid w:val="00F07E5D"/>
    <w:rsid w:val="00F232F0"/>
    <w:rsid w:val="00F67D70"/>
    <w:rsid w:val="00F71A91"/>
    <w:rsid w:val="00F768D4"/>
    <w:rsid w:val="00F94B9A"/>
    <w:rsid w:val="00F95C70"/>
    <w:rsid w:val="00FB5E4F"/>
    <w:rsid w:val="00FD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1EAE"/>
  <w15:chartTrackingRefBased/>
  <w15:docId w15:val="{08599284-41AB-430B-BF94-5B90F4A5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6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6BA"/>
    <w:pPr>
      <w:ind w:left="720"/>
      <w:contextualSpacing/>
    </w:pPr>
  </w:style>
  <w:style w:type="paragraph" w:customStyle="1" w:styleId="MyNormal">
    <w:name w:val="MyNormal"/>
    <w:basedOn w:val="Normal"/>
    <w:link w:val="MyNormalChar"/>
    <w:rsid w:val="00D256BA"/>
    <w:pPr>
      <w:tabs>
        <w:tab w:val="left" w:pos="360"/>
        <w:tab w:val="left" w:pos="720"/>
        <w:tab w:val="left" w:pos="1440"/>
        <w:tab w:val="left" w:pos="4680"/>
        <w:tab w:val="right" w:pos="9360"/>
      </w:tabs>
      <w:spacing w:after="0" w:line="240" w:lineRule="auto"/>
      <w:jc w:val="both"/>
    </w:pPr>
    <w:rPr>
      <w:rFonts w:ascii="Times" w:eastAsia="Times New Roman" w:hAnsi="Times" w:cs="Times New Roman"/>
      <w:sz w:val="24"/>
      <w:szCs w:val="20"/>
    </w:rPr>
  </w:style>
  <w:style w:type="character" w:customStyle="1" w:styleId="MyNormalChar">
    <w:name w:val="MyNormal Char"/>
    <w:link w:val="MyNormal"/>
    <w:rsid w:val="00D256BA"/>
    <w:rPr>
      <w:rFonts w:ascii="Times" w:eastAsia="Times New Roman" w:hAnsi="Times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Univeristy</Company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Mooz</dc:creator>
  <cp:keywords/>
  <dc:description/>
  <cp:lastModifiedBy>Mooz</cp:lastModifiedBy>
  <cp:revision>206</cp:revision>
  <cp:lastPrinted>2026-07-30T05:28:00Z</cp:lastPrinted>
  <dcterms:created xsi:type="dcterms:W3CDTF">2026-07-14T06:54:00Z</dcterms:created>
  <dcterms:modified xsi:type="dcterms:W3CDTF">2026-07-30T05:28:00Z</dcterms:modified>
</cp:coreProperties>
</file>