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8B34" w14:textId="77777777" w:rsidR="00B366C7" w:rsidRDefault="00B366C7" w:rsidP="00D0007E">
      <w:pPr>
        <w:spacing w:after="120" w:line="240" w:lineRule="auto"/>
        <w:jc w:val="center"/>
        <w:rPr>
          <w:rFonts w:ascii="Times New Roman" w:hAnsi="Times New Roman" w:cs="Times New Roman"/>
          <w:b/>
          <w:bCs/>
          <w:color w:val="222222"/>
          <w:sz w:val="28"/>
          <w:szCs w:val="28"/>
          <w:shd w:val="clear" w:color="auto" w:fill="FFFFFF"/>
        </w:rPr>
      </w:pPr>
    </w:p>
    <w:p w14:paraId="179C1978" w14:textId="77777777" w:rsidR="009D0603" w:rsidRDefault="009D0603" w:rsidP="00D0007E">
      <w:pPr>
        <w:spacing w:after="120" w:line="240" w:lineRule="auto"/>
        <w:jc w:val="center"/>
        <w:rPr>
          <w:rFonts w:ascii="Times New Roman" w:hAnsi="Times New Roman" w:cs="Times New Roman"/>
          <w:b/>
          <w:bCs/>
          <w:color w:val="222222"/>
          <w:sz w:val="28"/>
          <w:szCs w:val="28"/>
          <w:shd w:val="clear" w:color="auto" w:fill="FFFFFF"/>
        </w:rPr>
      </w:pPr>
    </w:p>
    <w:p w14:paraId="5A89C052" w14:textId="77777777" w:rsidR="00B366C7" w:rsidRDefault="00B366C7" w:rsidP="00D0007E">
      <w:pPr>
        <w:spacing w:after="120" w:line="240" w:lineRule="auto"/>
        <w:jc w:val="center"/>
        <w:rPr>
          <w:rFonts w:ascii="Times New Roman" w:hAnsi="Times New Roman" w:cs="Times New Roman"/>
          <w:b/>
          <w:bCs/>
          <w:color w:val="222222"/>
          <w:sz w:val="28"/>
          <w:szCs w:val="28"/>
          <w:shd w:val="clear" w:color="auto" w:fill="FFFFFF"/>
        </w:rPr>
      </w:pPr>
    </w:p>
    <w:p w14:paraId="71A3FEAD" w14:textId="77777777" w:rsidR="009D0603" w:rsidRDefault="009D0603" w:rsidP="00D0007E">
      <w:pPr>
        <w:spacing w:after="120" w:line="240" w:lineRule="auto"/>
        <w:jc w:val="center"/>
        <w:rPr>
          <w:rFonts w:ascii="Times New Roman" w:hAnsi="Times New Roman" w:cs="Times New Roman"/>
          <w:b/>
          <w:bCs/>
          <w:color w:val="222222"/>
          <w:sz w:val="28"/>
          <w:szCs w:val="28"/>
          <w:shd w:val="clear" w:color="auto" w:fill="FFFFFF"/>
        </w:rPr>
      </w:pPr>
    </w:p>
    <w:p w14:paraId="3B6E1A79" w14:textId="77777777" w:rsidR="00554994" w:rsidRDefault="00554994" w:rsidP="00554994">
      <w:pPr>
        <w:spacing w:after="120" w:line="24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Quantifying trade-off between number of bug flow days and hydropower objectives for Glen Canyon Dam, Arizona, USA</w:t>
      </w:r>
    </w:p>
    <w:p w14:paraId="09FA75E4" w14:textId="77777777" w:rsidR="00FD5F39" w:rsidRDefault="00FD5F39" w:rsidP="00D0007E">
      <w:pPr>
        <w:jc w:val="center"/>
      </w:pPr>
    </w:p>
    <w:p w14:paraId="68896ED0" w14:textId="77777777" w:rsidR="00B366C7" w:rsidRDefault="00B366C7" w:rsidP="00C1634E"/>
    <w:p w14:paraId="7B6D0A3C" w14:textId="77777777" w:rsidR="00B366C7" w:rsidRDefault="00B366C7" w:rsidP="00D0007E">
      <w:pPr>
        <w:jc w:val="center"/>
      </w:pPr>
    </w:p>
    <w:p w14:paraId="212E967C" w14:textId="77777777" w:rsidR="00B366C7" w:rsidRDefault="00B366C7" w:rsidP="00D0007E">
      <w:pPr>
        <w:jc w:val="center"/>
      </w:pPr>
    </w:p>
    <w:p w14:paraId="134FE219" w14:textId="77777777" w:rsidR="009D0603" w:rsidRDefault="009D0603" w:rsidP="00554994"/>
    <w:p w14:paraId="7AA1A4C2" w14:textId="77777777" w:rsidR="009D0603" w:rsidRDefault="009D0603" w:rsidP="00D0007E">
      <w:pPr>
        <w:jc w:val="center"/>
      </w:pPr>
    </w:p>
    <w:p w14:paraId="263A91DA" w14:textId="77777777" w:rsidR="00B366C7" w:rsidRPr="009D0603" w:rsidRDefault="00B366C7" w:rsidP="00D0007E">
      <w:pPr>
        <w:jc w:val="center"/>
        <w:rPr>
          <w:rFonts w:ascii="Times New Roman" w:hAnsi="Times New Roman" w:cs="Times New Roman"/>
          <w:sz w:val="24"/>
          <w:szCs w:val="24"/>
        </w:rPr>
      </w:pPr>
      <w:r w:rsidRPr="009D0603">
        <w:rPr>
          <w:rFonts w:ascii="Times New Roman" w:hAnsi="Times New Roman" w:cs="Times New Roman"/>
          <w:sz w:val="24"/>
          <w:szCs w:val="24"/>
        </w:rPr>
        <w:t>By:</w:t>
      </w:r>
      <w:r w:rsidRPr="009D0603">
        <w:rPr>
          <w:sz w:val="24"/>
          <w:szCs w:val="24"/>
        </w:rPr>
        <w:t xml:space="preserve"> </w:t>
      </w:r>
      <w:r w:rsidRPr="009D0603">
        <w:rPr>
          <w:rFonts w:ascii="Times New Roman" w:hAnsi="Times New Roman" w:cs="Times New Roman"/>
          <w:sz w:val="24"/>
          <w:szCs w:val="24"/>
        </w:rPr>
        <w:t>Moazzam Ali Rind</w:t>
      </w:r>
    </w:p>
    <w:p w14:paraId="2FFA16E9" w14:textId="77777777" w:rsidR="00B366C7" w:rsidRPr="009D0603" w:rsidRDefault="00B366C7" w:rsidP="00D0007E">
      <w:pPr>
        <w:jc w:val="center"/>
        <w:rPr>
          <w:rFonts w:ascii="Times New Roman" w:hAnsi="Times New Roman" w:cs="Times New Roman"/>
          <w:sz w:val="24"/>
          <w:szCs w:val="24"/>
        </w:rPr>
      </w:pPr>
      <w:r w:rsidRPr="009D0603">
        <w:rPr>
          <w:rFonts w:ascii="Times New Roman" w:hAnsi="Times New Roman" w:cs="Times New Roman"/>
          <w:sz w:val="24"/>
          <w:szCs w:val="24"/>
        </w:rPr>
        <w:t>M.S. Student</w:t>
      </w:r>
    </w:p>
    <w:p w14:paraId="284DC3C2" w14:textId="77777777" w:rsidR="00B366C7" w:rsidRPr="009D0603" w:rsidRDefault="00B366C7" w:rsidP="00D0007E">
      <w:pPr>
        <w:jc w:val="center"/>
        <w:rPr>
          <w:rFonts w:ascii="Times New Roman" w:hAnsi="Times New Roman" w:cs="Times New Roman"/>
          <w:sz w:val="24"/>
          <w:szCs w:val="24"/>
        </w:rPr>
      </w:pPr>
      <w:r w:rsidRPr="009D0603">
        <w:rPr>
          <w:rFonts w:ascii="Times New Roman" w:hAnsi="Times New Roman" w:cs="Times New Roman"/>
          <w:sz w:val="24"/>
          <w:szCs w:val="24"/>
        </w:rPr>
        <w:t>Department of Civil and Environmental Engineering</w:t>
      </w:r>
    </w:p>
    <w:p w14:paraId="4A5BBE85" w14:textId="77777777" w:rsidR="00B366C7" w:rsidRPr="009D0603" w:rsidRDefault="00B366C7" w:rsidP="00D0007E">
      <w:pPr>
        <w:jc w:val="center"/>
        <w:rPr>
          <w:rFonts w:ascii="Times New Roman" w:hAnsi="Times New Roman" w:cs="Times New Roman"/>
          <w:sz w:val="24"/>
          <w:szCs w:val="24"/>
        </w:rPr>
      </w:pPr>
      <w:r w:rsidRPr="009D0603">
        <w:rPr>
          <w:rFonts w:ascii="Times New Roman" w:hAnsi="Times New Roman" w:cs="Times New Roman"/>
          <w:sz w:val="24"/>
          <w:szCs w:val="24"/>
        </w:rPr>
        <w:t>Utah State University, Logan, Utah</w:t>
      </w:r>
    </w:p>
    <w:p w14:paraId="3CA8D460" w14:textId="77777777" w:rsidR="009D0603" w:rsidRDefault="009D0603" w:rsidP="00D0007E">
      <w:pPr>
        <w:jc w:val="center"/>
        <w:rPr>
          <w:rFonts w:ascii="Times New Roman" w:hAnsi="Times New Roman" w:cs="Times New Roman"/>
          <w:sz w:val="24"/>
          <w:szCs w:val="24"/>
        </w:rPr>
      </w:pPr>
    </w:p>
    <w:p w14:paraId="33E83B78" w14:textId="77777777" w:rsidR="009D0603" w:rsidRDefault="009D0603" w:rsidP="00D0007E">
      <w:pPr>
        <w:jc w:val="center"/>
        <w:rPr>
          <w:rFonts w:ascii="Times New Roman" w:hAnsi="Times New Roman" w:cs="Times New Roman"/>
          <w:sz w:val="24"/>
          <w:szCs w:val="24"/>
        </w:rPr>
      </w:pPr>
    </w:p>
    <w:p w14:paraId="6F3E4734" w14:textId="77777777" w:rsidR="009D0603" w:rsidRDefault="009D0603" w:rsidP="00D0007E">
      <w:pPr>
        <w:jc w:val="center"/>
        <w:rPr>
          <w:rFonts w:ascii="Times New Roman" w:hAnsi="Times New Roman" w:cs="Times New Roman"/>
          <w:sz w:val="24"/>
          <w:szCs w:val="24"/>
        </w:rPr>
      </w:pPr>
    </w:p>
    <w:p w14:paraId="433E8336" w14:textId="77777777" w:rsidR="009D0603" w:rsidRDefault="009D0603" w:rsidP="00D0007E">
      <w:pPr>
        <w:jc w:val="center"/>
        <w:rPr>
          <w:rFonts w:ascii="Times New Roman" w:hAnsi="Times New Roman" w:cs="Times New Roman"/>
          <w:sz w:val="24"/>
          <w:szCs w:val="24"/>
        </w:rPr>
      </w:pPr>
    </w:p>
    <w:p w14:paraId="503C890E" w14:textId="77777777" w:rsidR="009D0603" w:rsidRDefault="009D0603" w:rsidP="00D0007E">
      <w:pPr>
        <w:jc w:val="center"/>
        <w:rPr>
          <w:rFonts w:ascii="Times New Roman" w:hAnsi="Times New Roman" w:cs="Times New Roman"/>
          <w:sz w:val="24"/>
          <w:szCs w:val="24"/>
        </w:rPr>
      </w:pPr>
    </w:p>
    <w:p w14:paraId="3D62C124" w14:textId="77777777" w:rsidR="00554994" w:rsidRDefault="00554994" w:rsidP="00D0007E">
      <w:pPr>
        <w:jc w:val="center"/>
        <w:rPr>
          <w:rFonts w:ascii="Times New Roman" w:hAnsi="Times New Roman" w:cs="Times New Roman"/>
          <w:sz w:val="24"/>
          <w:szCs w:val="24"/>
        </w:rPr>
      </w:pPr>
    </w:p>
    <w:p w14:paraId="109860DE" w14:textId="77777777" w:rsidR="009D0603" w:rsidRDefault="009D0603" w:rsidP="00D0007E">
      <w:pPr>
        <w:jc w:val="center"/>
        <w:rPr>
          <w:rFonts w:ascii="Times New Roman" w:hAnsi="Times New Roman" w:cs="Times New Roman"/>
          <w:sz w:val="24"/>
          <w:szCs w:val="24"/>
        </w:rPr>
      </w:pPr>
    </w:p>
    <w:p w14:paraId="40C8CF82" w14:textId="77777777" w:rsidR="009D0603" w:rsidRPr="009D0603" w:rsidRDefault="00C1634E" w:rsidP="009D0603">
      <w:pPr>
        <w:rPr>
          <w:rFonts w:ascii="Times New Roman" w:hAnsi="Times New Roman" w:cs="Times New Roman"/>
          <w:sz w:val="24"/>
          <w:szCs w:val="24"/>
        </w:rPr>
      </w:pPr>
      <w:r w:rsidRPr="009D0603">
        <w:rPr>
          <w:rFonts w:ascii="Times New Roman" w:hAnsi="Times New Roman" w:cs="Times New Roman"/>
          <w:sz w:val="24"/>
          <w:szCs w:val="24"/>
        </w:rPr>
        <w:t>Category: Master</w:t>
      </w:r>
    </w:p>
    <w:p w14:paraId="72CD842B" w14:textId="77777777" w:rsidR="00281E37" w:rsidRDefault="00281E37" w:rsidP="009D0603">
      <w:pPr>
        <w:jc w:val="both"/>
        <w:rPr>
          <w:rFonts w:ascii="Times New Roman" w:hAnsi="Times New Roman" w:cs="Times New Roman"/>
          <w:sz w:val="24"/>
          <w:szCs w:val="24"/>
        </w:rPr>
      </w:pPr>
      <w:r w:rsidRPr="009D0603">
        <w:rPr>
          <w:rFonts w:ascii="Times New Roman" w:hAnsi="Times New Roman" w:cs="Times New Roman"/>
          <w:sz w:val="24"/>
          <w:szCs w:val="24"/>
        </w:rPr>
        <w:t>Author’s contribution:</w:t>
      </w:r>
      <w:r w:rsidR="001D2528" w:rsidRPr="009D0603">
        <w:rPr>
          <w:rFonts w:ascii="Times New Roman" w:hAnsi="Times New Roman" w:cs="Times New Roman"/>
          <w:sz w:val="24"/>
          <w:szCs w:val="24"/>
        </w:rPr>
        <w:t xml:space="preserve"> </w:t>
      </w:r>
      <w:r w:rsidR="009D0603" w:rsidRPr="009D0603">
        <w:rPr>
          <w:rFonts w:ascii="Times New Roman" w:hAnsi="Times New Roman" w:cs="Times New Roman"/>
          <w:sz w:val="24"/>
          <w:szCs w:val="24"/>
        </w:rPr>
        <w:t>There is no contribution in writing and organization of this manuscript except me. However, the presented study has been conducted under the supervision and guidance from Dr. David Rosenberg</w:t>
      </w:r>
      <w:r w:rsidR="002347A1">
        <w:rPr>
          <w:rFonts w:ascii="Times New Roman" w:hAnsi="Times New Roman" w:cs="Times New Roman"/>
          <w:sz w:val="24"/>
          <w:szCs w:val="24"/>
        </w:rPr>
        <w:t xml:space="preserve"> (Utah State University)</w:t>
      </w:r>
      <w:r w:rsidR="009D0603" w:rsidRPr="009D0603">
        <w:rPr>
          <w:rFonts w:ascii="Times New Roman" w:hAnsi="Times New Roman" w:cs="Times New Roman"/>
          <w:sz w:val="24"/>
          <w:szCs w:val="24"/>
        </w:rPr>
        <w:t>.</w:t>
      </w:r>
    </w:p>
    <w:p w14:paraId="51544C92" w14:textId="77777777" w:rsidR="009D0603" w:rsidRDefault="009D0603" w:rsidP="009D0603">
      <w:pPr>
        <w:jc w:val="both"/>
        <w:rPr>
          <w:rFonts w:ascii="Times New Roman" w:hAnsi="Times New Roman" w:cs="Times New Roman"/>
          <w:sz w:val="24"/>
          <w:szCs w:val="24"/>
        </w:rPr>
      </w:pPr>
    </w:p>
    <w:p w14:paraId="2A0A6D0F" w14:textId="77777777" w:rsidR="009D0603" w:rsidRDefault="009D0603" w:rsidP="009D0603">
      <w:pPr>
        <w:jc w:val="both"/>
        <w:rPr>
          <w:rFonts w:ascii="Times New Roman" w:hAnsi="Times New Roman" w:cs="Times New Roman"/>
          <w:sz w:val="24"/>
          <w:szCs w:val="24"/>
        </w:rPr>
      </w:pPr>
    </w:p>
    <w:p w14:paraId="6D06A121" w14:textId="77777777" w:rsidR="00992D39" w:rsidRPr="00992D39" w:rsidRDefault="00554994" w:rsidP="00992D39">
      <w:pPr>
        <w:spacing w:after="120" w:line="276"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Quantifying trade-off between number of bug flow days and hydropower objectives for Glen Canyon Dam, Arizona, USA</w:t>
      </w:r>
    </w:p>
    <w:p w14:paraId="3260502C" w14:textId="77777777" w:rsidR="009D0603" w:rsidRDefault="00D409CB" w:rsidP="00992D39">
      <w:pPr>
        <w:spacing w:before="240" w:line="480" w:lineRule="auto"/>
        <w:jc w:val="both"/>
        <w:rPr>
          <w:rFonts w:ascii="Times New Roman" w:hAnsi="Times New Roman" w:cs="Times New Roman"/>
          <w:b/>
          <w:sz w:val="24"/>
          <w:szCs w:val="24"/>
        </w:rPr>
      </w:pPr>
      <w:r w:rsidRPr="00D409CB">
        <w:rPr>
          <w:rFonts w:ascii="Times New Roman" w:hAnsi="Times New Roman" w:cs="Times New Roman"/>
          <w:b/>
          <w:sz w:val="24"/>
          <w:szCs w:val="24"/>
        </w:rPr>
        <w:t>Abstract</w:t>
      </w:r>
    </w:p>
    <w:p w14:paraId="33F07217" w14:textId="77777777" w:rsidR="00992D39" w:rsidRDefault="002347A1" w:rsidP="00895713">
      <w:pPr>
        <w:spacing w:line="480" w:lineRule="auto"/>
        <w:jc w:val="both"/>
        <w:rPr>
          <w:rFonts w:ascii="Times New Roman" w:hAnsi="Times New Roman" w:cs="Times New Roman"/>
          <w:sz w:val="24"/>
          <w:szCs w:val="24"/>
        </w:rPr>
      </w:pPr>
      <w:r w:rsidRPr="006B278C">
        <w:rPr>
          <w:rFonts w:ascii="Times New Roman" w:hAnsi="Times New Roman" w:cs="Times New Roman"/>
          <w:sz w:val="24"/>
          <w:szCs w:val="24"/>
        </w:rPr>
        <w:t xml:space="preserve">U.S. Geological Survey’s Grand Canyon Monitoring and Research Center (GCMRC) </w:t>
      </w:r>
      <w:r>
        <w:rPr>
          <w:rFonts w:ascii="Times New Roman" w:hAnsi="Times New Roman" w:cs="Times New Roman"/>
          <w:sz w:val="24"/>
          <w:szCs w:val="24"/>
        </w:rPr>
        <w:t xml:space="preserve">with inputs </w:t>
      </w:r>
      <w:r w:rsidRPr="006B278C">
        <w:rPr>
          <w:rFonts w:ascii="Times New Roman" w:hAnsi="Times New Roman" w:cs="Times New Roman"/>
          <w:sz w:val="24"/>
          <w:szCs w:val="24"/>
        </w:rPr>
        <w:t>from Western Area Power Authority (WAPA)</w:t>
      </w:r>
      <w:r>
        <w:rPr>
          <w:rFonts w:ascii="Times New Roman" w:hAnsi="Times New Roman" w:cs="Times New Roman"/>
          <w:sz w:val="24"/>
          <w:szCs w:val="24"/>
        </w:rPr>
        <w:t xml:space="preserve"> has been conducting summer flow experiments </w:t>
      </w:r>
      <w:r w:rsidR="00895713">
        <w:rPr>
          <w:rFonts w:ascii="Times New Roman" w:hAnsi="Times New Roman" w:cs="Times New Roman"/>
          <w:sz w:val="24"/>
          <w:szCs w:val="24"/>
        </w:rPr>
        <w:t>at Glen</w:t>
      </w:r>
      <w:r>
        <w:rPr>
          <w:rFonts w:ascii="Times New Roman" w:hAnsi="Times New Roman" w:cs="Times New Roman"/>
          <w:sz w:val="24"/>
          <w:szCs w:val="24"/>
        </w:rPr>
        <w:t xml:space="preserve"> Canyon dam since 2018. </w:t>
      </w:r>
      <w:r w:rsidR="00895713">
        <w:rPr>
          <w:rFonts w:ascii="Times New Roman" w:hAnsi="Times New Roman" w:cs="Times New Roman"/>
          <w:sz w:val="24"/>
          <w:szCs w:val="24"/>
        </w:rPr>
        <w:t xml:space="preserve">Those </w:t>
      </w:r>
      <w:r w:rsidR="006F6A4F">
        <w:rPr>
          <w:rFonts w:ascii="Times New Roman" w:hAnsi="Times New Roman" w:cs="Times New Roman"/>
          <w:sz w:val="24"/>
          <w:szCs w:val="24"/>
        </w:rPr>
        <w:t xml:space="preserve">experiment ensure steady weekend releases, </w:t>
      </w:r>
      <w:r w:rsidR="00A93B37">
        <w:rPr>
          <w:rFonts w:ascii="Times New Roman" w:hAnsi="Times New Roman" w:cs="Times New Roman"/>
          <w:sz w:val="24"/>
          <w:szCs w:val="24"/>
        </w:rPr>
        <w:t>which helps aquatic invertebrates lay and hatch</w:t>
      </w:r>
      <w:r w:rsidR="00976A1A">
        <w:rPr>
          <w:rFonts w:ascii="Times New Roman" w:hAnsi="Times New Roman" w:cs="Times New Roman"/>
          <w:sz w:val="24"/>
          <w:szCs w:val="24"/>
        </w:rPr>
        <w:t xml:space="preserve"> eggs</w:t>
      </w:r>
      <w:r w:rsidR="00A93B37">
        <w:rPr>
          <w:rFonts w:ascii="Times New Roman" w:hAnsi="Times New Roman" w:cs="Times New Roman"/>
          <w:sz w:val="24"/>
          <w:szCs w:val="24"/>
        </w:rPr>
        <w:t xml:space="preserve">, and are known as “Bug Flow Experiments”. </w:t>
      </w:r>
      <w:r w:rsidR="00A93B37" w:rsidRPr="00A93B37">
        <w:rPr>
          <w:rFonts w:ascii="Times New Roman" w:hAnsi="Times New Roman" w:cs="Times New Roman"/>
          <w:sz w:val="24"/>
          <w:szCs w:val="24"/>
        </w:rPr>
        <w:t>The overarching question is: how does hydropower revenue vary as steady flow days expand from weekends to weekdays?</w:t>
      </w:r>
      <w:r w:rsidR="00A93B37">
        <w:rPr>
          <w:rFonts w:ascii="Times New Roman" w:hAnsi="Times New Roman" w:cs="Times New Roman"/>
          <w:sz w:val="24"/>
          <w:szCs w:val="24"/>
        </w:rPr>
        <w:t xml:space="preserve"> Here, we share results of a linear optimization model that quantify the tradeoff between number of steady low flow days and hydropower revenue objectives</w:t>
      </w:r>
      <w:r w:rsidR="00201E94">
        <w:rPr>
          <w:rFonts w:ascii="Times New Roman" w:hAnsi="Times New Roman" w:cs="Times New Roman"/>
          <w:sz w:val="24"/>
          <w:szCs w:val="24"/>
        </w:rPr>
        <w:t xml:space="preserve"> using the constraint method. </w:t>
      </w:r>
      <w:r>
        <w:rPr>
          <w:rFonts w:ascii="Times New Roman" w:hAnsi="Times New Roman" w:cs="Times New Roman"/>
          <w:sz w:val="24"/>
          <w:szCs w:val="24"/>
        </w:rPr>
        <w:t xml:space="preserve">The model runs for one month with two sub-daily timesteps and is subject to daily release limits, </w:t>
      </w:r>
      <w:r w:rsidR="00201E94">
        <w:rPr>
          <w:rFonts w:ascii="Times New Roman" w:hAnsi="Times New Roman" w:cs="Times New Roman"/>
          <w:sz w:val="24"/>
          <w:szCs w:val="24"/>
        </w:rPr>
        <w:t>allowable daily release change</w:t>
      </w:r>
      <w:r>
        <w:rPr>
          <w:rFonts w:ascii="Times New Roman" w:hAnsi="Times New Roman" w:cs="Times New Roman"/>
          <w:sz w:val="24"/>
          <w:szCs w:val="24"/>
        </w:rPr>
        <w:t>, maximum energy generation, storage limits, and an exogenously specified monthly release volume. We tested scenarios that vary the month of the year, monthly flow volume, energy price differential</w:t>
      </w:r>
      <w:r w:rsidR="00201E94">
        <w:rPr>
          <w:rFonts w:ascii="Times New Roman" w:hAnsi="Times New Roman" w:cs="Times New Roman"/>
          <w:sz w:val="24"/>
          <w:szCs w:val="24"/>
        </w:rPr>
        <w:t>, and weekend offset release</w:t>
      </w:r>
      <w:r>
        <w:rPr>
          <w:rFonts w:ascii="Times New Roman" w:hAnsi="Times New Roman" w:cs="Times New Roman"/>
          <w:sz w:val="24"/>
          <w:szCs w:val="24"/>
        </w:rPr>
        <w:t xml:space="preserve">. </w:t>
      </w:r>
      <w:r w:rsidR="00F27802">
        <w:rPr>
          <w:rFonts w:ascii="Times New Roman" w:hAnsi="Times New Roman" w:cs="Times New Roman"/>
          <w:sz w:val="24"/>
          <w:szCs w:val="24"/>
        </w:rPr>
        <w:t xml:space="preserve">Preliminary results show: </w:t>
      </w:r>
      <w:r w:rsidR="00F27802" w:rsidRPr="00F27802">
        <w:rPr>
          <w:rFonts w:ascii="Times New Roman" w:hAnsi="Times New Roman" w:cs="Times New Roman"/>
          <w:sz w:val="24"/>
          <w:szCs w:val="24"/>
        </w:rPr>
        <w:t>1) Increasing the monthly release volume simultaneously improves the bug and hydropower revenue generation objectives</w:t>
      </w:r>
      <w:r w:rsidR="00F27802">
        <w:rPr>
          <w:rFonts w:ascii="Times New Roman" w:hAnsi="Times New Roman" w:cs="Times New Roman"/>
          <w:sz w:val="24"/>
          <w:szCs w:val="24"/>
        </w:rPr>
        <w:t xml:space="preserve">. 2) </w:t>
      </w:r>
      <w:r w:rsidR="00992D39">
        <w:rPr>
          <w:rFonts w:ascii="Times New Roman" w:hAnsi="Times New Roman" w:cs="Times New Roman"/>
          <w:sz w:val="24"/>
          <w:szCs w:val="24"/>
        </w:rPr>
        <w:t xml:space="preserve">Monthly </w:t>
      </w:r>
      <w:r w:rsidR="00F27802">
        <w:rPr>
          <w:rFonts w:ascii="Times New Roman" w:hAnsi="Times New Roman" w:cs="Times New Roman"/>
          <w:sz w:val="24"/>
          <w:szCs w:val="24"/>
        </w:rPr>
        <w:t>Hydrograph with weekends being steady flow days generates the maximum hydropower revenue. Each added steady weekday, with existing energy prices, will deduct almost $62,750 from monthly revenue. 3)</w:t>
      </w:r>
      <w:r w:rsidR="00F27802" w:rsidRPr="00F27802">
        <w:t xml:space="preserve"> </w:t>
      </w:r>
      <w:r w:rsidR="00F27802" w:rsidRPr="00F27802">
        <w:rPr>
          <w:rFonts w:ascii="Times New Roman" w:hAnsi="Times New Roman" w:cs="Times New Roman"/>
          <w:sz w:val="24"/>
          <w:szCs w:val="24"/>
        </w:rPr>
        <w:t>Each 0.1 MAF increase in monthly release volume generates $2.25 million of additional hydropower revenue.</w:t>
      </w:r>
      <w:r w:rsidR="00F27802">
        <w:rPr>
          <w:rFonts w:ascii="Times New Roman" w:hAnsi="Times New Roman" w:cs="Times New Roman"/>
          <w:sz w:val="24"/>
          <w:szCs w:val="24"/>
        </w:rPr>
        <w:t xml:space="preserve"> </w:t>
      </w:r>
      <w:r w:rsidR="00992D39">
        <w:rPr>
          <w:rFonts w:ascii="Times New Roman" w:hAnsi="Times New Roman" w:cs="Times New Roman"/>
          <w:sz w:val="24"/>
          <w:szCs w:val="24"/>
        </w:rPr>
        <w:t xml:space="preserve">4) </w:t>
      </w:r>
      <w:r w:rsidR="00992D39" w:rsidRPr="00992D39">
        <w:rPr>
          <w:rFonts w:ascii="Times New Roman" w:hAnsi="Times New Roman" w:cs="Times New Roman"/>
          <w:sz w:val="24"/>
          <w:szCs w:val="24"/>
        </w:rPr>
        <w:t>Energy</w:t>
      </w:r>
      <w:r w:rsidR="00992D39">
        <w:rPr>
          <w:rFonts w:ascii="Times New Roman" w:hAnsi="Times New Roman" w:cs="Times New Roman"/>
          <w:sz w:val="24"/>
          <w:szCs w:val="24"/>
        </w:rPr>
        <w:t xml:space="preserve"> </w:t>
      </w:r>
      <w:r w:rsidR="00992D39" w:rsidRPr="00992D39">
        <w:rPr>
          <w:rFonts w:ascii="Times New Roman" w:hAnsi="Times New Roman" w:cs="Times New Roman"/>
          <w:sz w:val="24"/>
          <w:szCs w:val="24"/>
        </w:rPr>
        <w:t>price</w:t>
      </w:r>
      <w:r w:rsidR="00992D39">
        <w:rPr>
          <w:rFonts w:ascii="Times New Roman" w:hAnsi="Times New Roman" w:cs="Times New Roman"/>
          <w:sz w:val="24"/>
          <w:szCs w:val="24"/>
        </w:rPr>
        <w:t xml:space="preserve"> </w:t>
      </w:r>
      <w:r w:rsidR="00992D39" w:rsidRPr="00992D39">
        <w:rPr>
          <w:rFonts w:ascii="Times New Roman" w:hAnsi="Times New Roman" w:cs="Times New Roman"/>
          <w:sz w:val="24"/>
          <w:szCs w:val="24"/>
        </w:rPr>
        <w:t>differential between on- and off-peak periods controls the slope of tradeoff curves.</w:t>
      </w:r>
      <w:r w:rsidR="00992D39">
        <w:rPr>
          <w:rFonts w:ascii="Times New Roman" w:hAnsi="Times New Roman" w:cs="Times New Roman"/>
          <w:sz w:val="24"/>
          <w:szCs w:val="24"/>
        </w:rPr>
        <w:t xml:space="preserve"> 5) Hydropower revenue generated with 15 steady flow days per month equals the revenue generated </w:t>
      </w:r>
      <w:r w:rsidR="005C2D07">
        <w:rPr>
          <w:rFonts w:ascii="Times New Roman" w:hAnsi="Times New Roman" w:cs="Times New Roman"/>
          <w:sz w:val="24"/>
          <w:szCs w:val="24"/>
        </w:rPr>
        <w:t>by</w:t>
      </w:r>
      <w:r w:rsidR="00992D39">
        <w:rPr>
          <w:rFonts w:ascii="Times New Roman" w:hAnsi="Times New Roman" w:cs="Times New Roman"/>
          <w:sz w:val="24"/>
          <w:szCs w:val="24"/>
        </w:rPr>
        <w:t xml:space="preserve"> pre bug flow experiments hydrograph. This is a working document and materials will be updated over time based on work with GCMRC, WAPA, and others</w:t>
      </w:r>
      <w:r w:rsidRPr="00992D39">
        <w:rPr>
          <w:rFonts w:ascii="Times New Roman" w:hAnsi="Times New Roman" w:cs="Times New Roman"/>
          <w:sz w:val="24"/>
          <w:szCs w:val="24"/>
        </w:rPr>
        <w:t>.</w:t>
      </w:r>
    </w:p>
    <w:p w14:paraId="2A55A87C" w14:textId="77777777" w:rsidR="00992D39" w:rsidRPr="000B1C10" w:rsidRDefault="000B1C10" w:rsidP="00E50BE0">
      <w:pPr>
        <w:spacing w:after="0" w:line="480" w:lineRule="auto"/>
        <w:jc w:val="both"/>
        <w:rPr>
          <w:rFonts w:ascii="Times New Roman" w:hAnsi="Times New Roman" w:cs="Times New Roman"/>
          <w:b/>
          <w:sz w:val="24"/>
          <w:szCs w:val="24"/>
        </w:rPr>
      </w:pPr>
      <w:r w:rsidRPr="000B1C10">
        <w:rPr>
          <w:rFonts w:ascii="Times New Roman" w:hAnsi="Times New Roman" w:cs="Times New Roman"/>
          <w:b/>
          <w:sz w:val="24"/>
          <w:szCs w:val="24"/>
        </w:rPr>
        <w:lastRenderedPageBreak/>
        <w:t>Introduction</w:t>
      </w:r>
    </w:p>
    <w:p w14:paraId="332D6581" w14:textId="77777777" w:rsidR="003460A6" w:rsidRPr="003F4D2E" w:rsidRDefault="003460A6" w:rsidP="003460A6">
      <w:pPr>
        <w:pStyle w:val="NoSpacing"/>
        <w:spacing w:after="240" w:line="480" w:lineRule="auto"/>
        <w:jc w:val="both"/>
      </w:pPr>
      <w:r w:rsidRPr="003F4D2E">
        <w:t xml:space="preserve">Aquatic insects make </w:t>
      </w:r>
      <w:r w:rsidR="00FA2C99">
        <w:t xml:space="preserve">up </w:t>
      </w:r>
      <w:r w:rsidRPr="003F4D2E">
        <w:t>a major part of the river food web (</w:t>
      </w:r>
      <w:r w:rsidRPr="003F4D2E">
        <w:fldChar w:fldCharType="begin"/>
      </w:r>
      <w:r w:rsidRPr="003F4D2E">
        <w:instrText xml:space="preserve"> ADDIN ZOTERO_ITEM CSL_CITATION {"citationID":"W5oQGcoy","properties":{"formattedCitation":"(Kennedy et al., 2016)","plainCitation":"(Kennedy et al., 2016)","dontUpdate":true,"noteIndex":0},"citationItems":[{"id":2059,"uris":["http://zotero.org/groups/2532496/items/TGU2XCYX"],"uri":["http://zotero.org/groups/2532496/items/TGU2XCYX"],"itemData":{"id":2059,"type":"article-journal","abstract":"Dams impound the majority of rivers and provide important societal benefits, especially daily water releases that enable on-peak hydroelectricity generation. Such “hydropeaking” is common worldwide, but its downstream impacts remain unclear. We evaluated the response of aquatic insects, a cornerstone of river food webs, to hydropeaking using a life history–hydrodynamic model. Our model predicts that aquatic-insect abundance will depend on a basic life-history trait—adult egg-laying behavior—such that open-water layers will be unaffected by hydropeaking, whereas ecologically important and widespread river-edge layers, such as mayflies, will be extirpated. These predictions are supported by a morethan-2500-sample, citizen-science data set of aquatic insects from the Colorado River in the Grand Canyon and by a survey of insect diversity and hydropeaking intensity across dammed rivers of the Western United States. Our study reveals a hydropeaking-related life history bottleneck that precludes viable populations of many aquatic insects from inhabiting regulated rivers.","container-title":"BioScience","DOI":"10.1093/biosci/biw059","ISSN":"1525-3244, 0006-3568","issue":"7","language":"en","page":"561-575","source":"DOI.org (Crossref)","title":"Flow Management for Hydropower Extirpates Aquatic Insects, Undermining River Food Webs","URL":"http://academic.oup.com/bioscience/article/66/7/561/2463266/Flow-Management-for-Hydropower-Extirpates-Aquatic","volume":"66","author":[{"family":"Kennedy","given":"Theodore A."},{"family":"Muehlbauer","given":"Jeffrey D."},{"family":"Yackulic","given":"Charles B."},{"family":"Lytle","given":"David A."},{"family":"Miller","given":"Scott W."},{"family":"Dibble","given":"Kimberly L."},{"family":"Kortenhoeven","given":"Eric W."},{"family":"Metcalfe","given":"Anya N."},{"family":"Baxter","given":"Colden V."}],"accessed":{"date-parts":[["2020",8,17]]},"issued":{"date-parts":[["2016",7,1]]}}}],"schema":"https://github.com/citation-style-language/schema/raw/master/csl-citation.json"} </w:instrText>
      </w:r>
      <w:r w:rsidRPr="003F4D2E">
        <w:fldChar w:fldCharType="separate"/>
      </w:r>
      <w:r w:rsidRPr="003F4D2E">
        <w:t>Kennedy et al., 2016)</w:t>
      </w:r>
      <w:r w:rsidRPr="003F4D2E">
        <w:fldChar w:fldCharType="end"/>
      </w:r>
      <w:r w:rsidRPr="003F4D2E">
        <w:t>. Specifically, in the Grand Canyon below Glen Canyon Dam, both native and non-native fish populations compete for the available food. On the other hand, various factors e.g. climate change, declining flows, population growth, etc. are reducing the natural river flows. Traditionally, humans believed that regulation of the river flows, e.g. development of reservoirs and diversions, can mitigate the water crisis. However, the implications of those anthropogenic actions on the ecosystems were either unknown or never given preference in comparison to the economic and societal benefits from those structure (</w:t>
      </w:r>
      <w:proofErr w:type="spellStart"/>
      <w:r w:rsidRPr="003F4D2E">
        <w:t>Poff</w:t>
      </w:r>
      <w:proofErr w:type="spellEnd"/>
      <w:r w:rsidRPr="003F4D2E">
        <w:t xml:space="preserve"> et al., 2007; Carpenter et al., 2011). As a result, today we have nearly all the major Earth’s rivers dammed (Nilsson et al., 2005) and the researchers and engineers are still working to identify and mitigate the negative impacts of river structures on the downstream ecology (</w:t>
      </w:r>
      <w:proofErr w:type="spellStart"/>
      <w:r w:rsidRPr="003F4D2E">
        <w:t>Kareiva</w:t>
      </w:r>
      <w:proofErr w:type="spellEnd"/>
      <w:r w:rsidRPr="003F4D2E">
        <w:t xml:space="preserve"> et al., 2000). </w:t>
      </w:r>
    </w:p>
    <w:p w14:paraId="6F9BD223" w14:textId="77777777" w:rsidR="007E3A05" w:rsidRDefault="003460A6" w:rsidP="007E3A05">
      <w:pPr>
        <w:pStyle w:val="NoSpacing"/>
        <w:spacing w:after="240" w:line="480" w:lineRule="auto"/>
        <w:jc w:val="both"/>
      </w:pPr>
      <w:r w:rsidRPr="003F4D2E">
        <w:t>In general, water resources are managed for multiple and competing uses, such as water supply, hydropower generation, flood control, recreation, and environmental protection (Null and Lund, 2012).</w:t>
      </w:r>
      <w:r w:rsidR="000E258A">
        <w:t xml:space="preserve"> Each of the water uses require development of hydraulic structure</w:t>
      </w:r>
      <w:r w:rsidR="003463B9">
        <w:t>s</w:t>
      </w:r>
      <w:r w:rsidR="000E258A">
        <w:t xml:space="preserve">. For </w:t>
      </w:r>
      <w:r w:rsidR="005B14FC">
        <w:t xml:space="preserve">instance, dams are constructed to ensure multiple water uses: water supply, </w:t>
      </w:r>
      <w:r w:rsidR="005B14FC" w:rsidRPr="003F4D2E">
        <w:t>hydropower generation, flood control,</w:t>
      </w:r>
      <w:r w:rsidR="005B14FC">
        <w:t xml:space="preserve"> and </w:t>
      </w:r>
      <w:r w:rsidR="005B14FC" w:rsidRPr="003F4D2E">
        <w:t>recreation</w:t>
      </w:r>
      <w:r w:rsidR="005B14FC">
        <w:t>.</w:t>
      </w:r>
      <w:r w:rsidR="003463B9">
        <w:t xml:space="preserve"> </w:t>
      </w:r>
      <w:r w:rsidRPr="003F4D2E">
        <w:t>Historically, the impacts of these</w:t>
      </w:r>
      <w:r w:rsidR="00CB7611">
        <w:t xml:space="preserve"> </w:t>
      </w:r>
      <w:r w:rsidR="0094756F">
        <w:t xml:space="preserve">artificial storages </w:t>
      </w:r>
      <w:r w:rsidRPr="003F4D2E">
        <w:t xml:space="preserve">on the downstream eco-systems were over-shadowed by the financial and societal benefits. </w:t>
      </w:r>
      <w:r w:rsidR="004F68B3">
        <w:t>Luckily, during</w:t>
      </w:r>
      <w:r w:rsidR="00FA2C99">
        <w:t xml:space="preserve"> the</w:t>
      </w:r>
      <w:r w:rsidR="004F68B3">
        <w:t xml:space="preserve"> last few decades the interest in the </w:t>
      </w:r>
      <w:r w:rsidR="004F68B3" w:rsidRPr="003F4D2E">
        <w:t>ecosystem’s sustainability</w:t>
      </w:r>
      <w:r w:rsidR="004F68B3">
        <w:t xml:space="preserve"> and wide </w:t>
      </w:r>
      <w:r w:rsidRPr="003F4D2E">
        <w:t>recognition of the problem has introduced a new trend. Now, there has been pressure from various stakeholders e.g. government, public, environmental groups, researchers etc. to consider environmental objectives (</w:t>
      </w:r>
      <w:r w:rsidRPr="004F68B3">
        <w:t>Richter, 2014; Hart, 2015</w:t>
      </w:r>
      <w:r w:rsidRPr="003F4D2E">
        <w:t>). Also, numerous existing studies highlight the precedence of rivers increasingly managed for aquatic ecosystems in addition to the traditional water management practices (</w:t>
      </w:r>
      <w:r w:rsidRPr="004F68B3">
        <w:t xml:space="preserve">Null and Lund, </w:t>
      </w:r>
      <w:r w:rsidRPr="004F68B3">
        <w:lastRenderedPageBreak/>
        <w:t>2012</w:t>
      </w:r>
      <w:r w:rsidRPr="003F4D2E">
        <w:t xml:space="preserve">). Still, the concept of environmental flows is </w:t>
      </w:r>
      <w:r w:rsidR="006A2682" w:rsidRPr="003F4D2E">
        <w:t>ambiguous,</w:t>
      </w:r>
      <w:r w:rsidRPr="003F4D2E">
        <w:t xml:space="preserve"> and many decision makers and engineers are looking for precise metrics to represent and quantify the ecological objectives (</w:t>
      </w:r>
      <w:proofErr w:type="spellStart"/>
      <w:r w:rsidRPr="003F4D2E">
        <w:t>Alafifi</w:t>
      </w:r>
      <w:proofErr w:type="spellEnd"/>
      <w:r w:rsidRPr="003F4D2E">
        <w:t xml:space="preserve"> and Rosenberg, 2020).</w:t>
      </w:r>
    </w:p>
    <w:p w14:paraId="47D98578" w14:textId="77777777" w:rsidR="003460A6" w:rsidRDefault="003460A6" w:rsidP="007E3A05">
      <w:pPr>
        <w:pStyle w:val="NoSpacing"/>
        <w:spacing w:after="240" w:line="480" w:lineRule="auto"/>
        <w:jc w:val="both"/>
      </w:pPr>
      <w:r w:rsidRPr="003F4D2E">
        <w:t>For example, Kennedy at el., (2016) has identified days of steady low flows as a type of environmental flow that are helpful for the growth of aquatic invertebrates within the Grand Canyon. They used the hydropeaking index, which is a ratio of the amount variation in release to average release, as a metric to quantify the ecosystem objective. During their study, they observed that the sites with larger hydropeaking index (more variation in daily releases) have low aquatic insect diversity (EPT %).</w:t>
      </w:r>
      <w:r w:rsidR="006A2682">
        <w:t xml:space="preserve"> </w:t>
      </w:r>
      <w:r w:rsidRPr="003F4D2E">
        <w:t xml:space="preserve">They concluded that dams with hydropeaking operations-- higher releases during daytime to meet energy demands and lower releases during nighttime-- have low aquatic insect diversity in the downstream. Out of 16 dams they considered in their work, they found that the Glen Canyon Dam and the Hoover Dam had the highest hydropeaking index value, hence, worst insect diversity. Other studies show cold releases from the reservoir (Stevens et al., 1997; Olden and </w:t>
      </w:r>
      <w:proofErr w:type="spellStart"/>
      <w:r w:rsidRPr="003F4D2E">
        <w:t>Naiman</w:t>
      </w:r>
      <w:proofErr w:type="spellEnd"/>
      <w:r w:rsidRPr="003F4D2E">
        <w:t xml:space="preserve">, 2010), change in natural flow regime (Walker, 2017), etc. are also responsible for the low insect diversity. </w:t>
      </w:r>
    </w:p>
    <w:p w14:paraId="7EE23710" w14:textId="77777777" w:rsidR="00E46782" w:rsidRDefault="00E46782" w:rsidP="00E46782">
      <w:pPr>
        <w:spacing w:after="240" w:line="480" w:lineRule="auto"/>
        <w:jc w:val="both"/>
        <w:rPr>
          <w:rFonts w:ascii="Times New Roman" w:hAnsi="Times New Roman" w:cs="Times New Roman"/>
          <w:sz w:val="24"/>
          <w:szCs w:val="24"/>
        </w:rPr>
      </w:pPr>
      <w:r w:rsidRPr="00E46782">
        <w:rPr>
          <w:rFonts w:ascii="Times New Roman" w:hAnsi="Times New Roman" w:cs="Times New Roman"/>
          <w:sz w:val="24"/>
          <w:szCs w:val="24"/>
        </w:rPr>
        <w:t>Starting the summer of 2018, steady low flows on weekends during summer months have been practiced each year</w:t>
      </w:r>
      <w:r w:rsidR="008D7562">
        <w:rPr>
          <w:rFonts w:ascii="Times New Roman" w:hAnsi="Times New Roman" w:cs="Times New Roman"/>
          <w:sz w:val="24"/>
          <w:szCs w:val="24"/>
        </w:rPr>
        <w:t xml:space="preserve"> at Glen Canyon Dam </w:t>
      </w:r>
      <w:r w:rsidRPr="00E46782">
        <w:rPr>
          <w:rFonts w:ascii="Times New Roman" w:hAnsi="Times New Roman" w:cs="Times New Roman"/>
          <w:sz w:val="24"/>
          <w:szCs w:val="24"/>
        </w:rPr>
        <w:t>(the Bug Flow Experiment) and the concept was also included in the prefer alternative of the long term experimental and monitoring program (</w:t>
      </w:r>
      <w:hyperlink r:id="rId8" w:tgtFrame="_blank" w:history="1">
        <w:r w:rsidRPr="00E46782">
          <w:rPr>
            <w:rFonts w:ascii="Times New Roman" w:hAnsi="Times New Roman" w:cs="Times New Roman"/>
            <w:sz w:val="24"/>
            <w:szCs w:val="24"/>
          </w:rPr>
          <w:t>LTEMP DEIS</w:t>
        </w:r>
      </w:hyperlink>
      <w:r w:rsidRPr="00E46782">
        <w:rPr>
          <w:rFonts w:ascii="Times New Roman" w:hAnsi="Times New Roman" w:cs="Times New Roman"/>
          <w:sz w:val="24"/>
          <w:szCs w:val="24"/>
        </w:rPr>
        <w:t xml:space="preserve">). </w:t>
      </w:r>
      <w:proofErr w:type="spellStart"/>
      <w:r w:rsidRPr="00E46782">
        <w:rPr>
          <w:rFonts w:ascii="Times New Roman" w:hAnsi="Times New Roman" w:cs="Times New Roman"/>
          <w:sz w:val="24"/>
          <w:szCs w:val="24"/>
        </w:rPr>
        <w:t>Ploussard</w:t>
      </w:r>
      <w:proofErr w:type="spellEnd"/>
      <w:r w:rsidRPr="00E46782">
        <w:rPr>
          <w:rFonts w:ascii="Times New Roman" w:hAnsi="Times New Roman" w:cs="Times New Roman"/>
          <w:sz w:val="24"/>
          <w:szCs w:val="24"/>
        </w:rPr>
        <w:t xml:space="preserve"> and </w:t>
      </w:r>
      <w:proofErr w:type="spellStart"/>
      <w:r w:rsidRPr="00E46782">
        <w:rPr>
          <w:rFonts w:ascii="Times New Roman" w:hAnsi="Times New Roman" w:cs="Times New Roman"/>
          <w:sz w:val="24"/>
          <w:szCs w:val="24"/>
        </w:rPr>
        <w:t>Veselka</w:t>
      </w:r>
      <w:proofErr w:type="spellEnd"/>
      <w:r w:rsidRPr="00E46782">
        <w:rPr>
          <w:rFonts w:ascii="Times New Roman" w:hAnsi="Times New Roman" w:cs="Times New Roman"/>
          <w:sz w:val="24"/>
          <w:szCs w:val="24"/>
        </w:rPr>
        <w:t xml:space="preserve"> (2019) looked at the financial implication of the 2018 Bug Flow Experiment. They created two scenarios: 1) summer months with bug flows, 2) summer months without bug flows, and quantified the expected difference in hydropower production between the scenarios. Also, they have identified factors responsible for the cost associated with the bug flows and examined the interdependencies amongst the factors. </w:t>
      </w:r>
    </w:p>
    <w:p w14:paraId="47676549" w14:textId="77777777" w:rsidR="003460A6" w:rsidRDefault="003460A6" w:rsidP="003E4A12">
      <w:pPr>
        <w:spacing w:after="240" w:line="480" w:lineRule="auto"/>
        <w:jc w:val="both"/>
        <w:rPr>
          <w:rFonts w:ascii="Times New Roman" w:hAnsi="Times New Roman" w:cs="Times New Roman"/>
          <w:sz w:val="24"/>
          <w:szCs w:val="24"/>
        </w:rPr>
      </w:pPr>
      <w:r w:rsidRPr="003F4D2E">
        <w:rPr>
          <w:rFonts w:ascii="Times New Roman" w:hAnsi="Times New Roman" w:cs="Times New Roman"/>
          <w:sz w:val="24"/>
          <w:szCs w:val="24"/>
        </w:rPr>
        <w:lastRenderedPageBreak/>
        <w:t>Two types of models – simulation and optimization</w:t>
      </w:r>
      <w:bookmarkStart w:id="0" w:name="_Hlk63187399"/>
      <w:r w:rsidRPr="003F4D2E">
        <w:rPr>
          <w:rFonts w:ascii="Times New Roman" w:hAnsi="Times New Roman" w:cs="Times New Roman"/>
          <w:sz w:val="24"/>
          <w:szCs w:val="24"/>
        </w:rPr>
        <w:t xml:space="preserve"> – </w:t>
      </w:r>
      <w:bookmarkEnd w:id="0"/>
      <w:r w:rsidRPr="003F4D2E">
        <w:rPr>
          <w:rFonts w:ascii="Times New Roman" w:hAnsi="Times New Roman" w:cs="Times New Roman"/>
          <w:sz w:val="24"/>
          <w:szCs w:val="24"/>
        </w:rPr>
        <w:t xml:space="preserve">are typically used for ecosystems modeling (Adams et al., 2017). </w:t>
      </w:r>
      <w:r w:rsidR="00FA2C99">
        <w:rPr>
          <w:rFonts w:ascii="Times New Roman" w:hAnsi="Times New Roman" w:cs="Times New Roman"/>
          <w:sz w:val="24"/>
          <w:szCs w:val="24"/>
        </w:rPr>
        <w:t>Numerous</w:t>
      </w:r>
      <w:r w:rsidR="004E3EF8">
        <w:rPr>
          <w:rFonts w:ascii="Times New Roman" w:hAnsi="Times New Roman" w:cs="Times New Roman"/>
          <w:sz w:val="24"/>
          <w:szCs w:val="24"/>
        </w:rPr>
        <w:t xml:space="preserve"> studies, especially during last few decades, has modeled and successfully implemented the </w:t>
      </w:r>
      <w:r w:rsidR="00D1514F">
        <w:rPr>
          <w:rFonts w:ascii="Times New Roman" w:hAnsi="Times New Roman" w:cs="Times New Roman"/>
          <w:sz w:val="24"/>
          <w:szCs w:val="24"/>
        </w:rPr>
        <w:t xml:space="preserve">concept of </w:t>
      </w:r>
      <w:r w:rsidR="004E3EF8">
        <w:rPr>
          <w:rFonts w:ascii="Times New Roman" w:hAnsi="Times New Roman" w:cs="Times New Roman"/>
          <w:sz w:val="24"/>
          <w:szCs w:val="24"/>
        </w:rPr>
        <w:t xml:space="preserve">environmental flows. </w:t>
      </w:r>
      <w:r w:rsidRPr="003F4D2E">
        <w:rPr>
          <w:rFonts w:ascii="Times New Roman" w:hAnsi="Times New Roman" w:cs="Times New Roman"/>
          <w:sz w:val="24"/>
          <w:szCs w:val="24"/>
        </w:rPr>
        <w:t xml:space="preserve">Still, the art of translating ecological knowledge into operational paradigms is a hot research topic (Harman and Stewardson, 2005) and water managers and researchers are facing challenges to find balance between competing traditional water management and environmental objectives (Acreman et al., 2014; Richter, 2014; </w:t>
      </w:r>
      <w:proofErr w:type="spellStart"/>
      <w:r w:rsidRPr="003F4D2E">
        <w:rPr>
          <w:rFonts w:ascii="Times New Roman" w:hAnsi="Times New Roman" w:cs="Times New Roman"/>
          <w:sz w:val="24"/>
          <w:szCs w:val="24"/>
        </w:rPr>
        <w:t>Poff</w:t>
      </w:r>
      <w:proofErr w:type="spellEnd"/>
      <w:r w:rsidRPr="003F4D2E">
        <w:rPr>
          <w:rFonts w:ascii="Times New Roman" w:hAnsi="Times New Roman" w:cs="Times New Roman"/>
          <w:sz w:val="24"/>
          <w:szCs w:val="24"/>
        </w:rPr>
        <w:t xml:space="preserve"> et al., 2016).</w:t>
      </w:r>
    </w:p>
    <w:p w14:paraId="64A580C0" w14:textId="77777777" w:rsidR="008401FE" w:rsidRPr="007D16B0" w:rsidRDefault="008401FE" w:rsidP="007D16B0">
      <w:pPr>
        <w:spacing w:after="240" w:line="480" w:lineRule="auto"/>
        <w:jc w:val="both"/>
        <w:rPr>
          <w:rFonts w:ascii="Times New Roman" w:hAnsi="Times New Roman" w:cs="Times New Roman"/>
          <w:sz w:val="24"/>
        </w:rPr>
      </w:pPr>
      <w:r w:rsidRPr="007D16B0">
        <w:rPr>
          <w:rFonts w:ascii="Times New Roman" w:hAnsi="Times New Roman" w:cs="Times New Roman"/>
          <w:sz w:val="24"/>
        </w:rPr>
        <w:t xml:space="preserve">Typically, a hydropower objective is a non-linear function </w:t>
      </w:r>
      <w:r w:rsidRPr="007D16B0">
        <w:rPr>
          <w:rFonts w:ascii="Times New Roman" w:hAnsi="Times New Roman" w:cs="Times New Roman"/>
          <w:sz w:val="24"/>
        </w:rPr>
        <w:fldChar w:fldCharType="begin"/>
      </w:r>
      <w:r w:rsidRPr="007D16B0">
        <w:rPr>
          <w:rFonts w:ascii="Times New Roman" w:hAnsi="Times New Roman" w:cs="Times New Roman"/>
          <w:sz w:val="24"/>
        </w:rPr>
        <w:instrText xml:space="preserve"> ADDIN ZOTERO_ITEM CSL_CITATION {"citationID":"M4erXWgM","properties":{"formattedCitation":"(Yoo, 2009)","plainCitation":"(Yoo, 2009)","noteIndex":0},"citationItems":[{"id":2069,"uris":["http://zotero.org/groups/2532496/items/7292E94D"],"uri":["http://zotero.org/groups/2532496/items/7292E94D"],"itemData":{"id":2069,"type":"article-journal","abstract":"The linear objective function is examined as an alternative to a nonlinear form with the aim of maximizing hydropower energy generation. The Yongdam multipurpose dam, located on the Geum River in South Korea, is selected as the subject of the model application. Inflow data with a reliability of 50% is applied to the model for an operation period of 12months. This study analyzes the effect and sensitivity of the model’s release and reservoir storage on the maximization of hydropower energy generation based on calculations of optimal values. The operation according to the optimized policy is shown in terms of the given priority. The ratio between two parameters (releases and reservoir storage) is also examined in the context of the objective function of the linear model. The maximum annual energy production of the proposed model was approximately 184GWH, which represents 86% of the potential energy production level.","container-title":"Journal of Hydrology","DOI":"10.1016/j.jhydrol.2009.07.026","ISSN":"0022-1694","issue":"1","journalAbbreviation":"Journal of Hydrology","language":"en","page":"182-187","source":"ScienceDirect","title":"Maximization of hydropower generation through the application of a linear programming model","URL":"http://www.sciencedirect.com/science/article/pii/S0022169409004193","volume":"376","author":[{"family":"Yoo","given":"Ju-Hwan"}],"accessed":{"date-parts":[["2020",8,22]]},"issued":{"date-parts":[["2009",9,30]]}}}],"schema":"https://github.com/citation-style-language/schema/raw/master/csl-citation.json"} </w:instrText>
      </w:r>
      <w:r w:rsidRPr="007D16B0">
        <w:rPr>
          <w:rFonts w:ascii="Times New Roman" w:hAnsi="Times New Roman" w:cs="Times New Roman"/>
          <w:sz w:val="24"/>
        </w:rPr>
        <w:fldChar w:fldCharType="separate"/>
      </w:r>
      <w:r w:rsidRPr="007D16B0">
        <w:rPr>
          <w:rFonts w:ascii="Times New Roman" w:hAnsi="Times New Roman" w:cs="Times New Roman"/>
          <w:sz w:val="24"/>
        </w:rPr>
        <w:t>(Yoo, 2009)</w:t>
      </w:r>
      <w:r w:rsidRPr="007D16B0">
        <w:rPr>
          <w:rFonts w:ascii="Times New Roman" w:hAnsi="Times New Roman" w:cs="Times New Roman"/>
          <w:sz w:val="24"/>
        </w:rPr>
        <w:fldChar w:fldCharType="end"/>
      </w:r>
      <w:r w:rsidRPr="007D16B0">
        <w:rPr>
          <w:rFonts w:ascii="Times New Roman" w:hAnsi="Times New Roman" w:cs="Times New Roman"/>
          <w:sz w:val="24"/>
        </w:rPr>
        <w:t xml:space="preserve"> that depends on the power generation release, reservoir storage level, turbine efficiencies, and operations in relationship to design efficiencies. Those releases that generate hydropower fluctuate through the day according to varying energy prices. Commonly, dynamic or nonlinear programing has been preferred to solve such problems because of multiple sub decisions required to reach the ultimate optimal decision or the nonlinearity created by</w:t>
      </w:r>
      <w:r w:rsidR="00D1514F">
        <w:rPr>
          <w:rFonts w:ascii="Times New Roman" w:hAnsi="Times New Roman" w:cs="Times New Roman"/>
          <w:sz w:val="24"/>
        </w:rPr>
        <w:t xml:space="preserve"> multiplication amongst the variables like release, reservoir level, and turbine efficiency </w:t>
      </w:r>
      <w:r w:rsidRPr="007D16B0">
        <w:rPr>
          <w:rFonts w:ascii="Times New Roman" w:hAnsi="Times New Roman" w:cs="Times New Roman"/>
          <w:sz w:val="24"/>
        </w:rPr>
        <w:t xml:space="preserve">(e.g. </w:t>
      </w:r>
      <w:proofErr w:type="spellStart"/>
      <w:r w:rsidRPr="007D16B0">
        <w:rPr>
          <w:rFonts w:ascii="Times New Roman" w:hAnsi="Times New Roman" w:cs="Times New Roman"/>
          <w:sz w:val="24"/>
        </w:rPr>
        <w:t>Yakowitz</w:t>
      </w:r>
      <w:proofErr w:type="spellEnd"/>
      <w:r w:rsidRPr="007D16B0">
        <w:rPr>
          <w:rFonts w:ascii="Times New Roman" w:hAnsi="Times New Roman" w:cs="Times New Roman"/>
          <w:sz w:val="24"/>
        </w:rPr>
        <w:t xml:space="preserve">, 1982; </w:t>
      </w:r>
      <w:proofErr w:type="spellStart"/>
      <w:r w:rsidRPr="007D16B0">
        <w:rPr>
          <w:rFonts w:ascii="Times New Roman" w:hAnsi="Times New Roman" w:cs="Times New Roman"/>
          <w:sz w:val="24"/>
        </w:rPr>
        <w:t>Tilmant</w:t>
      </w:r>
      <w:proofErr w:type="spellEnd"/>
      <w:r w:rsidRPr="007D16B0">
        <w:rPr>
          <w:rFonts w:ascii="Times New Roman" w:hAnsi="Times New Roman" w:cs="Times New Roman"/>
          <w:sz w:val="24"/>
        </w:rPr>
        <w:t xml:space="preserve"> et al., 2002). These optimization problems are computationally intensive </w:t>
      </w:r>
      <w:r w:rsidRPr="007D16B0">
        <w:rPr>
          <w:rFonts w:ascii="Times New Roman" w:hAnsi="Times New Roman" w:cs="Times New Roman"/>
          <w:sz w:val="24"/>
        </w:rPr>
        <w:fldChar w:fldCharType="begin"/>
      </w:r>
      <w:r w:rsidRPr="007D16B0">
        <w:rPr>
          <w:rFonts w:ascii="Times New Roman" w:hAnsi="Times New Roman" w:cs="Times New Roman"/>
          <w:sz w:val="24"/>
        </w:rPr>
        <w:instrText xml:space="preserve"> ADDIN ZOTERO_ITEM CSL_CITATION {"citationID":"ZsTtPypB","properties":{"formattedCitation":"(Hochbaum, 2007)","plainCitation":"(Hochbaum, 2007)","noteIndex":0},"citationItems":[{"id":2077,"uris":["http://zotero.org/groups/2532496/items/CS3ZNE8C"],"uri":["http://zotero.org/groups/2532496/items/CS3ZNE8C"],"itemData":{"id":2077,"type":"article-journal","abstract":"Nonlinear optimization algorithms are rarely discussed from a complexity point of view. Even the concept of solving nonlinear problems on digital computers is not well defined. The focus here is on a complexity approach for designing and analyzing algorithms for nonlinear optimization problems providing optimal solutions with prespecified accuracy in the solution space. We delineate the complexity status of convex problems over network constraints, dual of flow constraints, dual of multi-commodity, constraints defined by a submodular rank function (a generalized allocation problem), tree networks, diagonal dominant matrices, and nonlinear knapsack problem’s constraint. All these problems, except for the latter in integers, have polynomial time algorithms which may be viewed within a unifying framework of a proximity-scaling technique or a threshold technique. The complexity of many of these algorithms is furthermore best possible in that it matches lower bounds on the complexity of the respective problems.","container-title":"Annals of Operations Research","DOI":"10.1007/s10479-007-0172-6","ISSN":"1572-9338","issue":"1","journalAbbreviation":"Ann Oper Res","language":"en","page":"257-296","source":"Springer Link","title":"Complexity and algorithms for nonlinear optimization problems","URL":"https://doi.org/10.1007/s10479-007-0172-6","volume":"153","author":[{"family":"Hochbaum","given":"Dorit S."}],"accessed":{"date-parts":[["2020",8,28]]},"issued":{"date-parts":[["2007",9,1]]}}}],"schema":"https://github.com/citation-style-language/schema/raw/master/csl-citation.json"} </w:instrText>
      </w:r>
      <w:r w:rsidRPr="007D16B0">
        <w:rPr>
          <w:rFonts w:ascii="Times New Roman" w:hAnsi="Times New Roman" w:cs="Times New Roman"/>
          <w:sz w:val="24"/>
        </w:rPr>
        <w:fldChar w:fldCharType="separate"/>
      </w:r>
      <w:r w:rsidRPr="007D16B0">
        <w:rPr>
          <w:rFonts w:ascii="Times New Roman" w:hAnsi="Times New Roman" w:cs="Times New Roman"/>
          <w:sz w:val="24"/>
        </w:rPr>
        <w:t>(Hochbaum, 2007)</w:t>
      </w:r>
      <w:r w:rsidRPr="007D16B0">
        <w:rPr>
          <w:rFonts w:ascii="Times New Roman" w:hAnsi="Times New Roman" w:cs="Times New Roman"/>
          <w:sz w:val="24"/>
        </w:rPr>
        <w:fldChar w:fldCharType="end"/>
      </w:r>
      <w:r w:rsidRPr="007D16B0">
        <w:rPr>
          <w:rFonts w:ascii="Times New Roman" w:hAnsi="Times New Roman" w:cs="Times New Roman"/>
          <w:sz w:val="24"/>
        </w:rPr>
        <w:t xml:space="preserve"> and researchers have an interest to approximate nonlinear objectives by various linearization techniques. </w:t>
      </w:r>
    </w:p>
    <w:p w14:paraId="3C4940C8" w14:textId="77777777" w:rsidR="00630C79" w:rsidRDefault="008401FE" w:rsidP="00630C79">
      <w:pPr>
        <w:spacing w:after="240" w:line="480" w:lineRule="auto"/>
        <w:jc w:val="both"/>
        <w:rPr>
          <w:rFonts w:ascii="Times New Roman" w:hAnsi="Times New Roman" w:cs="Times New Roman"/>
          <w:sz w:val="24"/>
        </w:rPr>
      </w:pPr>
      <w:r w:rsidRPr="007D16B0">
        <w:rPr>
          <w:rFonts w:ascii="Times New Roman" w:hAnsi="Times New Roman" w:cs="Times New Roman"/>
          <w:sz w:val="24"/>
        </w:rPr>
        <w:t xml:space="preserve">For example, </w:t>
      </w:r>
      <w:r w:rsidRPr="007D16B0">
        <w:rPr>
          <w:rFonts w:ascii="Times New Roman" w:hAnsi="Times New Roman" w:cs="Times New Roman"/>
          <w:sz w:val="24"/>
        </w:rPr>
        <w:fldChar w:fldCharType="begin"/>
      </w:r>
      <w:r w:rsidRPr="007D16B0">
        <w:rPr>
          <w:rFonts w:ascii="Times New Roman" w:hAnsi="Times New Roman" w:cs="Times New Roman"/>
          <w:sz w:val="24"/>
        </w:rPr>
        <w:instrText xml:space="preserve"> ADDIN ZOTERO_ITEM CSL_CITATION {"citationID":"skRfgwhQ","properties":{"formattedCitation":"(Rheinheimer et al., 2015)","plainCitation":"(Rheinheimer et al., 2015)","noteIndex":0},"citationItems":[{"id":2079,"uris":["http://zotero.org/groups/2532496/items/RRVBUR22"],"uri":["http://zotero.org/groups/2532496/items/RRVBUR22"],"itemData":{"id":2079,"type":"article-journal","abstract":"Selective withdrawal systems can take advantage of thermal stratification in reservoirs to manage downstream temperatures. Selective withdrawal might also help adapt operations to environmental changes, such as increased stream temperatures expected with climate change. This exploratory study develops a linear programming model to release water from different thermal pools in reservoirs to minimize deviations from target downstream temperatures. The model is applied with representative thermal dynamics to Lake Spaulding, a multipurpose reservoir on the South Fork Yuba River in California with climate warming represented by uniform increases in air temperature. Optimization results for thermal pool management with selective withdrawal are compared to a single, low-level outlet release model. Optimal selective withdrawal hedges the winter release of cold water to decrease summer stream temperatures. With climate warming, selective withdrawal can help lessen stream warming in the summer but at a cost of warmer stream temperatures in winter. As numerous assumptions are made, particularly regarding representation of thermodynamics, modeling improvements are needed to further develop selective withdrawal optimization models; several improvements are discussed.","container-title":"Journal of Water Resources Planning and Management","DOI":"10.1061/(ASCE)WR.1943-5452.0000447","ISSN":"1943-5452","issue":"4","language":"EN","note":"publisher: American Society of Civil Engineers","page":"04014063","source":"ASCE","title":"Optimizing Selective Withdrawal from Reservoirs to Manage Downstream Temperatures with Climate Warming","URL":"https://ascelibrary.org/doi/abs/10.1061/%28ASCE%29WR.1943-5452.0000447","volume":"141","author":[{"family":"Rheinheimer","given":"David E."},{"family":"Null","given":"Sarah E."},{"family":"Lund","given":"Jay R."}],"accessed":{"date-parts":[["2020",8,28]]},"issued":{"date-parts":[["2015",4,1]]}}}],"schema":"https://github.com/citation-style-language/schema/raw/master/csl-citation.json"} </w:instrText>
      </w:r>
      <w:r w:rsidRPr="007D16B0">
        <w:rPr>
          <w:rFonts w:ascii="Times New Roman" w:hAnsi="Times New Roman" w:cs="Times New Roman"/>
          <w:sz w:val="24"/>
        </w:rPr>
        <w:fldChar w:fldCharType="separate"/>
      </w:r>
      <w:r w:rsidRPr="007D16B0">
        <w:rPr>
          <w:rFonts w:ascii="Times New Roman" w:hAnsi="Times New Roman" w:cs="Times New Roman"/>
          <w:sz w:val="24"/>
        </w:rPr>
        <w:t>Rheinheimer et al. (2015)</w:t>
      </w:r>
      <w:r w:rsidRPr="007D16B0">
        <w:rPr>
          <w:rFonts w:ascii="Times New Roman" w:hAnsi="Times New Roman" w:cs="Times New Roman"/>
          <w:sz w:val="24"/>
        </w:rPr>
        <w:fldChar w:fldCharType="end"/>
      </w:r>
      <w:r w:rsidRPr="007D16B0">
        <w:rPr>
          <w:rFonts w:ascii="Times New Roman" w:hAnsi="Times New Roman" w:cs="Times New Roman"/>
          <w:sz w:val="24"/>
        </w:rPr>
        <w:t xml:space="preserve"> developed a linear programming model to maintain downstream cold water temperatures for Chinook salmon below Lake Spaulding, California. They considered that the reservoir </w:t>
      </w:r>
      <w:proofErr w:type="gramStart"/>
      <w:r w:rsidRPr="007D16B0">
        <w:rPr>
          <w:rFonts w:ascii="Times New Roman" w:hAnsi="Times New Roman" w:cs="Times New Roman"/>
          <w:sz w:val="24"/>
        </w:rPr>
        <w:t>ha</w:t>
      </w:r>
      <w:r w:rsidR="00FA2C99">
        <w:rPr>
          <w:rFonts w:ascii="Times New Roman" w:hAnsi="Times New Roman" w:cs="Times New Roman"/>
          <w:sz w:val="24"/>
        </w:rPr>
        <w:t>ve</w:t>
      </w:r>
      <w:proofErr w:type="gramEnd"/>
      <w:r w:rsidRPr="007D16B0">
        <w:rPr>
          <w:rFonts w:ascii="Times New Roman" w:hAnsi="Times New Roman" w:cs="Times New Roman"/>
          <w:sz w:val="24"/>
        </w:rPr>
        <w:t xml:space="preserve"> two completely mixed thermal layers (i.e. warm and cold pools) and the release decisions were made prior to, and independent from, temperature management decisions. These assumptions converted a non-linear problem with both quality (thermal layer selection) and quantity (release hydrograph) decisions into a linear problem with only the quality decision to make. Their analysis predicted benefits of having multiple temperature withdrawal </w:t>
      </w:r>
      <w:r w:rsidRPr="007D16B0">
        <w:rPr>
          <w:rFonts w:ascii="Times New Roman" w:hAnsi="Times New Roman" w:cs="Times New Roman"/>
          <w:sz w:val="24"/>
        </w:rPr>
        <w:lastRenderedPageBreak/>
        <w:t xml:space="preserve">structure in comparison to single intake level structure. </w:t>
      </w:r>
      <w:proofErr w:type="spellStart"/>
      <w:r w:rsidRPr="007D16B0">
        <w:rPr>
          <w:rFonts w:ascii="Times New Roman" w:hAnsi="Times New Roman" w:cs="Times New Roman"/>
          <w:sz w:val="24"/>
        </w:rPr>
        <w:t>Yoo</w:t>
      </w:r>
      <w:proofErr w:type="spellEnd"/>
      <w:r w:rsidRPr="007D16B0">
        <w:rPr>
          <w:rFonts w:ascii="Times New Roman" w:hAnsi="Times New Roman" w:cs="Times New Roman"/>
          <w:sz w:val="24"/>
        </w:rPr>
        <w:t xml:space="preserve"> (2009) used linear programming to maximize the annual energy production at Yong</w:t>
      </w:r>
      <w:r w:rsidR="00787A99">
        <w:rPr>
          <w:rFonts w:ascii="Times New Roman" w:hAnsi="Times New Roman" w:cs="Times New Roman"/>
          <w:sz w:val="24"/>
        </w:rPr>
        <w:t xml:space="preserve"> </w:t>
      </w:r>
      <w:r w:rsidRPr="007D16B0">
        <w:rPr>
          <w:rFonts w:ascii="Times New Roman" w:hAnsi="Times New Roman" w:cs="Times New Roman"/>
          <w:sz w:val="24"/>
        </w:rPr>
        <w:t xml:space="preserve">dam in South Korea. His approach was inspired from successive linear programming techniques, but to avoid reiterations, he considered weighted constant values of the storage water level and the water volume released for hydropower generation in the objective function to linearize the problem. </w:t>
      </w:r>
    </w:p>
    <w:p w14:paraId="61471C3C" w14:textId="77777777" w:rsidR="00151A54" w:rsidRDefault="00151A54" w:rsidP="00835EF6">
      <w:pPr>
        <w:spacing w:after="240" w:line="480" w:lineRule="auto"/>
        <w:jc w:val="both"/>
        <w:rPr>
          <w:rFonts w:ascii="Times New Roman" w:hAnsi="Times New Roman" w:cs="Times New Roman"/>
          <w:sz w:val="24"/>
        </w:rPr>
      </w:pPr>
      <w:r>
        <w:rPr>
          <w:rFonts w:ascii="Times New Roman" w:hAnsi="Times New Roman" w:cs="Times New Roman"/>
          <w:sz w:val="24"/>
        </w:rPr>
        <w:t xml:space="preserve">This research </w:t>
      </w:r>
      <w:r w:rsidR="00FE3A53">
        <w:rPr>
          <w:rFonts w:ascii="Times New Roman" w:hAnsi="Times New Roman" w:cs="Times New Roman"/>
          <w:sz w:val="24"/>
        </w:rPr>
        <w:t>follows</w:t>
      </w:r>
      <w:r>
        <w:rPr>
          <w:rFonts w:ascii="Times New Roman" w:hAnsi="Times New Roman" w:cs="Times New Roman"/>
          <w:sz w:val="24"/>
        </w:rPr>
        <w:t xml:space="preserve"> </w:t>
      </w:r>
      <w:r w:rsidR="00FA2C99">
        <w:rPr>
          <w:rFonts w:ascii="Times New Roman" w:hAnsi="Times New Roman" w:cs="Times New Roman"/>
          <w:sz w:val="24"/>
        </w:rPr>
        <w:t xml:space="preserve">the </w:t>
      </w:r>
      <w:r>
        <w:rPr>
          <w:rFonts w:ascii="Times New Roman" w:hAnsi="Times New Roman" w:cs="Times New Roman"/>
          <w:sz w:val="24"/>
        </w:rPr>
        <w:t xml:space="preserve">same concept of the </w:t>
      </w:r>
      <w:r w:rsidRPr="00151A54">
        <w:rPr>
          <w:rFonts w:ascii="Times New Roman" w:hAnsi="Times New Roman" w:cs="Times New Roman"/>
          <w:sz w:val="24"/>
        </w:rPr>
        <w:t>environmental flows Kennedy et al. (2016) suggested for the Glen Canyon Dam releases that steady low flow days encourages the bug-egg hatching process.</w:t>
      </w:r>
      <w:r w:rsidR="00835EF6">
        <w:rPr>
          <w:rFonts w:ascii="Times New Roman" w:hAnsi="Times New Roman" w:cs="Times New Roman"/>
          <w:sz w:val="24"/>
        </w:rPr>
        <w:t xml:space="preserve"> </w:t>
      </w:r>
      <w:r w:rsidRPr="00835EF6">
        <w:rPr>
          <w:rFonts w:ascii="Times New Roman" w:hAnsi="Times New Roman" w:cs="Times New Roman"/>
          <w:sz w:val="24"/>
        </w:rPr>
        <w:t>However, the study uses a unique and transparent metric to represent the environmental objective--number of days of steady low flows during a month. The study quantifies the tradeoff between number of steady low flow days (ecosystem objective) and monthly hydropower revenue. Moreover, the study quantifies the impacts of different managerial decisions and uncertainties such as total monthly release volume, the price differential between weekday and weekend energy rates, and number of steady flow days, on monthly hydropower revenue generation.</w:t>
      </w:r>
    </w:p>
    <w:p w14:paraId="00131300" w14:textId="77777777" w:rsidR="0094756F" w:rsidRDefault="0094756F" w:rsidP="0094756F">
      <w:pPr>
        <w:pStyle w:val="Caption"/>
        <w:spacing w:after="240" w:line="480" w:lineRule="auto"/>
        <w:jc w:val="both"/>
        <w:rPr>
          <w:i w:val="0"/>
          <w:color w:val="auto"/>
          <w:sz w:val="24"/>
        </w:rPr>
      </w:pPr>
      <w:r>
        <w:rPr>
          <w:i w:val="0"/>
          <w:color w:val="auto"/>
          <w:sz w:val="24"/>
        </w:rPr>
        <w:t>The findings from the research will guide water manger’s decision about the number of bug flow days and help them understand the impact of different factors -- Monthly release volume, energy prices amongst different days, price differential between on- and off- peak periods, length of the periods and offset release-- on the monthly hydropower revenue. In addition, the model provides managers with the opportunity to test different flow regimes and visualize the impacts on hydropower revenue. This information can help adjust the number of steady low flow days during different months. For instance, it can be estimated that by giving up one steady flow day during high energy value month (e.g. August) can purchase several unsteady flow days during months with lower energy prices (e.g. June). Quantifying lost hydropower revenue f</w:t>
      </w:r>
      <w:r w:rsidR="00FE3A53">
        <w:rPr>
          <w:i w:val="0"/>
          <w:color w:val="auto"/>
          <w:sz w:val="24"/>
        </w:rPr>
        <w:t>rom</w:t>
      </w:r>
      <w:r>
        <w:rPr>
          <w:i w:val="0"/>
          <w:color w:val="auto"/>
          <w:sz w:val="24"/>
        </w:rPr>
        <w:t xml:space="preserve"> bug flow days in </w:t>
      </w:r>
      <w:r>
        <w:rPr>
          <w:i w:val="0"/>
          <w:color w:val="auto"/>
          <w:sz w:val="24"/>
        </w:rPr>
        <w:lastRenderedPageBreak/>
        <w:t>dollars ($) can help a broader audience of politicians, economists, hydropower companies, environmental groups, and general public engage in reservoir release and bug-flow decisions.</w:t>
      </w:r>
    </w:p>
    <w:p w14:paraId="76CC9B5F" w14:textId="77777777" w:rsidR="00FE3A53" w:rsidRDefault="00FE3A53" w:rsidP="00FE3A53">
      <w:pPr>
        <w:rPr>
          <w:rFonts w:ascii="Times New Roman" w:hAnsi="Times New Roman" w:cs="Times New Roman"/>
          <w:b/>
          <w:sz w:val="24"/>
        </w:rPr>
      </w:pPr>
      <w:r w:rsidRPr="00FE3A53">
        <w:rPr>
          <w:rFonts w:ascii="Times New Roman" w:hAnsi="Times New Roman" w:cs="Times New Roman"/>
          <w:b/>
          <w:sz w:val="24"/>
        </w:rPr>
        <w:t xml:space="preserve">Methods </w:t>
      </w:r>
    </w:p>
    <w:p w14:paraId="22718A72" w14:textId="77777777" w:rsidR="00FE3A53" w:rsidRDefault="00A4542A" w:rsidP="00A4542A">
      <w:pPr>
        <w:spacing w:line="480" w:lineRule="auto"/>
        <w:jc w:val="both"/>
      </w:pPr>
      <w:r w:rsidRPr="00A4542A">
        <w:rPr>
          <w:rFonts w:ascii="Times New Roman" w:eastAsia="Times New Roman" w:hAnsi="Times New Roman" w:cs="Times New Roman"/>
          <w:iCs/>
          <w:sz w:val="24"/>
          <w:szCs w:val="18"/>
        </w:rPr>
        <w:t xml:space="preserve">The daily hydrograph was simplified by dividing the day into two periods: 1) </w:t>
      </w:r>
      <w:proofErr w:type="spellStart"/>
      <w:r w:rsidRPr="00A4542A">
        <w:rPr>
          <w:rFonts w:ascii="Times New Roman" w:eastAsia="Times New Roman" w:hAnsi="Times New Roman" w:cs="Times New Roman"/>
          <w:iCs/>
          <w:sz w:val="24"/>
          <w:szCs w:val="18"/>
        </w:rPr>
        <w:t>pLow</w:t>
      </w:r>
      <w:proofErr w:type="spellEnd"/>
      <w:r w:rsidRPr="00A4542A">
        <w:rPr>
          <w:rFonts w:ascii="Times New Roman" w:eastAsia="Times New Roman" w:hAnsi="Times New Roman" w:cs="Times New Roman"/>
          <w:iCs/>
          <w:sz w:val="24"/>
          <w:szCs w:val="18"/>
        </w:rPr>
        <w:t xml:space="preserve"> (off-peak) which starts at midnight and last till 8 a.m. and 2) </w:t>
      </w:r>
      <w:proofErr w:type="spellStart"/>
      <w:r w:rsidRPr="00A4542A">
        <w:rPr>
          <w:rFonts w:ascii="Times New Roman" w:eastAsia="Times New Roman" w:hAnsi="Times New Roman" w:cs="Times New Roman"/>
          <w:iCs/>
          <w:sz w:val="24"/>
          <w:szCs w:val="18"/>
        </w:rPr>
        <w:t>pHigh</w:t>
      </w:r>
      <w:proofErr w:type="spellEnd"/>
      <w:r w:rsidRPr="00A4542A">
        <w:rPr>
          <w:rFonts w:ascii="Times New Roman" w:eastAsia="Times New Roman" w:hAnsi="Times New Roman" w:cs="Times New Roman"/>
          <w:iCs/>
          <w:sz w:val="24"/>
          <w:szCs w:val="18"/>
        </w:rPr>
        <w:t xml:space="preserve"> (on-peak) which last between 8 a.m. and midnight. The duration of periods was selected in accordance to the energy pricing data provided by WAPA. The energy prices also vary by day of the week e.g. weekday vs weekend. Here we assumed that the energy price during weekends equals the off-peak energy price during</w:t>
      </w:r>
      <w:r w:rsidR="00E50BE0">
        <w:rPr>
          <w:rFonts w:ascii="Times New Roman" w:eastAsia="Times New Roman" w:hAnsi="Times New Roman" w:cs="Times New Roman"/>
          <w:iCs/>
          <w:sz w:val="24"/>
          <w:szCs w:val="18"/>
        </w:rPr>
        <w:t xml:space="preserve"> </w:t>
      </w:r>
      <w:r w:rsidR="00E50BE0" w:rsidRPr="00222F17">
        <w:rPr>
          <w:rFonts w:ascii="Times New Roman" w:eastAsia="Times New Roman" w:hAnsi="Times New Roman" w:cs="Times New Roman"/>
          <w:iCs/>
          <w:sz w:val="24"/>
          <w:szCs w:val="18"/>
        </w:rPr>
        <w:t xml:space="preserve">weekdays. For instance, the model for June 2018 has 24.56$/MWh for low and 62.21$/MWh for high periods on weekdays, whereas 24.65$/MWh for both low and high periods on the weekends. The model defines the Glen Canyon dam release hydrograph in terms of four variables which remain the same throughout the month: a) a release which remains constant throughout the </w:t>
      </w:r>
      <w:r w:rsidR="0083025C">
        <w:rPr>
          <w:rFonts w:ascii="Times New Roman" w:eastAsia="Times New Roman" w:hAnsi="Times New Roman" w:cs="Times New Roman"/>
          <w:iCs/>
          <w:sz w:val="24"/>
          <w:szCs w:val="18"/>
        </w:rPr>
        <w:t>on-</w:t>
      </w:r>
      <w:r w:rsidR="00E50BE0" w:rsidRPr="00222F17">
        <w:rPr>
          <w:rFonts w:ascii="Times New Roman" w:eastAsia="Times New Roman" w:hAnsi="Times New Roman" w:cs="Times New Roman"/>
          <w:iCs/>
          <w:sz w:val="24"/>
          <w:szCs w:val="18"/>
        </w:rPr>
        <w:t xml:space="preserve"> and off-peak periods of steady low flow days, b) release during off-peak period on a hydropeaking day that is also equal to or less than release during steady flow day, c) release during on-peak period on a hydropeaking day, and d) number of days with steady low releases (see Figure 1). The mentioned assumptions and static conditions at Lake Powell (e.g. minimum change in reservoir elevation, constant hydropower generation, etc.), specifically within a months’ time, helped transformed the nonlinear problem into linear.</w:t>
      </w:r>
      <w:r w:rsidR="00E50BE0">
        <w:t xml:space="preserve">  </w:t>
      </w:r>
    </w:p>
    <w:p w14:paraId="78D8ED22" w14:textId="77777777" w:rsidR="001E6EB3" w:rsidRDefault="00A63B75" w:rsidP="001E6EB3">
      <w:pPr>
        <w:spacing w:line="480" w:lineRule="auto"/>
        <w:jc w:val="both"/>
        <w:rPr>
          <w:rFonts w:ascii="Times New Roman" w:eastAsia="Times New Roman" w:hAnsi="Times New Roman" w:cs="Times New Roman"/>
          <w:iCs/>
          <w:sz w:val="24"/>
          <w:szCs w:val="18"/>
        </w:rPr>
      </w:pPr>
      <w:r w:rsidRPr="00A63B75">
        <w:rPr>
          <w:rFonts w:ascii="Times New Roman" w:eastAsia="Times New Roman" w:hAnsi="Times New Roman" w:cs="Times New Roman"/>
          <w:iCs/>
          <w:sz w:val="24"/>
          <w:szCs w:val="18"/>
        </w:rPr>
        <w:t xml:space="preserve">The model has two competing objectives: 1) aquatic invertebrate’s suitability represented by the number of days of steady low flow, and 2) Hydropower generation quantified by the total monthly hydropower revenue. To determine the tradeoff between the objectives, we used the constraint method where the number of steady low flow days were constrained and varied from 0 to 30, and the monthly hydropower revenue was maximized for each day value. The model runs for one </w:t>
      </w:r>
    </w:p>
    <w:p w14:paraId="350E3A9F" w14:textId="77777777" w:rsidR="001E6EB3" w:rsidRDefault="00764B18" w:rsidP="001E6EB3">
      <w:pPr>
        <w:spacing w:before="100" w:beforeAutospacing="1" w:line="480" w:lineRule="auto"/>
        <w:jc w:val="both"/>
        <w:rPr>
          <w:rFonts w:ascii="Times New Roman" w:eastAsia="Times New Roman" w:hAnsi="Times New Roman" w:cs="Times New Roman"/>
          <w:iCs/>
          <w:sz w:val="24"/>
          <w:szCs w:val="18"/>
        </w:rPr>
      </w:pPr>
      <w:r>
        <w:rPr>
          <w:noProof/>
        </w:rPr>
        <w:lastRenderedPageBreak/>
        <w:drawing>
          <wp:anchor distT="0" distB="0" distL="114300" distR="114300" simplePos="0" relativeHeight="251658240" behindDoc="0" locked="0" layoutInCell="1" allowOverlap="1" wp14:anchorId="57567548" wp14:editId="2ADE2752">
            <wp:simplePos x="0" y="0"/>
            <wp:positionH relativeFrom="margin">
              <wp:align>right</wp:align>
            </wp:positionH>
            <wp:positionV relativeFrom="paragraph">
              <wp:posOffset>497</wp:posOffset>
            </wp:positionV>
            <wp:extent cx="5943600" cy="32797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pic:spPr>
                </pic:pic>
              </a:graphicData>
            </a:graphic>
            <wp14:sizeRelH relativeFrom="page">
              <wp14:pctWidth>0</wp14:pctWidth>
            </wp14:sizeRelH>
            <wp14:sizeRelV relativeFrom="page">
              <wp14:pctHeight>0</wp14:pctHeight>
            </wp14:sizeRelV>
          </wp:anchor>
        </w:drawing>
      </w:r>
      <w:r w:rsidR="001E6EB3">
        <w:rPr>
          <w:noProof/>
        </w:rPr>
        <mc:AlternateContent>
          <mc:Choice Requires="wps">
            <w:drawing>
              <wp:anchor distT="0" distB="0" distL="114300" distR="114300" simplePos="0" relativeHeight="251660288" behindDoc="0" locked="0" layoutInCell="1" allowOverlap="1" wp14:anchorId="2797384D" wp14:editId="6F57AEB2">
                <wp:simplePos x="0" y="0"/>
                <wp:positionH relativeFrom="margin">
                  <wp:align>right</wp:align>
                </wp:positionH>
                <wp:positionV relativeFrom="paragraph">
                  <wp:posOffset>3243469</wp:posOffset>
                </wp:positionV>
                <wp:extent cx="5943600" cy="1263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264258"/>
                        </a:xfrm>
                        <a:prstGeom prst="rect">
                          <a:avLst/>
                        </a:prstGeom>
                        <a:solidFill>
                          <a:prstClr val="white"/>
                        </a:solidFill>
                        <a:ln>
                          <a:noFill/>
                        </a:ln>
                      </wps:spPr>
                      <wps:txbx>
                        <w:txbxContent>
                          <w:p w14:paraId="4E85849E" w14:textId="4261EC6D" w:rsidR="00222F17" w:rsidRPr="00222F17" w:rsidRDefault="00222F17" w:rsidP="00222F17">
                            <w:pPr>
                              <w:pStyle w:val="Caption"/>
                              <w:jc w:val="both"/>
                              <w:rPr>
                                <w:noProof/>
                                <w:sz w:val="20"/>
                              </w:rPr>
                            </w:pPr>
                            <w:r w:rsidRPr="00222F17">
                              <w:rPr>
                                <w:i w:val="0"/>
                                <w:sz w:val="24"/>
                              </w:rPr>
                              <w:t xml:space="preserve">Figure </w:t>
                            </w:r>
                            <w:r w:rsidRPr="00222F17">
                              <w:rPr>
                                <w:i w:val="0"/>
                                <w:sz w:val="24"/>
                              </w:rPr>
                              <w:fldChar w:fldCharType="begin"/>
                            </w:r>
                            <w:r w:rsidRPr="00222F17">
                              <w:rPr>
                                <w:i w:val="0"/>
                                <w:sz w:val="24"/>
                              </w:rPr>
                              <w:instrText xml:space="preserve"> SEQ Figure \* ARABIC </w:instrText>
                            </w:r>
                            <w:r w:rsidRPr="00222F17">
                              <w:rPr>
                                <w:i w:val="0"/>
                                <w:sz w:val="24"/>
                              </w:rPr>
                              <w:fldChar w:fldCharType="separate"/>
                            </w:r>
                            <w:r w:rsidR="004F02B5">
                              <w:rPr>
                                <w:i w:val="0"/>
                                <w:noProof/>
                                <w:sz w:val="24"/>
                              </w:rPr>
                              <w:t>1</w:t>
                            </w:r>
                            <w:r w:rsidRPr="00222F17">
                              <w:rPr>
                                <w:i w:val="0"/>
                                <w:sz w:val="24"/>
                              </w:rPr>
                              <w:fldChar w:fldCharType="end"/>
                            </w:r>
                            <w:r>
                              <w:t xml:space="preserve"> </w:t>
                            </w:r>
                            <w:r>
                              <w:rPr>
                                <w:i w:val="0"/>
                                <w:iCs w:val="0"/>
                                <w:sz w:val="24"/>
                                <w:szCs w:val="22"/>
                              </w:rPr>
                              <w:t>Example monthly hydrograph with 10 steady low flow days. On x-axis, d1 to d30 representing the days in a month with each day having two sub-daily periods (</w:t>
                            </w:r>
                            <w:proofErr w:type="spellStart"/>
                            <w:r>
                              <w:rPr>
                                <w:i w:val="0"/>
                                <w:iCs w:val="0"/>
                                <w:sz w:val="24"/>
                                <w:szCs w:val="22"/>
                              </w:rPr>
                              <w:t>pLow</w:t>
                            </w:r>
                            <w:proofErr w:type="spellEnd"/>
                            <w:r>
                              <w:rPr>
                                <w:i w:val="0"/>
                                <w:iCs w:val="0"/>
                                <w:sz w:val="24"/>
                                <w:szCs w:val="22"/>
                              </w:rPr>
                              <w:t xml:space="preserve"> and </w:t>
                            </w:r>
                            <w:proofErr w:type="spellStart"/>
                            <w:r>
                              <w:rPr>
                                <w:i w:val="0"/>
                                <w:iCs w:val="0"/>
                                <w:sz w:val="24"/>
                                <w:szCs w:val="22"/>
                              </w:rPr>
                              <w:t>pHigh</w:t>
                            </w:r>
                            <w:proofErr w:type="spellEnd"/>
                            <w:r>
                              <w:rPr>
                                <w:i w:val="0"/>
                                <w:iCs w:val="0"/>
                                <w:sz w:val="24"/>
                                <w:szCs w:val="22"/>
                              </w:rPr>
                              <w:t xml:space="preserve">). The duration of </w:t>
                            </w:r>
                            <w:proofErr w:type="spellStart"/>
                            <w:r>
                              <w:rPr>
                                <w:i w:val="0"/>
                                <w:iCs w:val="0"/>
                                <w:sz w:val="24"/>
                                <w:szCs w:val="22"/>
                              </w:rPr>
                              <w:t>pLow</w:t>
                            </w:r>
                            <w:proofErr w:type="spellEnd"/>
                            <w:r>
                              <w:rPr>
                                <w:i w:val="0"/>
                                <w:iCs w:val="0"/>
                                <w:sz w:val="24"/>
                                <w:szCs w:val="22"/>
                              </w:rPr>
                              <w:t xml:space="preserve"> is assumed as 8 hours and </w:t>
                            </w:r>
                            <w:proofErr w:type="spellStart"/>
                            <w:r>
                              <w:rPr>
                                <w:i w:val="0"/>
                                <w:iCs w:val="0"/>
                                <w:sz w:val="24"/>
                                <w:szCs w:val="22"/>
                              </w:rPr>
                              <w:t>pHigh</w:t>
                            </w:r>
                            <w:proofErr w:type="spellEnd"/>
                            <w:r>
                              <w:rPr>
                                <w:i w:val="0"/>
                                <w:iCs w:val="0"/>
                                <w:sz w:val="24"/>
                                <w:szCs w:val="22"/>
                              </w:rPr>
                              <w:t xml:space="preserve"> as 16 hours. The y-axis shows release value within a period. The model places steady flow days on weekends first and then remaining steady day at the end of the month. For example, </w:t>
                            </w:r>
                            <w:r w:rsidR="001E6EB3">
                              <w:rPr>
                                <w:i w:val="0"/>
                                <w:iCs w:val="0"/>
                                <w:sz w:val="24"/>
                                <w:szCs w:val="22"/>
                              </w:rPr>
                              <w:t xml:space="preserve">here </w:t>
                            </w:r>
                            <w:r>
                              <w:rPr>
                                <w:i w:val="0"/>
                                <w:iCs w:val="0"/>
                                <w:sz w:val="24"/>
                                <w:szCs w:val="22"/>
                              </w:rPr>
                              <w:t>the model assumes the monthly calendar starts with Monday, it places the two extra steady day beyond weekends at the end of the month (i.e. on d29 and d30).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7384D" id="_x0000_t202" coordsize="21600,21600" o:spt="202" path="m,l,21600r21600,l21600,xe">
                <v:stroke joinstyle="miter"/>
                <v:path gradientshapeok="t" o:connecttype="rect"/>
              </v:shapetype>
              <v:shape id="Text Box 1" o:spid="_x0000_s1026" type="#_x0000_t202" style="position:absolute;left:0;text-align:left;margin-left:416.8pt;margin-top:255.4pt;width:468pt;height:99.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" stroked="f">
                <v:textbox inset="0,0,0,0">
                  <w:txbxContent>
                    <w:p w14:paraId="4E85849E" w14:textId="4261EC6D" w:rsidR="00222F17" w:rsidRPr="00222F17" w:rsidRDefault="00222F17" w:rsidP="00222F17">
                      <w:pPr>
                        <w:pStyle w:val="Caption"/>
                        <w:jc w:val="both"/>
                        <w:rPr>
                          <w:noProof/>
                          <w:sz w:val="20"/>
                        </w:rPr>
                      </w:pPr>
                      <w:r w:rsidRPr="00222F17">
                        <w:rPr>
                          <w:i w:val="0"/>
                          <w:sz w:val="24"/>
                        </w:rPr>
                        <w:t xml:space="preserve">Figure </w:t>
                      </w:r>
                      <w:r w:rsidRPr="00222F17">
                        <w:rPr>
                          <w:i w:val="0"/>
                          <w:sz w:val="24"/>
                        </w:rPr>
                        <w:fldChar w:fldCharType="begin"/>
                      </w:r>
                      <w:r w:rsidRPr="00222F17">
                        <w:rPr>
                          <w:i w:val="0"/>
                          <w:sz w:val="24"/>
                        </w:rPr>
                        <w:instrText xml:space="preserve"> SEQ Figure \* ARABIC </w:instrText>
                      </w:r>
                      <w:r w:rsidRPr="00222F17">
                        <w:rPr>
                          <w:i w:val="0"/>
                          <w:sz w:val="24"/>
                        </w:rPr>
                        <w:fldChar w:fldCharType="separate"/>
                      </w:r>
                      <w:r w:rsidR="004F02B5">
                        <w:rPr>
                          <w:i w:val="0"/>
                          <w:noProof/>
                          <w:sz w:val="24"/>
                        </w:rPr>
                        <w:t>1</w:t>
                      </w:r>
                      <w:r w:rsidRPr="00222F17">
                        <w:rPr>
                          <w:i w:val="0"/>
                          <w:sz w:val="24"/>
                        </w:rPr>
                        <w:fldChar w:fldCharType="end"/>
                      </w:r>
                      <w:r>
                        <w:t xml:space="preserve"> </w:t>
                      </w:r>
                      <w:r>
                        <w:rPr>
                          <w:i w:val="0"/>
                          <w:iCs w:val="0"/>
                          <w:sz w:val="24"/>
                          <w:szCs w:val="22"/>
                        </w:rPr>
                        <w:t>Example monthly hydrograph with 10 steady low flow days. On x-axis, d1 to d30 representing the days in a month with each day having two sub-daily periods (</w:t>
                      </w:r>
                      <w:proofErr w:type="spellStart"/>
                      <w:r>
                        <w:rPr>
                          <w:i w:val="0"/>
                          <w:iCs w:val="0"/>
                          <w:sz w:val="24"/>
                          <w:szCs w:val="22"/>
                        </w:rPr>
                        <w:t>pLow</w:t>
                      </w:r>
                      <w:proofErr w:type="spellEnd"/>
                      <w:r>
                        <w:rPr>
                          <w:i w:val="0"/>
                          <w:iCs w:val="0"/>
                          <w:sz w:val="24"/>
                          <w:szCs w:val="22"/>
                        </w:rPr>
                        <w:t xml:space="preserve"> and </w:t>
                      </w:r>
                      <w:proofErr w:type="spellStart"/>
                      <w:r>
                        <w:rPr>
                          <w:i w:val="0"/>
                          <w:iCs w:val="0"/>
                          <w:sz w:val="24"/>
                          <w:szCs w:val="22"/>
                        </w:rPr>
                        <w:t>pHigh</w:t>
                      </w:r>
                      <w:proofErr w:type="spellEnd"/>
                      <w:r>
                        <w:rPr>
                          <w:i w:val="0"/>
                          <w:iCs w:val="0"/>
                          <w:sz w:val="24"/>
                          <w:szCs w:val="22"/>
                        </w:rPr>
                        <w:t xml:space="preserve">). The duration of </w:t>
                      </w:r>
                      <w:proofErr w:type="spellStart"/>
                      <w:r>
                        <w:rPr>
                          <w:i w:val="0"/>
                          <w:iCs w:val="0"/>
                          <w:sz w:val="24"/>
                          <w:szCs w:val="22"/>
                        </w:rPr>
                        <w:t>pLow</w:t>
                      </w:r>
                      <w:proofErr w:type="spellEnd"/>
                      <w:r>
                        <w:rPr>
                          <w:i w:val="0"/>
                          <w:iCs w:val="0"/>
                          <w:sz w:val="24"/>
                          <w:szCs w:val="22"/>
                        </w:rPr>
                        <w:t xml:space="preserve"> is assumed as 8 hours and </w:t>
                      </w:r>
                      <w:proofErr w:type="spellStart"/>
                      <w:r>
                        <w:rPr>
                          <w:i w:val="0"/>
                          <w:iCs w:val="0"/>
                          <w:sz w:val="24"/>
                          <w:szCs w:val="22"/>
                        </w:rPr>
                        <w:t>pHigh</w:t>
                      </w:r>
                      <w:proofErr w:type="spellEnd"/>
                      <w:r>
                        <w:rPr>
                          <w:i w:val="0"/>
                          <w:iCs w:val="0"/>
                          <w:sz w:val="24"/>
                          <w:szCs w:val="22"/>
                        </w:rPr>
                        <w:t xml:space="preserve"> as 16 hours. The y-axis shows release value within a period. The model places steady flow days on weekends first and then remaining steady day at the end of the month. For example, </w:t>
                      </w:r>
                      <w:r w:rsidR="001E6EB3">
                        <w:rPr>
                          <w:i w:val="0"/>
                          <w:iCs w:val="0"/>
                          <w:sz w:val="24"/>
                          <w:szCs w:val="22"/>
                        </w:rPr>
                        <w:t xml:space="preserve">here </w:t>
                      </w:r>
                      <w:r>
                        <w:rPr>
                          <w:i w:val="0"/>
                          <w:iCs w:val="0"/>
                          <w:sz w:val="24"/>
                          <w:szCs w:val="22"/>
                        </w:rPr>
                        <w:t>the model assumes the monthly calendar starts with Monday, it places the two extra steady day beyond weekends at the end of the month (i.e. on d29 and d30).</w:t>
                      </w:r>
                    </w:p>
                  </w:txbxContent>
                </v:textbox>
                <w10:wrap type="square" anchorx="margin"/>
              </v:shape>
            </w:pict>
          </mc:Fallback>
        </mc:AlternateContent>
      </w:r>
      <w:r w:rsidR="00A63B75" w:rsidRPr="00A63B75">
        <w:rPr>
          <w:rFonts w:ascii="Times New Roman" w:eastAsia="Times New Roman" w:hAnsi="Times New Roman" w:cs="Times New Roman"/>
          <w:iCs/>
          <w:sz w:val="24"/>
          <w:szCs w:val="18"/>
        </w:rPr>
        <w:t xml:space="preserve">month with two sub-daily timesteps and is subject to reservoir mass balance, daily release limits, ramp rates, maximum energy generation, storage limits, and an exogenously specified monthly release volume. For instance, the power plant at Glen Canyon dam can hold releases between 8,000 to 31,500 </w:t>
      </w:r>
      <w:proofErr w:type="spellStart"/>
      <w:r w:rsidR="00A63B75" w:rsidRPr="00A63B75">
        <w:rPr>
          <w:rFonts w:ascii="Times New Roman" w:eastAsia="Times New Roman" w:hAnsi="Times New Roman" w:cs="Times New Roman"/>
          <w:iCs/>
          <w:sz w:val="24"/>
          <w:szCs w:val="18"/>
        </w:rPr>
        <w:t>cfs</w:t>
      </w:r>
      <w:proofErr w:type="spellEnd"/>
      <w:r w:rsidR="00A63B75" w:rsidRPr="00A63B75">
        <w:rPr>
          <w:rFonts w:ascii="Times New Roman" w:eastAsia="Times New Roman" w:hAnsi="Times New Roman" w:cs="Times New Roman"/>
          <w:iCs/>
          <w:sz w:val="24"/>
          <w:szCs w:val="18"/>
        </w:rPr>
        <w:t xml:space="preserve">, Lake Powell has a maximum storage capacity of 25 MAF, and the rate of change of release for Glen Canyon Dam is 8,000 </w:t>
      </w:r>
      <w:proofErr w:type="spellStart"/>
      <w:r w:rsidR="00A63B75" w:rsidRPr="00A63B75">
        <w:rPr>
          <w:rFonts w:ascii="Times New Roman" w:eastAsia="Times New Roman" w:hAnsi="Times New Roman" w:cs="Times New Roman"/>
          <w:iCs/>
          <w:sz w:val="24"/>
          <w:szCs w:val="18"/>
        </w:rPr>
        <w:t>cfs</w:t>
      </w:r>
      <w:proofErr w:type="spellEnd"/>
      <w:r w:rsidR="00A63B75" w:rsidRPr="00A63B75">
        <w:rPr>
          <w:rFonts w:ascii="Times New Roman" w:eastAsia="Times New Roman" w:hAnsi="Times New Roman" w:cs="Times New Roman"/>
          <w:iCs/>
          <w:sz w:val="24"/>
          <w:szCs w:val="18"/>
        </w:rPr>
        <w:t xml:space="preserve"> per day (LTEMP, 2016). In total, the model has 12 decision variables, two objective functions, and 21 constraints. </w:t>
      </w:r>
      <w:r w:rsidR="00A63B75">
        <w:rPr>
          <w:rFonts w:ascii="Times New Roman" w:eastAsia="Times New Roman" w:hAnsi="Times New Roman" w:cs="Times New Roman"/>
          <w:iCs/>
          <w:sz w:val="24"/>
          <w:szCs w:val="18"/>
        </w:rPr>
        <w:t xml:space="preserve">The </w:t>
      </w:r>
      <w:r w:rsidR="001E6EB3">
        <w:rPr>
          <w:rFonts w:ascii="Times New Roman" w:eastAsia="Times New Roman" w:hAnsi="Times New Roman" w:cs="Times New Roman"/>
          <w:iCs/>
          <w:sz w:val="24"/>
          <w:szCs w:val="18"/>
        </w:rPr>
        <w:t xml:space="preserve">model </w:t>
      </w:r>
      <w:r w:rsidR="00A63B75">
        <w:rPr>
          <w:rFonts w:ascii="Times New Roman" w:eastAsia="Times New Roman" w:hAnsi="Times New Roman" w:cs="Times New Roman"/>
          <w:iCs/>
          <w:sz w:val="24"/>
          <w:szCs w:val="18"/>
        </w:rPr>
        <w:t xml:space="preserve">decisions include: 1) Periodic releases </w:t>
      </w:r>
      <w:r w:rsidR="00A63B75" w:rsidRPr="00A63B75">
        <w:rPr>
          <w:rFonts w:ascii="Times New Roman" w:eastAsia="Times New Roman" w:hAnsi="Times New Roman" w:cs="Times New Roman"/>
          <w:iCs/>
          <w:sz w:val="24"/>
          <w:szCs w:val="18"/>
        </w:rPr>
        <w:t>(</w:t>
      </w:r>
      <w:proofErr w:type="spellStart"/>
      <w:r w:rsidR="00A63B75" w:rsidRPr="00A63B75">
        <w:rPr>
          <w:rFonts w:ascii="Times New Roman" w:eastAsia="Times New Roman" w:hAnsi="Times New Roman" w:cs="Times New Roman"/>
          <w:iCs/>
          <w:sz w:val="24"/>
          <w:szCs w:val="18"/>
        </w:rPr>
        <w:t>pLow</w:t>
      </w:r>
      <w:proofErr w:type="spellEnd"/>
      <w:r w:rsidR="00A63B75" w:rsidRPr="00A63B75">
        <w:rPr>
          <w:rFonts w:ascii="Times New Roman" w:eastAsia="Times New Roman" w:hAnsi="Times New Roman" w:cs="Times New Roman"/>
          <w:iCs/>
          <w:sz w:val="24"/>
          <w:szCs w:val="18"/>
        </w:rPr>
        <w:t xml:space="preserve"> and </w:t>
      </w:r>
      <w:proofErr w:type="spellStart"/>
      <w:r w:rsidR="00A63B75" w:rsidRPr="00A63B75">
        <w:rPr>
          <w:rFonts w:ascii="Times New Roman" w:eastAsia="Times New Roman" w:hAnsi="Times New Roman" w:cs="Times New Roman"/>
          <w:iCs/>
          <w:sz w:val="24"/>
          <w:szCs w:val="18"/>
        </w:rPr>
        <w:t>pHigh</w:t>
      </w:r>
      <w:proofErr w:type="spellEnd"/>
      <w:r w:rsidR="00A63B75" w:rsidRPr="00A63B75">
        <w:rPr>
          <w:rFonts w:ascii="Times New Roman" w:eastAsia="Times New Roman" w:hAnsi="Times New Roman" w:cs="Times New Roman"/>
          <w:iCs/>
          <w:sz w:val="24"/>
          <w:szCs w:val="18"/>
        </w:rPr>
        <w:t>)</w:t>
      </w:r>
      <w:r w:rsidR="00A63B75">
        <w:rPr>
          <w:rFonts w:ascii="Times New Roman" w:eastAsia="Times New Roman" w:hAnsi="Times New Roman" w:cs="Times New Roman"/>
          <w:iCs/>
          <w:sz w:val="24"/>
          <w:szCs w:val="18"/>
        </w:rPr>
        <w:t xml:space="preserve"> during each day type </w:t>
      </w:r>
      <w:r w:rsidR="00A63B75" w:rsidRPr="00A63B75">
        <w:rPr>
          <w:rFonts w:ascii="Times New Roman" w:eastAsia="Times New Roman" w:hAnsi="Times New Roman" w:cs="Times New Roman"/>
          <w:iCs/>
          <w:sz w:val="24"/>
          <w:szCs w:val="18"/>
        </w:rPr>
        <w:t>(weekday and weekend)</w:t>
      </w:r>
      <w:r w:rsidR="00A63B75">
        <w:rPr>
          <w:rFonts w:ascii="Times New Roman" w:eastAsia="Times New Roman" w:hAnsi="Times New Roman" w:cs="Times New Roman"/>
          <w:iCs/>
          <w:sz w:val="24"/>
          <w:szCs w:val="18"/>
        </w:rPr>
        <w:t xml:space="preserve">. 2) Energy generation during each period and day. 3) </w:t>
      </w:r>
      <w:r w:rsidR="001E6EB3">
        <w:rPr>
          <w:rFonts w:ascii="Times New Roman" w:eastAsia="Times New Roman" w:hAnsi="Times New Roman" w:cs="Times New Roman"/>
          <w:iCs/>
          <w:sz w:val="24"/>
          <w:szCs w:val="18"/>
        </w:rPr>
        <w:t>Total water available to release. 4) End of the month storage. 5) Total release during steady and unsteady flow days.</w:t>
      </w:r>
    </w:p>
    <w:p w14:paraId="7DEBB69B" w14:textId="77777777" w:rsidR="00FE3A53" w:rsidRDefault="001E6EB3" w:rsidP="001E6EB3">
      <w:pPr>
        <w:spacing w:line="480" w:lineRule="auto"/>
        <w:jc w:val="both"/>
        <w:rPr>
          <w:rFonts w:ascii="Times New Roman" w:eastAsia="Times New Roman" w:hAnsi="Times New Roman" w:cs="Times New Roman"/>
          <w:iCs/>
          <w:sz w:val="24"/>
          <w:szCs w:val="18"/>
        </w:rPr>
      </w:pPr>
      <w:r w:rsidRPr="001E6EB3">
        <w:rPr>
          <w:rFonts w:ascii="Times New Roman" w:eastAsia="Times New Roman" w:hAnsi="Times New Roman" w:cs="Times New Roman"/>
          <w:iCs/>
          <w:sz w:val="24"/>
          <w:szCs w:val="18"/>
        </w:rPr>
        <w:lastRenderedPageBreak/>
        <w:t xml:space="preserve">The developed model was validated against the dataset from June 2018 and tested against variety of scenarios (e.g. total monthly volume, price differential between on-peak and off-peak periods during weekdays, offset release between off-peak weekday and weekends). The monthly release volume scenarios vary between 0.7 and 1.1 million acre-feet per month, the number of low flow days between 0 and 30 days, the on-peak weekday price lowered from $63.52 (base case) to $50.61 to $37.70 per MWh, and the offset release increased from 0 to 1000 </w:t>
      </w:r>
      <w:proofErr w:type="spellStart"/>
      <w:r w:rsidRPr="001E6EB3">
        <w:rPr>
          <w:rFonts w:ascii="Times New Roman" w:eastAsia="Times New Roman" w:hAnsi="Times New Roman" w:cs="Times New Roman"/>
          <w:iCs/>
          <w:sz w:val="24"/>
          <w:szCs w:val="18"/>
        </w:rPr>
        <w:t>cfs</w:t>
      </w:r>
      <w:proofErr w:type="spellEnd"/>
      <w:r w:rsidRPr="001E6EB3">
        <w:rPr>
          <w:rFonts w:ascii="Times New Roman" w:eastAsia="Times New Roman" w:hAnsi="Times New Roman" w:cs="Times New Roman"/>
          <w:iCs/>
          <w:sz w:val="24"/>
          <w:szCs w:val="18"/>
        </w:rPr>
        <w:t xml:space="preserve"> (H0 to H1000). The offset release is the additional release made on steady weekends in reference to the off-peak weekday release. The offset release was requested by WAPA to maximize the hydropower revenue especially during Saturday on-peak period. Finally, we ran the model with a scenario having the same energy prices for weekdays and weekends to check the sensitivity of model towards the pricing template</w:t>
      </w:r>
      <w:r>
        <w:rPr>
          <w:rFonts w:ascii="Times New Roman" w:eastAsia="Times New Roman" w:hAnsi="Times New Roman" w:cs="Times New Roman"/>
          <w:iCs/>
          <w:sz w:val="24"/>
          <w:szCs w:val="18"/>
        </w:rPr>
        <w:t>.</w:t>
      </w:r>
    </w:p>
    <w:p w14:paraId="56C95823" w14:textId="77777777" w:rsidR="00E724CD" w:rsidRDefault="00E724CD" w:rsidP="00E724CD">
      <w:pPr>
        <w:spacing w:after="0" w:line="480" w:lineRule="auto"/>
        <w:jc w:val="both"/>
        <w:rPr>
          <w:rFonts w:ascii="Times New Roman" w:eastAsia="Times New Roman" w:hAnsi="Times New Roman" w:cs="Times New Roman"/>
          <w:b/>
          <w:iCs/>
          <w:sz w:val="24"/>
          <w:szCs w:val="18"/>
        </w:rPr>
      </w:pPr>
      <w:r w:rsidRPr="00E724CD">
        <w:rPr>
          <w:rFonts w:ascii="Times New Roman" w:eastAsia="Times New Roman" w:hAnsi="Times New Roman" w:cs="Times New Roman"/>
          <w:b/>
          <w:iCs/>
          <w:sz w:val="24"/>
          <w:szCs w:val="18"/>
        </w:rPr>
        <w:t>Validation</w:t>
      </w:r>
    </w:p>
    <w:p w14:paraId="05470C10" w14:textId="77777777" w:rsidR="00997464" w:rsidRDefault="00997464" w:rsidP="00316803">
      <w:pPr>
        <w:pStyle w:val="NoSpacing"/>
        <w:spacing w:line="480" w:lineRule="auto"/>
        <w:jc w:val="both"/>
      </w:pPr>
      <w:r>
        <w:t>Two scenarios of modeled Glen Canyon dam releases and energy generation were validated against observed values (Table 1). 15 mins observed release timeseries at Lees Ferry gage (station id: 09380000) for June 2018 was acquired from USGS Grand Canyon monitoring and research center website. Daily energy generation data was acquired from United States Bureau of Reclamation website (</w:t>
      </w:r>
      <w:hyperlink r:id="rId10" w:history="1">
        <w:r>
          <w:rPr>
            <w:rStyle w:val="Hyperlink"/>
          </w:rPr>
          <w:t>https://www.usbr.gov/rsvrWater/HistoricalApp.html</w:t>
        </w:r>
      </w:hyperlink>
      <w:r>
        <w:t xml:space="preserve">). Scenario #1 is the observed data. Scenario #2 presents the results of a model where 15-minute observed releases were upscaled to hourly releases and hourly energy pricing provided in WAPA document were used. Scenario #3 is the linear programming formulation for the problem with two time-periods per day that took inputs of the monthly flow volume, 9 days of steady low flow, and energy prices of $63.52/MWh &amp; $37.70/MWh for the </w:t>
      </w:r>
      <w:proofErr w:type="spellStart"/>
      <w:r>
        <w:t>pHigh</w:t>
      </w:r>
      <w:proofErr w:type="spellEnd"/>
      <w:r>
        <w:t xml:space="preserve"> and </w:t>
      </w:r>
      <w:proofErr w:type="spellStart"/>
      <w:r>
        <w:t>pLow</w:t>
      </w:r>
      <w:proofErr w:type="spellEnd"/>
      <w:r>
        <w:t xml:space="preserve"> periods. Each price was estimated as the total revenue generated from the hourly price and release data for that period for the month divided </w:t>
      </w:r>
      <w:r>
        <w:lastRenderedPageBreak/>
        <w:t>by the number of hours in the period for the month. These prices preserved the total monthly revenue between scenarios #2 and #3.</w:t>
      </w:r>
    </w:p>
    <w:p w14:paraId="11A67105" w14:textId="77777777" w:rsidR="00997464" w:rsidRDefault="00997464" w:rsidP="00997464">
      <w:pPr>
        <w:pStyle w:val="NoSpacing"/>
        <w:spacing w:line="480" w:lineRule="auto"/>
        <w:jc w:val="both"/>
        <w:rPr>
          <w:iCs/>
          <w:color w:val="44546A" w:themeColor="text2"/>
          <w:szCs w:val="18"/>
        </w:rPr>
      </w:pPr>
      <w:r>
        <w:rPr>
          <w:iCs/>
          <w:color w:val="44546A" w:themeColor="text2"/>
          <w:szCs w:val="18"/>
        </w:rPr>
        <w:t>Table 1. Validation Scenarios</w:t>
      </w:r>
    </w:p>
    <w:tbl>
      <w:tblPr>
        <w:tblpPr w:leftFromText="180" w:rightFromText="180" w:bottomFromText="160" w:vertAnchor="text" w:horzAnchor="margin" w:tblpY="43"/>
        <w:tblW w:w="9372" w:type="dxa"/>
        <w:tblLook w:val="04A0" w:firstRow="1" w:lastRow="0" w:firstColumn="1" w:lastColumn="0" w:noHBand="0" w:noVBand="1"/>
      </w:tblPr>
      <w:tblGrid>
        <w:gridCol w:w="616"/>
        <w:gridCol w:w="1629"/>
        <w:gridCol w:w="2251"/>
        <w:gridCol w:w="1407"/>
        <w:gridCol w:w="1445"/>
        <w:gridCol w:w="2024"/>
      </w:tblGrid>
      <w:tr w:rsidR="00997464" w14:paraId="7698720F" w14:textId="77777777" w:rsidTr="004E450D">
        <w:trPr>
          <w:trHeight w:val="980"/>
        </w:trPr>
        <w:tc>
          <w:tcPr>
            <w:tcW w:w="616" w:type="dxa"/>
            <w:tcBorders>
              <w:top w:val="single" w:sz="4" w:space="0" w:color="auto"/>
              <w:left w:val="single" w:sz="4" w:space="0" w:color="auto"/>
              <w:bottom w:val="single" w:sz="4" w:space="0" w:color="auto"/>
              <w:right w:val="single" w:sz="4" w:space="0" w:color="auto"/>
            </w:tcBorders>
            <w:vAlign w:val="center"/>
            <w:hideMark/>
          </w:tcPr>
          <w:p w14:paraId="394A90ED" w14:textId="77777777" w:rsidR="00997464" w:rsidRDefault="00997464" w:rsidP="004E450D">
            <w:pPr>
              <w:spacing w:after="0"/>
              <w:rPr>
                <w:iCs/>
                <w:color w:val="44546A" w:themeColor="text2"/>
                <w:szCs w:val="18"/>
              </w:rPr>
            </w:pPr>
          </w:p>
        </w:tc>
        <w:tc>
          <w:tcPr>
            <w:tcW w:w="1629" w:type="dxa"/>
            <w:tcBorders>
              <w:top w:val="single" w:sz="4" w:space="0" w:color="auto"/>
              <w:left w:val="single" w:sz="4" w:space="0" w:color="auto"/>
              <w:bottom w:val="single" w:sz="4" w:space="0" w:color="auto"/>
              <w:right w:val="single" w:sz="4" w:space="0" w:color="auto"/>
            </w:tcBorders>
            <w:vAlign w:val="center"/>
            <w:hideMark/>
          </w:tcPr>
          <w:p w14:paraId="7CA6B234" w14:textId="77777777" w:rsidR="00997464" w:rsidRDefault="00997464" w:rsidP="004E450D">
            <w:pPr>
              <w:spacing w:after="0" w:line="276" w:lineRule="auto"/>
              <w:jc w:val="center"/>
              <w:rPr>
                <w:rFonts w:ascii="Times New Roman" w:eastAsia="Times New Roman" w:hAnsi="Times New Roman" w:cs="Times New Roman"/>
                <w:b/>
                <w:bCs/>
                <w:color w:val="000000"/>
                <w:sz w:val="24"/>
                <w:szCs w:val="24"/>
              </w:rPr>
            </w:pPr>
            <w:r>
              <w:rPr>
                <w:b/>
                <w:bCs/>
                <w:color w:val="000000"/>
              </w:rPr>
              <w:t>Scenario</w:t>
            </w:r>
          </w:p>
        </w:tc>
        <w:tc>
          <w:tcPr>
            <w:tcW w:w="2251" w:type="dxa"/>
            <w:tcBorders>
              <w:top w:val="single" w:sz="4" w:space="0" w:color="auto"/>
              <w:left w:val="single" w:sz="4" w:space="0" w:color="auto"/>
              <w:bottom w:val="single" w:sz="4" w:space="0" w:color="auto"/>
              <w:right w:val="single" w:sz="4" w:space="0" w:color="auto"/>
            </w:tcBorders>
            <w:vAlign w:val="center"/>
            <w:hideMark/>
          </w:tcPr>
          <w:p w14:paraId="220F7A7D" w14:textId="77777777" w:rsidR="00997464" w:rsidRDefault="00997464" w:rsidP="004E450D">
            <w:pPr>
              <w:spacing w:after="0" w:line="276" w:lineRule="auto"/>
              <w:jc w:val="center"/>
              <w:rPr>
                <w:b/>
                <w:bCs/>
                <w:color w:val="000000"/>
              </w:rPr>
            </w:pPr>
            <w:r>
              <w:rPr>
                <w:b/>
                <w:bCs/>
                <w:color w:val="000000"/>
              </w:rPr>
              <w:t>Flow volume (Ac-ft/ Month)</w:t>
            </w:r>
          </w:p>
        </w:tc>
        <w:tc>
          <w:tcPr>
            <w:tcW w:w="1407" w:type="dxa"/>
            <w:tcBorders>
              <w:top w:val="single" w:sz="4" w:space="0" w:color="auto"/>
              <w:left w:val="single" w:sz="4" w:space="0" w:color="auto"/>
              <w:bottom w:val="single" w:sz="4" w:space="0" w:color="auto"/>
              <w:right w:val="single" w:sz="4" w:space="0" w:color="auto"/>
            </w:tcBorders>
            <w:vAlign w:val="center"/>
            <w:hideMark/>
          </w:tcPr>
          <w:p w14:paraId="46DAE227" w14:textId="77777777" w:rsidR="00997464" w:rsidRDefault="00997464" w:rsidP="004E450D">
            <w:pPr>
              <w:spacing w:after="0" w:line="276" w:lineRule="auto"/>
              <w:jc w:val="center"/>
              <w:rPr>
                <w:b/>
                <w:bCs/>
                <w:color w:val="000000"/>
              </w:rPr>
            </w:pPr>
            <w:r>
              <w:rPr>
                <w:b/>
                <w:bCs/>
                <w:color w:val="000000"/>
              </w:rPr>
              <w:t>Energy generated (MWh)</w:t>
            </w:r>
          </w:p>
        </w:tc>
        <w:tc>
          <w:tcPr>
            <w:tcW w:w="1445" w:type="dxa"/>
            <w:tcBorders>
              <w:top w:val="single" w:sz="4" w:space="0" w:color="auto"/>
              <w:left w:val="single" w:sz="4" w:space="0" w:color="auto"/>
              <w:bottom w:val="single" w:sz="4" w:space="0" w:color="auto"/>
              <w:right w:val="single" w:sz="4" w:space="0" w:color="auto"/>
            </w:tcBorders>
            <w:vAlign w:val="center"/>
            <w:hideMark/>
          </w:tcPr>
          <w:p w14:paraId="5622DCB7" w14:textId="77777777" w:rsidR="00997464" w:rsidRDefault="00997464" w:rsidP="004E450D">
            <w:pPr>
              <w:spacing w:after="0" w:line="276" w:lineRule="auto"/>
              <w:jc w:val="center"/>
              <w:rPr>
                <w:b/>
                <w:bCs/>
                <w:color w:val="000000"/>
              </w:rPr>
            </w:pPr>
            <w:r>
              <w:rPr>
                <w:b/>
                <w:bCs/>
                <w:color w:val="000000"/>
              </w:rPr>
              <w:t>Revenue generated ($)</w:t>
            </w:r>
          </w:p>
        </w:tc>
        <w:tc>
          <w:tcPr>
            <w:tcW w:w="2024" w:type="dxa"/>
            <w:tcBorders>
              <w:top w:val="single" w:sz="4" w:space="0" w:color="auto"/>
              <w:left w:val="single" w:sz="4" w:space="0" w:color="auto"/>
              <w:bottom w:val="single" w:sz="4" w:space="0" w:color="auto"/>
              <w:right w:val="single" w:sz="4" w:space="0" w:color="auto"/>
            </w:tcBorders>
            <w:vAlign w:val="center"/>
            <w:hideMark/>
          </w:tcPr>
          <w:p w14:paraId="127A3D90" w14:textId="77777777" w:rsidR="00997464" w:rsidRDefault="00997464" w:rsidP="004E450D">
            <w:pPr>
              <w:spacing w:after="0" w:line="276" w:lineRule="auto"/>
              <w:jc w:val="center"/>
              <w:rPr>
                <w:b/>
                <w:bCs/>
                <w:color w:val="000000"/>
              </w:rPr>
            </w:pPr>
            <w:r>
              <w:rPr>
                <w:b/>
                <w:bCs/>
                <w:color w:val="000000"/>
              </w:rPr>
              <w:t>% Error in energy generated relative to observed</w:t>
            </w:r>
          </w:p>
        </w:tc>
      </w:tr>
      <w:tr w:rsidR="00997464" w14:paraId="22B08294" w14:textId="77777777" w:rsidTr="004E450D">
        <w:trPr>
          <w:trHeight w:val="614"/>
        </w:trPr>
        <w:tc>
          <w:tcPr>
            <w:tcW w:w="616" w:type="dxa"/>
            <w:tcBorders>
              <w:top w:val="single" w:sz="4" w:space="0" w:color="auto"/>
              <w:left w:val="single" w:sz="4" w:space="0" w:color="auto"/>
              <w:bottom w:val="single" w:sz="4" w:space="0" w:color="auto"/>
              <w:right w:val="single" w:sz="4" w:space="0" w:color="auto"/>
            </w:tcBorders>
            <w:vAlign w:val="center"/>
            <w:hideMark/>
          </w:tcPr>
          <w:p w14:paraId="515CA4DB" w14:textId="77777777" w:rsidR="00997464" w:rsidRDefault="00997464" w:rsidP="004E450D">
            <w:pPr>
              <w:spacing w:after="0" w:line="480" w:lineRule="auto"/>
              <w:jc w:val="center"/>
              <w:rPr>
                <w:color w:val="000000"/>
              </w:rPr>
            </w:pPr>
            <w:r>
              <w:rPr>
                <w:color w:val="000000"/>
              </w:rPr>
              <w:t>1</w:t>
            </w:r>
          </w:p>
        </w:tc>
        <w:tc>
          <w:tcPr>
            <w:tcW w:w="1629" w:type="dxa"/>
            <w:tcBorders>
              <w:top w:val="single" w:sz="4" w:space="0" w:color="auto"/>
              <w:left w:val="single" w:sz="4" w:space="0" w:color="auto"/>
              <w:bottom w:val="single" w:sz="4" w:space="0" w:color="auto"/>
              <w:right w:val="single" w:sz="4" w:space="0" w:color="auto"/>
            </w:tcBorders>
            <w:vAlign w:val="center"/>
            <w:hideMark/>
          </w:tcPr>
          <w:p w14:paraId="6A2D45B0" w14:textId="77777777" w:rsidR="00997464" w:rsidRDefault="00997464" w:rsidP="004E450D">
            <w:pPr>
              <w:spacing w:after="0" w:line="276" w:lineRule="auto"/>
              <w:jc w:val="center"/>
              <w:rPr>
                <w:color w:val="000000"/>
              </w:rPr>
            </w:pPr>
            <w:r>
              <w:rPr>
                <w:color w:val="000000"/>
              </w:rPr>
              <w:t>Observed</w:t>
            </w:r>
          </w:p>
        </w:tc>
        <w:tc>
          <w:tcPr>
            <w:tcW w:w="2251" w:type="dxa"/>
            <w:tcBorders>
              <w:top w:val="single" w:sz="4" w:space="0" w:color="auto"/>
              <w:left w:val="single" w:sz="4" w:space="0" w:color="auto"/>
              <w:bottom w:val="single" w:sz="4" w:space="0" w:color="auto"/>
              <w:right w:val="single" w:sz="4" w:space="0" w:color="auto"/>
            </w:tcBorders>
            <w:noWrap/>
            <w:vAlign w:val="center"/>
            <w:hideMark/>
          </w:tcPr>
          <w:p w14:paraId="65D772DC" w14:textId="77777777" w:rsidR="00997464" w:rsidRDefault="00997464" w:rsidP="004E450D">
            <w:pPr>
              <w:spacing w:after="0" w:line="276" w:lineRule="auto"/>
              <w:jc w:val="center"/>
              <w:rPr>
                <w:color w:val="000000"/>
              </w:rPr>
            </w:pPr>
            <w:r>
              <w:rPr>
                <w:color w:val="000000"/>
              </w:rPr>
              <w:t>784,406</w:t>
            </w:r>
          </w:p>
        </w:tc>
        <w:tc>
          <w:tcPr>
            <w:tcW w:w="1407" w:type="dxa"/>
            <w:tcBorders>
              <w:top w:val="single" w:sz="4" w:space="0" w:color="auto"/>
              <w:left w:val="single" w:sz="4" w:space="0" w:color="auto"/>
              <w:bottom w:val="single" w:sz="4" w:space="0" w:color="auto"/>
              <w:right w:val="single" w:sz="4" w:space="0" w:color="auto"/>
            </w:tcBorders>
            <w:noWrap/>
            <w:vAlign w:val="center"/>
            <w:hideMark/>
          </w:tcPr>
          <w:p w14:paraId="155E60C7" w14:textId="77777777" w:rsidR="00997464" w:rsidRDefault="00997464" w:rsidP="004E450D">
            <w:pPr>
              <w:spacing w:after="0" w:line="276" w:lineRule="auto"/>
              <w:jc w:val="center"/>
              <w:rPr>
                <w:color w:val="000000"/>
              </w:rPr>
            </w:pPr>
            <w:r>
              <w:rPr>
                <w:color w:val="000000"/>
              </w:rPr>
              <w:t>343,202</w:t>
            </w:r>
          </w:p>
        </w:tc>
        <w:tc>
          <w:tcPr>
            <w:tcW w:w="1445" w:type="dxa"/>
            <w:tcBorders>
              <w:top w:val="single" w:sz="4" w:space="0" w:color="auto"/>
              <w:left w:val="single" w:sz="4" w:space="0" w:color="auto"/>
              <w:bottom w:val="single" w:sz="4" w:space="0" w:color="auto"/>
              <w:right w:val="single" w:sz="4" w:space="0" w:color="auto"/>
            </w:tcBorders>
            <w:vAlign w:val="center"/>
            <w:hideMark/>
          </w:tcPr>
          <w:p w14:paraId="60B3799F" w14:textId="77777777" w:rsidR="00997464" w:rsidRDefault="00997464" w:rsidP="004E450D">
            <w:pPr>
              <w:spacing w:after="0" w:line="276" w:lineRule="auto"/>
              <w:jc w:val="center"/>
              <w:rPr>
                <w:bCs/>
                <w:color w:val="000000"/>
              </w:rPr>
            </w:pPr>
            <w:r>
              <w:rPr>
                <w:bCs/>
                <w:color w:val="000000"/>
              </w:rPr>
              <w:t>NA</w:t>
            </w:r>
          </w:p>
        </w:tc>
        <w:tc>
          <w:tcPr>
            <w:tcW w:w="2024" w:type="dxa"/>
            <w:tcBorders>
              <w:top w:val="single" w:sz="4" w:space="0" w:color="auto"/>
              <w:left w:val="single" w:sz="4" w:space="0" w:color="auto"/>
              <w:bottom w:val="single" w:sz="4" w:space="0" w:color="auto"/>
              <w:right w:val="single" w:sz="4" w:space="0" w:color="auto"/>
            </w:tcBorders>
            <w:vAlign w:val="center"/>
            <w:hideMark/>
          </w:tcPr>
          <w:p w14:paraId="604DC5F7" w14:textId="77777777" w:rsidR="00997464" w:rsidRDefault="00997464" w:rsidP="004E450D">
            <w:pPr>
              <w:spacing w:after="0"/>
              <w:rPr>
                <w:bCs/>
                <w:color w:val="000000"/>
              </w:rPr>
            </w:pPr>
          </w:p>
        </w:tc>
      </w:tr>
      <w:tr w:rsidR="00997464" w14:paraId="18E1A7DB" w14:textId="77777777" w:rsidTr="004E450D">
        <w:trPr>
          <w:trHeight w:val="135"/>
        </w:trPr>
        <w:tc>
          <w:tcPr>
            <w:tcW w:w="616" w:type="dxa"/>
            <w:tcBorders>
              <w:top w:val="single" w:sz="4" w:space="0" w:color="auto"/>
              <w:left w:val="single" w:sz="4" w:space="0" w:color="auto"/>
              <w:bottom w:val="single" w:sz="4" w:space="0" w:color="auto"/>
              <w:right w:val="single" w:sz="4" w:space="0" w:color="auto"/>
            </w:tcBorders>
            <w:noWrap/>
            <w:vAlign w:val="center"/>
            <w:hideMark/>
          </w:tcPr>
          <w:p w14:paraId="688E262E" w14:textId="77777777" w:rsidR="00997464" w:rsidRDefault="00997464" w:rsidP="004E450D">
            <w:pPr>
              <w:spacing w:after="0" w:line="480" w:lineRule="auto"/>
              <w:jc w:val="center"/>
              <w:rPr>
                <w:rFonts w:ascii="Times New Roman" w:eastAsia="Times New Roman" w:hAnsi="Times New Roman" w:cs="Times New Roman"/>
                <w:color w:val="000000"/>
                <w:sz w:val="24"/>
                <w:szCs w:val="24"/>
              </w:rPr>
            </w:pPr>
            <w:r>
              <w:rPr>
                <w:color w:val="000000"/>
              </w:rPr>
              <w:t>2</w:t>
            </w:r>
          </w:p>
        </w:tc>
        <w:tc>
          <w:tcPr>
            <w:tcW w:w="1629" w:type="dxa"/>
            <w:tcBorders>
              <w:top w:val="single" w:sz="4" w:space="0" w:color="auto"/>
              <w:left w:val="single" w:sz="4" w:space="0" w:color="auto"/>
              <w:bottom w:val="single" w:sz="4" w:space="0" w:color="auto"/>
              <w:right w:val="single" w:sz="4" w:space="0" w:color="auto"/>
            </w:tcBorders>
            <w:vAlign w:val="center"/>
            <w:hideMark/>
          </w:tcPr>
          <w:p w14:paraId="305B9851" w14:textId="77777777" w:rsidR="00997464" w:rsidRDefault="00997464" w:rsidP="004E450D">
            <w:pPr>
              <w:spacing w:after="0" w:line="276" w:lineRule="auto"/>
              <w:jc w:val="center"/>
              <w:rPr>
                <w:color w:val="000000"/>
              </w:rPr>
            </w:pPr>
            <w:r>
              <w:rPr>
                <w:color w:val="000000"/>
              </w:rPr>
              <w:t>Hourly</w:t>
            </w:r>
          </w:p>
        </w:tc>
        <w:tc>
          <w:tcPr>
            <w:tcW w:w="2251" w:type="dxa"/>
            <w:tcBorders>
              <w:top w:val="single" w:sz="4" w:space="0" w:color="auto"/>
              <w:left w:val="single" w:sz="4" w:space="0" w:color="auto"/>
              <w:bottom w:val="single" w:sz="4" w:space="0" w:color="auto"/>
              <w:right w:val="single" w:sz="4" w:space="0" w:color="auto"/>
            </w:tcBorders>
            <w:noWrap/>
            <w:vAlign w:val="center"/>
            <w:hideMark/>
          </w:tcPr>
          <w:p w14:paraId="44EF1A97" w14:textId="77777777" w:rsidR="00997464" w:rsidRDefault="00997464" w:rsidP="004E450D">
            <w:pPr>
              <w:spacing w:after="0" w:line="276" w:lineRule="auto"/>
              <w:jc w:val="center"/>
              <w:rPr>
                <w:color w:val="000000"/>
              </w:rPr>
            </w:pPr>
            <w:r>
              <w:rPr>
                <w:color w:val="000000"/>
              </w:rPr>
              <w:t>784,406</w:t>
            </w:r>
          </w:p>
        </w:tc>
        <w:tc>
          <w:tcPr>
            <w:tcW w:w="1407" w:type="dxa"/>
            <w:tcBorders>
              <w:top w:val="single" w:sz="4" w:space="0" w:color="auto"/>
              <w:left w:val="single" w:sz="4" w:space="0" w:color="auto"/>
              <w:bottom w:val="single" w:sz="4" w:space="0" w:color="auto"/>
              <w:right w:val="single" w:sz="4" w:space="0" w:color="auto"/>
            </w:tcBorders>
            <w:noWrap/>
            <w:vAlign w:val="center"/>
            <w:hideMark/>
          </w:tcPr>
          <w:p w14:paraId="23DBF16B" w14:textId="77777777" w:rsidR="00997464" w:rsidRDefault="00997464" w:rsidP="004E450D">
            <w:pPr>
              <w:spacing w:after="0" w:line="276" w:lineRule="auto"/>
              <w:jc w:val="center"/>
              <w:rPr>
                <w:color w:val="000000"/>
              </w:rPr>
            </w:pPr>
            <w:r>
              <w:rPr>
                <w:color w:val="000000"/>
              </w:rPr>
              <w:t>351,093</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47C95230" w14:textId="77777777" w:rsidR="00997464" w:rsidRDefault="00997464" w:rsidP="004E450D">
            <w:pPr>
              <w:spacing w:after="0" w:line="276" w:lineRule="auto"/>
              <w:jc w:val="center"/>
              <w:rPr>
                <w:color w:val="000000"/>
              </w:rPr>
            </w:pPr>
            <w:r>
              <w:rPr>
                <w:color w:val="000000"/>
              </w:rPr>
              <w:t>$18,308,079</w:t>
            </w:r>
          </w:p>
        </w:tc>
        <w:tc>
          <w:tcPr>
            <w:tcW w:w="2024" w:type="dxa"/>
            <w:tcBorders>
              <w:top w:val="single" w:sz="4" w:space="0" w:color="auto"/>
              <w:left w:val="single" w:sz="4" w:space="0" w:color="auto"/>
              <w:bottom w:val="single" w:sz="4" w:space="0" w:color="auto"/>
              <w:right w:val="single" w:sz="4" w:space="0" w:color="auto"/>
            </w:tcBorders>
            <w:noWrap/>
            <w:vAlign w:val="center"/>
            <w:hideMark/>
          </w:tcPr>
          <w:p w14:paraId="1162DDBF" w14:textId="77777777" w:rsidR="00997464" w:rsidRDefault="00997464" w:rsidP="004E450D">
            <w:pPr>
              <w:spacing w:after="0" w:line="276" w:lineRule="auto"/>
              <w:jc w:val="center"/>
              <w:rPr>
                <w:color w:val="000000"/>
              </w:rPr>
            </w:pPr>
            <w:r>
              <w:rPr>
                <w:color w:val="000000"/>
              </w:rPr>
              <w:t>2.3%</w:t>
            </w:r>
          </w:p>
        </w:tc>
      </w:tr>
      <w:tr w:rsidR="00997464" w14:paraId="2F2086FE" w14:textId="77777777" w:rsidTr="004E450D">
        <w:trPr>
          <w:trHeight w:val="137"/>
        </w:trPr>
        <w:tc>
          <w:tcPr>
            <w:tcW w:w="616" w:type="dxa"/>
            <w:tcBorders>
              <w:top w:val="single" w:sz="4" w:space="0" w:color="auto"/>
              <w:left w:val="single" w:sz="4" w:space="0" w:color="auto"/>
              <w:bottom w:val="single" w:sz="4" w:space="0" w:color="auto"/>
              <w:right w:val="single" w:sz="4" w:space="0" w:color="auto"/>
            </w:tcBorders>
            <w:noWrap/>
            <w:vAlign w:val="center"/>
            <w:hideMark/>
          </w:tcPr>
          <w:p w14:paraId="23F12A44" w14:textId="77777777" w:rsidR="00997464" w:rsidRDefault="00997464" w:rsidP="004E450D">
            <w:pPr>
              <w:spacing w:after="0" w:line="480" w:lineRule="auto"/>
              <w:jc w:val="center"/>
              <w:rPr>
                <w:color w:val="000000"/>
              </w:rPr>
            </w:pPr>
            <w:r>
              <w:rPr>
                <w:color w:val="000000"/>
              </w:rPr>
              <w:t>3</w:t>
            </w:r>
          </w:p>
        </w:tc>
        <w:tc>
          <w:tcPr>
            <w:tcW w:w="1629" w:type="dxa"/>
            <w:tcBorders>
              <w:top w:val="single" w:sz="4" w:space="0" w:color="auto"/>
              <w:left w:val="single" w:sz="4" w:space="0" w:color="auto"/>
              <w:bottom w:val="single" w:sz="4" w:space="0" w:color="auto"/>
              <w:right w:val="single" w:sz="4" w:space="0" w:color="auto"/>
            </w:tcBorders>
            <w:vAlign w:val="center"/>
            <w:hideMark/>
          </w:tcPr>
          <w:p w14:paraId="75EF44E6" w14:textId="77777777" w:rsidR="00997464" w:rsidRDefault="00997464" w:rsidP="004E450D">
            <w:pPr>
              <w:spacing w:after="0" w:line="276" w:lineRule="auto"/>
              <w:jc w:val="center"/>
              <w:rPr>
                <w:color w:val="000000"/>
              </w:rPr>
            </w:pPr>
            <w:r>
              <w:rPr>
                <w:color w:val="000000"/>
              </w:rPr>
              <w:t xml:space="preserve">Linear programming (2 periods: </w:t>
            </w:r>
            <w:proofErr w:type="spellStart"/>
            <w:r>
              <w:rPr>
                <w:color w:val="000000"/>
              </w:rPr>
              <w:t>pHigh</w:t>
            </w:r>
            <w:proofErr w:type="spellEnd"/>
            <w:r>
              <w:rPr>
                <w:color w:val="000000"/>
              </w:rPr>
              <w:t xml:space="preserve"> &amp; </w:t>
            </w:r>
            <w:proofErr w:type="spellStart"/>
            <w:r>
              <w:rPr>
                <w:color w:val="000000"/>
              </w:rPr>
              <w:t>pLow</w:t>
            </w:r>
            <w:proofErr w:type="spellEnd"/>
            <w:r>
              <w:rPr>
                <w:color w:val="000000"/>
              </w:rPr>
              <w:t>)</w:t>
            </w:r>
          </w:p>
        </w:tc>
        <w:tc>
          <w:tcPr>
            <w:tcW w:w="2251" w:type="dxa"/>
            <w:tcBorders>
              <w:top w:val="single" w:sz="4" w:space="0" w:color="auto"/>
              <w:left w:val="single" w:sz="4" w:space="0" w:color="auto"/>
              <w:bottom w:val="single" w:sz="4" w:space="0" w:color="auto"/>
              <w:right w:val="single" w:sz="4" w:space="0" w:color="auto"/>
            </w:tcBorders>
            <w:noWrap/>
            <w:vAlign w:val="center"/>
            <w:hideMark/>
          </w:tcPr>
          <w:p w14:paraId="77330F5B" w14:textId="77777777" w:rsidR="00997464" w:rsidRDefault="00997464" w:rsidP="004E450D">
            <w:pPr>
              <w:spacing w:after="0" w:line="276" w:lineRule="auto"/>
              <w:jc w:val="center"/>
              <w:rPr>
                <w:color w:val="000000"/>
              </w:rPr>
            </w:pPr>
            <w:r>
              <w:rPr>
                <w:color w:val="000000"/>
              </w:rPr>
              <w:t>784,406</w:t>
            </w:r>
          </w:p>
        </w:tc>
        <w:tc>
          <w:tcPr>
            <w:tcW w:w="1407" w:type="dxa"/>
            <w:tcBorders>
              <w:top w:val="single" w:sz="4" w:space="0" w:color="auto"/>
              <w:left w:val="single" w:sz="4" w:space="0" w:color="auto"/>
              <w:bottom w:val="single" w:sz="4" w:space="0" w:color="auto"/>
              <w:right w:val="single" w:sz="4" w:space="0" w:color="auto"/>
            </w:tcBorders>
            <w:noWrap/>
            <w:vAlign w:val="center"/>
            <w:hideMark/>
          </w:tcPr>
          <w:p w14:paraId="7CE11429" w14:textId="77777777" w:rsidR="00997464" w:rsidRDefault="00997464" w:rsidP="004E450D">
            <w:pPr>
              <w:spacing w:after="0" w:line="276" w:lineRule="auto"/>
              <w:jc w:val="center"/>
              <w:rPr>
                <w:color w:val="000000"/>
              </w:rPr>
            </w:pPr>
            <w:r>
              <w:rPr>
                <w:color w:val="000000"/>
              </w:rPr>
              <w:t>351,093</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61CF5DB5" w14:textId="77777777" w:rsidR="00997464" w:rsidRDefault="00997464" w:rsidP="004E450D">
            <w:pPr>
              <w:spacing w:after="0" w:line="276" w:lineRule="auto"/>
              <w:jc w:val="center"/>
              <w:rPr>
                <w:color w:val="000000"/>
              </w:rPr>
            </w:pPr>
            <w:r>
              <w:rPr>
                <w:color w:val="000000"/>
              </w:rPr>
              <w:t>$18,308,092</w:t>
            </w:r>
          </w:p>
        </w:tc>
        <w:tc>
          <w:tcPr>
            <w:tcW w:w="2024" w:type="dxa"/>
            <w:tcBorders>
              <w:top w:val="single" w:sz="4" w:space="0" w:color="auto"/>
              <w:left w:val="single" w:sz="4" w:space="0" w:color="auto"/>
              <w:bottom w:val="single" w:sz="4" w:space="0" w:color="auto"/>
              <w:right w:val="single" w:sz="4" w:space="0" w:color="auto"/>
            </w:tcBorders>
            <w:noWrap/>
            <w:vAlign w:val="center"/>
            <w:hideMark/>
          </w:tcPr>
          <w:p w14:paraId="6B4AC97C" w14:textId="77777777" w:rsidR="00997464" w:rsidRDefault="00997464" w:rsidP="004E450D">
            <w:pPr>
              <w:spacing w:after="0" w:line="276" w:lineRule="auto"/>
              <w:jc w:val="center"/>
              <w:rPr>
                <w:color w:val="000000"/>
              </w:rPr>
            </w:pPr>
            <w:r>
              <w:rPr>
                <w:color w:val="000000"/>
              </w:rPr>
              <w:t>2.3%</w:t>
            </w:r>
          </w:p>
        </w:tc>
      </w:tr>
    </w:tbl>
    <w:p w14:paraId="0DE79C50" w14:textId="77777777" w:rsidR="00997464" w:rsidRDefault="00997464" w:rsidP="00A3131C">
      <w:pPr>
        <w:spacing w:before="240" w:after="240" w:line="480" w:lineRule="auto"/>
        <w:jc w:val="both"/>
        <w:rPr>
          <w:rFonts w:ascii="Times New Roman" w:hAnsi="Times New Roman" w:cs="Times New Roman"/>
          <w:sz w:val="24"/>
        </w:rPr>
      </w:pPr>
      <w:r w:rsidRPr="00A3131C">
        <w:rPr>
          <w:rFonts w:ascii="Times New Roman" w:hAnsi="Times New Roman" w:cs="Times New Roman"/>
          <w:sz w:val="24"/>
        </w:rPr>
        <w:t>The results in Table 1 show that both models (hourly, and linear formulation model) generate about 2.3% more energy than observed. We looked through the elevation data of the reservoir and found that the storage level dropped by ~1.6 ft during the simulation month. That means an error of 0.2% can be expected from constant monthly head assumption. However, the main cause of energy over production can be the energy generation formula used. We could not find data describing the actual hydropower revenue obtained by WAPA.</w:t>
      </w:r>
    </w:p>
    <w:p w14:paraId="09645AF8" w14:textId="77777777" w:rsidR="00B50416" w:rsidRDefault="009D25D5" w:rsidP="00A65829">
      <w:pPr>
        <w:spacing w:before="240" w:after="0" w:line="480" w:lineRule="auto"/>
        <w:jc w:val="both"/>
        <w:rPr>
          <w:rFonts w:ascii="Times New Roman" w:eastAsia="Times New Roman" w:hAnsi="Times New Roman" w:cs="Times New Roman"/>
          <w:b/>
          <w:sz w:val="24"/>
        </w:rPr>
      </w:pPr>
      <w:r w:rsidRPr="009D25D5">
        <w:rPr>
          <w:rFonts w:ascii="Times New Roman" w:eastAsia="Times New Roman" w:hAnsi="Times New Roman" w:cs="Times New Roman"/>
          <w:b/>
          <w:sz w:val="24"/>
        </w:rPr>
        <w:t xml:space="preserve">Results </w:t>
      </w:r>
    </w:p>
    <w:p w14:paraId="6A028E85" w14:textId="77777777" w:rsidR="00A65829" w:rsidRPr="00A65829" w:rsidRDefault="00A65829" w:rsidP="00A65829">
      <w:pPr>
        <w:spacing w:after="240" w:line="480" w:lineRule="auto"/>
        <w:jc w:val="both"/>
        <w:rPr>
          <w:rFonts w:ascii="Times New Roman" w:hAnsi="Times New Roman" w:cs="Times New Roman"/>
          <w:sz w:val="24"/>
        </w:rPr>
      </w:pPr>
      <w:r w:rsidRPr="00A65829">
        <w:rPr>
          <w:rFonts w:ascii="Times New Roman" w:hAnsi="Times New Roman" w:cs="Times New Roman"/>
          <w:sz w:val="24"/>
        </w:rPr>
        <w:t xml:space="preserve">Figure </w:t>
      </w:r>
      <w:r>
        <w:rPr>
          <w:rFonts w:ascii="Times New Roman" w:hAnsi="Times New Roman" w:cs="Times New Roman"/>
          <w:sz w:val="24"/>
        </w:rPr>
        <w:t>2</w:t>
      </w:r>
      <w:r w:rsidRPr="00A65829">
        <w:rPr>
          <w:rFonts w:ascii="Times New Roman" w:hAnsi="Times New Roman" w:cs="Times New Roman"/>
          <w:sz w:val="24"/>
        </w:rPr>
        <w:t xml:space="preserve"> presents the calculated trade-offs between the number of steady low bug flow days (i.e. ecosystem objective) and hydropower revenue for June 2018. Different curves in Figure </w:t>
      </w:r>
      <w:r>
        <w:rPr>
          <w:rFonts w:ascii="Times New Roman" w:hAnsi="Times New Roman" w:cs="Times New Roman"/>
          <w:sz w:val="24"/>
        </w:rPr>
        <w:t>2</w:t>
      </w:r>
      <w:r w:rsidRPr="00A65829">
        <w:rPr>
          <w:rFonts w:ascii="Times New Roman" w:hAnsi="Times New Roman" w:cs="Times New Roman"/>
          <w:sz w:val="24"/>
        </w:rPr>
        <w:t xml:space="preserve"> are results for distinct scenarios of total monthly release volume. Dots on the curves are the estimated trade-off values for scenarios of different number of steady low bug flow days. Each curve in Figure </w:t>
      </w:r>
      <w:r w:rsidR="00EE0113">
        <w:rPr>
          <w:rFonts w:ascii="Times New Roman" w:hAnsi="Times New Roman" w:cs="Times New Roman"/>
          <w:sz w:val="24"/>
        </w:rPr>
        <w:t>2</w:t>
      </w:r>
      <w:r w:rsidRPr="00A65829">
        <w:rPr>
          <w:rFonts w:ascii="Times New Roman" w:hAnsi="Times New Roman" w:cs="Times New Roman"/>
          <w:sz w:val="24"/>
        </w:rPr>
        <w:t xml:space="preserve"> shows a win-win situation (i.e. increase in number of steady days increases the total revenue) as we move up from zero to eight steady low flow days (movement along y-axis). The </w:t>
      </w:r>
      <w:r w:rsidRPr="00A65829">
        <w:rPr>
          <w:rFonts w:ascii="Times New Roman" w:hAnsi="Times New Roman" w:cs="Times New Roman"/>
          <w:sz w:val="24"/>
        </w:rPr>
        <w:lastRenderedPageBreak/>
        <w:t xml:space="preserve">model shows that each added steady low flow day will add almost $60,000 to the total monthly revenues. </w:t>
      </w:r>
    </w:p>
    <w:p w14:paraId="7F226785" w14:textId="77777777" w:rsidR="00A65829" w:rsidRPr="00A65829" w:rsidRDefault="00A65829" w:rsidP="00EE0113">
      <w:pPr>
        <w:spacing w:after="240" w:line="480" w:lineRule="auto"/>
        <w:jc w:val="both"/>
        <w:rPr>
          <w:rFonts w:ascii="Times New Roman" w:hAnsi="Times New Roman" w:cs="Times New Roman"/>
          <w:sz w:val="24"/>
        </w:rPr>
      </w:pPr>
      <w:r w:rsidRPr="00A65829">
        <w:rPr>
          <w:rFonts w:ascii="Times New Roman" w:hAnsi="Times New Roman" w:cs="Times New Roman"/>
          <w:sz w:val="24"/>
        </w:rPr>
        <w:t xml:space="preserve">Above 8 steady low flow days, all the curves in Figure </w:t>
      </w:r>
      <w:r w:rsidR="00EE0113">
        <w:rPr>
          <w:rFonts w:ascii="Times New Roman" w:hAnsi="Times New Roman" w:cs="Times New Roman"/>
          <w:sz w:val="24"/>
        </w:rPr>
        <w:t>4</w:t>
      </w:r>
      <w:r w:rsidRPr="00A65829">
        <w:rPr>
          <w:rFonts w:ascii="Times New Roman" w:hAnsi="Times New Roman" w:cs="Times New Roman"/>
          <w:sz w:val="24"/>
        </w:rPr>
        <w:t xml:space="preserve"> change their direction as well as slope. Now, a win-lose situation manifests -- increase in number of days of steady releases decreases revenue from hydropower generation. With each added steady day, an amount of almost $62,750 deducts from the total monthly revenues. The reason behind the direction change was the situation where the additional steady days are replacing unsteady weekday releases. Weekday peak energy prices are higher than weekends. The transition point at 8 days corresponds to the number of weekend days in the month and also represents the current practice of the bug flow experiments. </w:t>
      </w:r>
    </w:p>
    <w:p w14:paraId="65EA4609" w14:textId="77777777" w:rsidR="00A65829" w:rsidRPr="00A65829" w:rsidRDefault="00A65829" w:rsidP="00A65829">
      <w:pPr>
        <w:spacing w:before="240" w:after="0" w:line="480" w:lineRule="auto"/>
        <w:jc w:val="both"/>
        <w:rPr>
          <w:rFonts w:ascii="Times New Roman" w:hAnsi="Times New Roman" w:cs="Times New Roman"/>
          <w:sz w:val="24"/>
        </w:rPr>
      </w:pPr>
      <w:r w:rsidRPr="00A65829">
        <w:rPr>
          <w:rFonts w:ascii="Times New Roman" w:hAnsi="Times New Roman" w:cs="Times New Roman"/>
          <w:sz w:val="24"/>
        </w:rPr>
        <w:t xml:space="preserve">In figure </w:t>
      </w:r>
      <w:r w:rsidR="00EE0113">
        <w:rPr>
          <w:rFonts w:ascii="Times New Roman" w:hAnsi="Times New Roman" w:cs="Times New Roman"/>
          <w:sz w:val="24"/>
        </w:rPr>
        <w:t>4</w:t>
      </w:r>
      <w:r w:rsidRPr="00A65829">
        <w:rPr>
          <w:rFonts w:ascii="Times New Roman" w:hAnsi="Times New Roman" w:cs="Times New Roman"/>
          <w:sz w:val="24"/>
        </w:rPr>
        <w:t>, the scenario with total monthly volume of 0.7 MAF does not follow the mentioned rates of revenue change. The reason is the rate of change of release constraint does not bind for this scenario – there is not enough water -- while the constraint binds for all other monthly volume scenarios.</w:t>
      </w:r>
    </w:p>
    <w:p w14:paraId="678DB6B0" w14:textId="77777777" w:rsidR="00A67AE6" w:rsidRDefault="00A67AE6" w:rsidP="00A67AE6">
      <w:pPr>
        <w:keepNext/>
        <w:spacing w:after="0" w:line="276" w:lineRule="auto"/>
        <w:jc w:val="center"/>
      </w:pPr>
      <w:r>
        <w:rPr>
          <w:noProof/>
        </w:rPr>
        <w:drawing>
          <wp:inline distT="0" distB="0" distL="0" distR="0" wp14:anchorId="11D5E2DF" wp14:editId="556D3065">
            <wp:extent cx="5184250" cy="2957885"/>
            <wp:effectExtent l="19050" t="19050" r="16510" b="139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1832" t="3597" r="1760" b="1198"/>
                    <a:stretch/>
                  </pic:blipFill>
                  <pic:spPr bwMode="auto">
                    <a:xfrm>
                      <a:off x="0" y="0"/>
                      <a:ext cx="5272787" cy="300840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lc="http://schemas.openxmlformats.org/drawingml/2006/lockedCanvas" xmlns:arto="http://schemas.microsoft.com/office/word/2006/arto" xmlns:ask="http://schemas.microsoft.com/office/drawing/2018/sketchyshapes"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A65B99" w14:textId="454CEF29" w:rsidR="00E724CD" w:rsidRDefault="00A67AE6" w:rsidP="00A67AE6">
      <w:pPr>
        <w:pStyle w:val="Caption"/>
        <w:spacing w:after="0"/>
        <w:jc w:val="both"/>
        <w:rPr>
          <w:b/>
          <w:iCs w:val="0"/>
          <w:sz w:val="24"/>
        </w:rPr>
      </w:pPr>
      <w:r w:rsidRPr="00A67AE6">
        <w:rPr>
          <w:i w:val="0"/>
          <w:sz w:val="24"/>
        </w:rPr>
        <w:t xml:space="preserve">Figure </w:t>
      </w:r>
      <w:r w:rsidRPr="00A67AE6">
        <w:rPr>
          <w:i w:val="0"/>
          <w:sz w:val="24"/>
        </w:rPr>
        <w:fldChar w:fldCharType="begin"/>
      </w:r>
      <w:r w:rsidRPr="00A67AE6">
        <w:rPr>
          <w:i w:val="0"/>
          <w:sz w:val="24"/>
        </w:rPr>
        <w:instrText xml:space="preserve"> SEQ Figure \* ARABIC </w:instrText>
      </w:r>
      <w:r w:rsidRPr="00A67AE6">
        <w:rPr>
          <w:i w:val="0"/>
          <w:sz w:val="24"/>
        </w:rPr>
        <w:fldChar w:fldCharType="separate"/>
      </w:r>
      <w:r w:rsidR="004F02B5">
        <w:rPr>
          <w:i w:val="0"/>
          <w:noProof/>
          <w:sz w:val="24"/>
        </w:rPr>
        <w:t>2</w:t>
      </w:r>
      <w:r w:rsidRPr="00A67AE6">
        <w:rPr>
          <w:i w:val="0"/>
          <w:sz w:val="24"/>
        </w:rPr>
        <w:fldChar w:fldCharType="end"/>
      </w:r>
      <w:r w:rsidRPr="00A67AE6">
        <w:rPr>
          <w:i w:val="0"/>
          <w:sz w:val="24"/>
        </w:rPr>
        <w:t xml:space="preserve"> </w:t>
      </w:r>
      <w:r w:rsidRPr="00A67AE6">
        <w:rPr>
          <w:i w:val="0"/>
          <w:sz w:val="24"/>
          <w:szCs w:val="22"/>
        </w:rPr>
        <w:t>Trade-off between Number of steady low flow days and Hydropower revenue. Each color is representing a specific monthly volume scenario</w:t>
      </w:r>
      <w:r>
        <w:rPr>
          <w:szCs w:val="22"/>
        </w:rPr>
        <w:t>.</w:t>
      </w:r>
    </w:p>
    <w:p w14:paraId="0314D860" w14:textId="77777777" w:rsidR="00A67AE6" w:rsidRPr="00A67AE6" w:rsidRDefault="00A67AE6" w:rsidP="00A67AE6">
      <w:pPr>
        <w:spacing w:after="240" w:line="480" w:lineRule="auto"/>
        <w:jc w:val="both"/>
        <w:rPr>
          <w:rFonts w:ascii="Times New Roman" w:hAnsi="Times New Roman" w:cs="Times New Roman"/>
          <w:sz w:val="24"/>
        </w:rPr>
      </w:pPr>
      <w:r w:rsidRPr="00A67AE6">
        <w:rPr>
          <w:rFonts w:ascii="Times New Roman" w:hAnsi="Times New Roman" w:cs="Times New Roman"/>
          <w:sz w:val="24"/>
        </w:rPr>
        <w:lastRenderedPageBreak/>
        <w:t xml:space="preserve">Another finding from Figure </w:t>
      </w:r>
      <w:r>
        <w:rPr>
          <w:rFonts w:ascii="Times New Roman" w:hAnsi="Times New Roman" w:cs="Times New Roman"/>
          <w:sz w:val="24"/>
        </w:rPr>
        <w:t>2</w:t>
      </w:r>
      <w:r w:rsidRPr="00A67AE6">
        <w:rPr>
          <w:rFonts w:ascii="Times New Roman" w:hAnsi="Times New Roman" w:cs="Times New Roman"/>
          <w:sz w:val="24"/>
        </w:rPr>
        <w:t xml:space="preserve"> is that the revenue from zero steady days equals the revenue from 15 steady low flow days (20 days for the 0.7 MAF per month release scenario). Which means 15 steady low flow days will generate the same revenues as were generated before the bug flow experiments (before summer 2018).</w:t>
      </w:r>
    </w:p>
    <w:p w14:paraId="51BD7B8B" w14:textId="77777777" w:rsidR="00A67AE6" w:rsidRPr="00A67AE6" w:rsidRDefault="00A67AE6" w:rsidP="00A67AE6">
      <w:pPr>
        <w:spacing w:after="240" w:line="480" w:lineRule="auto"/>
        <w:jc w:val="both"/>
        <w:rPr>
          <w:rFonts w:ascii="Times New Roman" w:hAnsi="Times New Roman" w:cs="Times New Roman"/>
          <w:sz w:val="24"/>
        </w:rPr>
      </w:pPr>
      <w:r w:rsidRPr="00A67AE6">
        <w:rPr>
          <w:rFonts w:ascii="Times New Roman" w:hAnsi="Times New Roman" w:cs="Times New Roman"/>
          <w:sz w:val="24"/>
        </w:rPr>
        <w:t xml:space="preserve">In Figure </w:t>
      </w:r>
      <w:r>
        <w:rPr>
          <w:rFonts w:ascii="Times New Roman" w:hAnsi="Times New Roman" w:cs="Times New Roman"/>
          <w:sz w:val="24"/>
        </w:rPr>
        <w:t>2</w:t>
      </w:r>
      <w:r w:rsidRPr="00A67AE6">
        <w:rPr>
          <w:rFonts w:ascii="Times New Roman" w:hAnsi="Times New Roman" w:cs="Times New Roman"/>
          <w:sz w:val="24"/>
        </w:rPr>
        <w:t>, it can also be noticed that increasing the total monthly release volume pushes the tradeoff curves right. Which means increasing the total monthly release volume benefit benefits hydropower revenue but does not harm bugs (win-stay the same). The model estimated that each added 0.1 MAF of monthly release volume will generate $2.25 million additional revenues.</w:t>
      </w:r>
    </w:p>
    <w:p w14:paraId="6D3964D4" w14:textId="77777777" w:rsidR="00A971B4" w:rsidRDefault="00A67AE6" w:rsidP="00A971B4">
      <w:pPr>
        <w:spacing w:line="480" w:lineRule="auto"/>
        <w:jc w:val="both"/>
        <w:rPr>
          <w:rFonts w:ascii="Times New Roman" w:hAnsi="Times New Roman" w:cs="Times New Roman"/>
          <w:sz w:val="24"/>
        </w:rPr>
      </w:pPr>
      <w:r w:rsidRPr="00A67AE6">
        <w:rPr>
          <w:rFonts w:ascii="Times New Roman" w:hAnsi="Times New Roman" w:cs="Times New Roman"/>
          <w:sz w:val="24"/>
        </w:rPr>
        <w:t xml:space="preserve">The model produces a hydrograph for each steady low flow day scenario (Figure </w:t>
      </w:r>
      <w:r>
        <w:rPr>
          <w:rFonts w:ascii="Times New Roman" w:hAnsi="Times New Roman" w:cs="Times New Roman"/>
          <w:sz w:val="24"/>
        </w:rPr>
        <w:t>3</w:t>
      </w:r>
      <w:r w:rsidRPr="00A67AE6">
        <w:rPr>
          <w:rFonts w:ascii="Times New Roman" w:hAnsi="Times New Roman" w:cs="Times New Roman"/>
          <w:sz w:val="24"/>
        </w:rPr>
        <w:t xml:space="preserve">). For example, the hydrograph for the scenario with zero steady low flow days has hydropeaking on each day of the month (Figure </w:t>
      </w:r>
      <w:r>
        <w:rPr>
          <w:rFonts w:ascii="Times New Roman" w:hAnsi="Times New Roman" w:cs="Times New Roman"/>
          <w:sz w:val="24"/>
        </w:rPr>
        <w:t>3</w:t>
      </w:r>
      <w:r w:rsidRPr="00A67AE6">
        <w:rPr>
          <w:rFonts w:ascii="Times New Roman" w:hAnsi="Times New Roman" w:cs="Times New Roman"/>
          <w:sz w:val="24"/>
        </w:rPr>
        <w:t xml:space="preserve">, blue, pre-bug flow experiments practice). The hydrograph for eight steady low flow days scenario has steady low flows on weekends and hydropeaking on weekdays (Figure </w:t>
      </w:r>
      <w:r>
        <w:rPr>
          <w:rFonts w:ascii="Times New Roman" w:hAnsi="Times New Roman" w:cs="Times New Roman"/>
          <w:sz w:val="24"/>
        </w:rPr>
        <w:t>3</w:t>
      </w:r>
      <w:r w:rsidRPr="00A67AE6">
        <w:rPr>
          <w:rFonts w:ascii="Times New Roman" w:hAnsi="Times New Roman" w:cs="Times New Roman"/>
          <w:sz w:val="24"/>
        </w:rPr>
        <w:t xml:space="preserve">, green, current bug flow experiment practice). The hydrograph with 15 steady low flow days has steady days first placed on weekends, and the remaining steady days placed at the end of the month (Figure </w:t>
      </w:r>
      <w:r>
        <w:rPr>
          <w:rFonts w:ascii="Times New Roman" w:hAnsi="Times New Roman" w:cs="Times New Roman"/>
          <w:sz w:val="24"/>
        </w:rPr>
        <w:t>3</w:t>
      </w:r>
      <w:r w:rsidRPr="00A67AE6">
        <w:rPr>
          <w:rFonts w:ascii="Times New Roman" w:hAnsi="Times New Roman" w:cs="Times New Roman"/>
          <w:sz w:val="24"/>
        </w:rPr>
        <w:t xml:space="preserve">, orange). In actually, the weekday steady flows could be placed on other weekdays in the month and still generate the same hydropower revenue. The 30 steady low flow days hydrograph is flat (Figure </w:t>
      </w:r>
      <w:r>
        <w:rPr>
          <w:rFonts w:ascii="Times New Roman" w:hAnsi="Times New Roman" w:cs="Times New Roman"/>
          <w:sz w:val="24"/>
        </w:rPr>
        <w:t>3</w:t>
      </w:r>
      <w:r w:rsidRPr="00A67AE6">
        <w:rPr>
          <w:rFonts w:ascii="Times New Roman" w:hAnsi="Times New Roman" w:cs="Times New Roman"/>
          <w:sz w:val="24"/>
        </w:rPr>
        <w:t xml:space="preserve">, </w:t>
      </w:r>
      <w:r>
        <w:rPr>
          <w:rFonts w:ascii="Times New Roman" w:hAnsi="Times New Roman" w:cs="Times New Roman"/>
          <w:sz w:val="24"/>
        </w:rPr>
        <w:t>yellow</w:t>
      </w:r>
      <w:r w:rsidRPr="00A67AE6">
        <w:rPr>
          <w:rFonts w:ascii="Times New Roman" w:hAnsi="Times New Roman" w:cs="Times New Roman"/>
          <w:sz w:val="24"/>
        </w:rPr>
        <w:t xml:space="preserve">).  In Figure </w:t>
      </w:r>
      <w:r w:rsidR="004B6AA4">
        <w:rPr>
          <w:rFonts w:ascii="Times New Roman" w:hAnsi="Times New Roman" w:cs="Times New Roman"/>
          <w:sz w:val="24"/>
        </w:rPr>
        <w:t>3</w:t>
      </w:r>
      <w:r w:rsidRPr="00A67AE6">
        <w:rPr>
          <w:rFonts w:ascii="Times New Roman" w:hAnsi="Times New Roman" w:cs="Times New Roman"/>
          <w:sz w:val="24"/>
        </w:rPr>
        <w:t>, it can be seen that with the increase in number of steady low flow days, the base flow also increases</w:t>
      </w:r>
      <w:r w:rsidR="00EF3C8A">
        <w:rPr>
          <w:rFonts w:ascii="Times New Roman" w:hAnsi="Times New Roman" w:cs="Times New Roman"/>
          <w:sz w:val="24"/>
        </w:rPr>
        <w:t>.</w:t>
      </w:r>
      <w:r w:rsidR="00A971B4">
        <w:rPr>
          <w:rFonts w:ascii="Times New Roman" w:hAnsi="Times New Roman" w:cs="Times New Roman"/>
          <w:sz w:val="24"/>
        </w:rPr>
        <w:t xml:space="preserve"> </w:t>
      </w:r>
    </w:p>
    <w:p w14:paraId="4DDE07FC" w14:textId="77777777" w:rsidR="007508D8" w:rsidRDefault="004B6AA4" w:rsidP="00BB24AF">
      <w:pPr>
        <w:spacing w:line="480" w:lineRule="auto"/>
        <w:jc w:val="both"/>
        <w:rPr>
          <w:rFonts w:ascii="Times New Roman" w:hAnsi="Times New Roman" w:cs="Times New Roman"/>
          <w:sz w:val="24"/>
          <w:szCs w:val="24"/>
        </w:rPr>
      </w:pPr>
      <w:r w:rsidRPr="00A971B4">
        <w:rPr>
          <w:rFonts w:ascii="Times New Roman" w:hAnsi="Times New Roman" w:cs="Times New Roman"/>
          <w:sz w:val="24"/>
          <w:szCs w:val="24"/>
        </w:rPr>
        <w:t>In addition, the model was tested with scenarios having different pr</w:t>
      </w:r>
      <w:bookmarkStart w:id="1" w:name="_GoBack"/>
      <w:bookmarkEnd w:id="1"/>
      <w:r w:rsidRPr="00A971B4">
        <w:rPr>
          <w:rFonts w:ascii="Times New Roman" w:hAnsi="Times New Roman" w:cs="Times New Roman"/>
          <w:sz w:val="24"/>
          <w:szCs w:val="24"/>
        </w:rPr>
        <w:t>ice differentials between on- and off-peak energy prices (Figure 4). By decreasing the price differentials from $25.82 (base case) to $12.91 to $0/MWH, the tradeoff curves shifted left to lower hydropower revenues. Also,</w:t>
      </w:r>
      <w:r w:rsidR="00A971B4" w:rsidRPr="00A971B4">
        <w:rPr>
          <w:rFonts w:ascii="Times New Roman" w:hAnsi="Times New Roman" w:cs="Times New Roman"/>
          <w:sz w:val="24"/>
          <w:szCs w:val="24"/>
        </w:rPr>
        <w:t xml:space="preserve"> </w:t>
      </w:r>
      <w:r w:rsidRPr="00A971B4">
        <w:rPr>
          <w:rFonts w:ascii="Times New Roman" w:hAnsi="Times New Roman" w:cs="Times New Roman"/>
          <w:sz w:val="24"/>
          <w:szCs w:val="24"/>
        </w:rPr>
        <w:t>decreasing the price differential between on- and off-peak prices flattens the slope of the tradeoff</w:t>
      </w:r>
      <w:r w:rsidR="00A971B4" w:rsidRPr="00A971B4">
        <w:rPr>
          <w:rFonts w:ascii="Times New Roman" w:hAnsi="Times New Roman" w:cs="Times New Roman"/>
          <w:sz w:val="24"/>
          <w:szCs w:val="24"/>
        </w:rPr>
        <w:t xml:space="preserve"> </w:t>
      </w:r>
      <w:r w:rsidR="00A971B4">
        <w:rPr>
          <w:noProof/>
        </w:rPr>
        <w:lastRenderedPageBreak/>
        <mc:AlternateContent>
          <mc:Choice Requires="wps">
            <w:drawing>
              <wp:anchor distT="0" distB="0" distL="114300" distR="114300" simplePos="0" relativeHeight="251663360" behindDoc="0" locked="0" layoutInCell="1" allowOverlap="1" wp14:anchorId="58E6730C" wp14:editId="1BD883D4">
                <wp:simplePos x="0" y="0"/>
                <wp:positionH relativeFrom="column">
                  <wp:posOffset>19050</wp:posOffset>
                </wp:positionH>
                <wp:positionV relativeFrom="paragraph">
                  <wp:posOffset>3251835</wp:posOffset>
                </wp:positionV>
                <wp:extent cx="55994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1A9C0E97" w14:textId="5D5A60EF" w:rsidR="00A971B4" w:rsidRPr="00A971B4" w:rsidRDefault="00A971B4" w:rsidP="00485D1F">
                            <w:pPr>
                              <w:pStyle w:val="Caption"/>
                              <w:spacing w:after="240"/>
                              <w:rPr>
                                <w:rFonts w:eastAsiaTheme="minorHAnsi"/>
                                <w:i w:val="0"/>
                                <w:sz w:val="36"/>
                                <w:szCs w:val="24"/>
                              </w:rPr>
                            </w:pPr>
                            <w:r w:rsidRPr="00A971B4">
                              <w:rPr>
                                <w:i w:val="0"/>
                                <w:sz w:val="24"/>
                              </w:rPr>
                              <w:t xml:space="preserve">Figure </w:t>
                            </w:r>
                            <w:r w:rsidRPr="00A971B4">
                              <w:rPr>
                                <w:i w:val="0"/>
                                <w:sz w:val="24"/>
                              </w:rPr>
                              <w:fldChar w:fldCharType="begin"/>
                            </w:r>
                            <w:r w:rsidRPr="00A971B4">
                              <w:rPr>
                                <w:i w:val="0"/>
                                <w:sz w:val="24"/>
                              </w:rPr>
                              <w:instrText xml:space="preserve"> SEQ Figure \* ARABIC </w:instrText>
                            </w:r>
                            <w:r w:rsidRPr="00A971B4">
                              <w:rPr>
                                <w:i w:val="0"/>
                                <w:sz w:val="24"/>
                              </w:rPr>
                              <w:fldChar w:fldCharType="separate"/>
                            </w:r>
                            <w:r w:rsidR="004F02B5">
                              <w:rPr>
                                <w:i w:val="0"/>
                                <w:noProof/>
                                <w:sz w:val="24"/>
                              </w:rPr>
                              <w:t>3</w:t>
                            </w:r>
                            <w:r w:rsidRPr="00A971B4">
                              <w:rPr>
                                <w:i w:val="0"/>
                                <w:sz w:val="24"/>
                              </w:rPr>
                              <w:fldChar w:fldCharType="end"/>
                            </w:r>
                            <w:r w:rsidRPr="00A971B4">
                              <w:rPr>
                                <w:i w:val="0"/>
                                <w:sz w:val="24"/>
                              </w:rPr>
                              <w:t xml:space="preserve"> Monthly hydrographs for number of steady low flow days scenarios (0, 8, 15, and 30 steady days) with 0.8 MAF total monthly release 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6730C" id="Text Box 4" o:spid="_x0000_s1027" type="#_x0000_t202" style="position:absolute;left:0;text-align:left;margin-left:1.5pt;margin-top:256.05pt;width:440.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" stroked="f">
                <v:textbox style="mso-fit-shape-to-text:t" inset="0,0,0,0">
                  <w:txbxContent>
                    <w:p w14:paraId="1A9C0E97" w14:textId="5D5A60EF" w:rsidR="00A971B4" w:rsidRPr="00A971B4" w:rsidRDefault="00A971B4" w:rsidP="00485D1F">
                      <w:pPr>
                        <w:pStyle w:val="Caption"/>
                        <w:spacing w:after="240"/>
                        <w:rPr>
                          <w:rFonts w:eastAsiaTheme="minorHAnsi"/>
                          <w:i w:val="0"/>
                          <w:sz w:val="36"/>
                          <w:szCs w:val="24"/>
                        </w:rPr>
                      </w:pPr>
                      <w:r w:rsidRPr="00A971B4">
                        <w:rPr>
                          <w:i w:val="0"/>
                          <w:sz w:val="24"/>
                        </w:rPr>
                        <w:t xml:space="preserve">Figure </w:t>
                      </w:r>
                      <w:r w:rsidRPr="00A971B4">
                        <w:rPr>
                          <w:i w:val="0"/>
                          <w:sz w:val="24"/>
                        </w:rPr>
                        <w:fldChar w:fldCharType="begin"/>
                      </w:r>
                      <w:r w:rsidRPr="00A971B4">
                        <w:rPr>
                          <w:i w:val="0"/>
                          <w:sz w:val="24"/>
                        </w:rPr>
                        <w:instrText xml:space="preserve"> SEQ Figure \* ARABIC </w:instrText>
                      </w:r>
                      <w:r w:rsidRPr="00A971B4">
                        <w:rPr>
                          <w:i w:val="0"/>
                          <w:sz w:val="24"/>
                        </w:rPr>
                        <w:fldChar w:fldCharType="separate"/>
                      </w:r>
                      <w:r w:rsidR="004F02B5">
                        <w:rPr>
                          <w:i w:val="0"/>
                          <w:noProof/>
                          <w:sz w:val="24"/>
                        </w:rPr>
                        <w:t>3</w:t>
                      </w:r>
                      <w:r w:rsidRPr="00A971B4">
                        <w:rPr>
                          <w:i w:val="0"/>
                          <w:sz w:val="24"/>
                        </w:rPr>
                        <w:fldChar w:fldCharType="end"/>
                      </w:r>
                      <w:r w:rsidRPr="00A971B4">
                        <w:rPr>
                          <w:i w:val="0"/>
                          <w:sz w:val="24"/>
                        </w:rPr>
                        <w:t xml:space="preserve"> Monthly hydrographs for number of steady low flow days scenarios (0, 8, 15, and 30 steady days) with 0.8 MAF total monthly release volume.</w:t>
                      </w:r>
                    </w:p>
                  </w:txbxContent>
                </v:textbox>
                <w10:wrap type="square"/>
              </v:shape>
            </w:pict>
          </mc:Fallback>
        </mc:AlternateContent>
      </w:r>
      <w:r w:rsidR="00A971B4">
        <w:rPr>
          <w:noProof/>
        </w:rPr>
        <w:drawing>
          <wp:anchor distT="0" distB="0" distL="114300" distR="114300" simplePos="0" relativeHeight="251661312" behindDoc="0" locked="0" layoutInCell="1" allowOverlap="1" wp14:anchorId="5C462824" wp14:editId="0A7EDBE7">
            <wp:simplePos x="0" y="0"/>
            <wp:positionH relativeFrom="margin">
              <wp:align>left</wp:align>
            </wp:positionH>
            <wp:positionV relativeFrom="paragraph">
              <wp:posOffset>19519</wp:posOffset>
            </wp:positionV>
            <wp:extent cx="5599430" cy="3175635"/>
            <wp:effectExtent l="19050" t="19050" r="20320" b="2476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l="1015" t="1605" r="854"/>
                    <a:stretch/>
                  </pic:blipFill>
                  <pic:spPr bwMode="auto">
                    <a:xfrm>
                      <a:off x="0" y="0"/>
                      <a:ext cx="5599430" cy="317563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71B4">
        <w:rPr>
          <w:rFonts w:ascii="Times New Roman" w:hAnsi="Times New Roman" w:cs="Times New Roman"/>
          <w:sz w:val="24"/>
          <w:szCs w:val="24"/>
        </w:rPr>
        <w:t>curves from $62,750 to $31,370 to $0 revenue per added day of steady flow. With a price differential of $0/MWh, the tradeoff curve is a vertical line. Under this price scenario, the energy revenue is the same regardless of the number of days of steady low flow and regardless of whether the hydrograph is flat or has hydropeaking.</w:t>
      </w:r>
    </w:p>
    <w:p w14:paraId="59E528D6" w14:textId="77777777" w:rsidR="00486F56" w:rsidRPr="00A971B4" w:rsidRDefault="00447840" w:rsidP="00A8737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5 </w:t>
      </w:r>
      <w:r w:rsidR="005144F7">
        <w:rPr>
          <w:rFonts w:ascii="Times New Roman" w:hAnsi="Times New Roman" w:cs="Times New Roman"/>
          <w:sz w:val="24"/>
          <w:szCs w:val="24"/>
        </w:rPr>
        <w:t xml:space="preserve">shows the movement of tradeoff curves with different offset release scenarios. Increasing the offset release values shift the curves towards left (decrease in hydropower revenue). Depending upon the number of steady low flow days scenario, the loss by increasing 100 </w:t>
      </w:r>
      <w:proofErr w:type="spellStart"/>
      <w:r w:rsidR="005144F7">
        <w:rPr>
          <w:rFonts w:ascii="Times New Roman" w:hAnsi="Times New Roman" w:cs="Times New Roman"/>
          <w:sz w:val="24"/>
          <w:szCs w:val="24"/>
        </w:rPr>
        <w:t>cfs</w:t>
      </w:r>
      <w:proofErr w:type="spellEnd"/>
      <w:r w:rsidR="005144F7">
        <w:rPr>
          <w:rFonts w:ascii="Times New Roman" w:hAnsi="Times New Roman" w:cs="Times New Roman"/>
          <w:sz w:val="24"/>
          <w:szCs w:val="24"/>
        </w:rPr>
        <w:t xml:space="preserve"> offset release varies between $0 to $9,000 except for the 0.7 MAF volume scenario. The maximum revenue loss occurs during 8 steady flow days scenario (current bug flow experiment hydrograph) and zero dollars difference at both extreme points.</w:t>
      </w:r>
      <w:r w:rsidR="000C723F">
        <w:rPr>
          <w:rFonts w:ascii="Times New Roman" w:hAnsi="Times New Roman" w:cs="Times New Roman"/>
          <w:sz w:val="24"/>
          <w:szCs w:val="24"/>
        </w:rPr>
        <w:t xml:space="preserve"> </w:t>
      </w:r>
      <w:r w:rsidR="00F3456B">
        <w:rPr>
          <w:rFonts w:ascii="Times New Roman" w:hAnsi="Times New Roman" w:cs="Times New Roman"/>
          <w:sz w:val="24"/>
          <w:szCs w:val="24"/>
        </w:rPr>
        <w:t>This is an on-going research where the replication of model over different months of the year and comparison amongst tradeoffs of different months to guide the decision of number of steady flow days in specific months is still under process.</w:t>
      </w:r>
    </w:p>
    <w:p w14:paraId="475C6EDC" w14:textId="77777777" w:rsidR="00A87376" w:rsidRDefault="00A87376" w:rsidP="00A87376">
      <w:pPr>
        <w:keepNext/>
        <w:spacing w:line="240" w:lineRule="auto"/>
        <w:jc w:val="both"/>
      </w:pPr>
      <w:r>
        <w:rPr>
          <w:noProof/>
        </w:rPr>
        <w:lastRenderedPageBreak/>
        <w:drawing>
          <wp:inline distT="0" distB="0" distL="0" distR="0" wp14:anchorId="3FC6D2D5" wp14:editId="49930BC5">
            <wp:extent cx="5943600" cy="2774950"/>
            <wp:effectExtent l="19050" t="19050" r="19050" b="2540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3" cstate="print">
                      <a:extLst>
                        <a:ext uri="{28A0092B-C50C-407E-A947-70E740481C1C}">
                          <a14:useLocalDpi xmlns:a14="http://schemas.microsoft.com/office/drawing/2010/main" val="0"/>
                        </a:ext>
                      </a:extLst>
                    </a:blip>
                    <a:srcRect l="695" t="986" r="1041" b="1315"/>
                    <a:stretch/>
                  </pic:blipFill>
                  <pic:spPr bwMode="auto">
                    <a:xfrm>
                      <a:off x="0" y="0"/>
                      <a:ext cx="5943600" cy="277495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4015D4F3" w14:textId="2D2021F5" w:rsidR="00EF3C8A" w:rsidRPr="00A87376" w:rsidRDefault="00A87376" w:rsidP="00D42F68">
      <w:pPr>
        <w:pStyle w:val="Caption"/>
        <w:spacing w:after="240"/>
        <w:jc w:val="both"/>
        <w:rPr>
          <w:b/>
          <w:i w:val="0"/>
          <w:iCs w:val="0"/>
          <w:sz w:val="40"/>
        </w:rPr>
      </w:pPr>
      <w:r w:rsidRPr="00A87376">
        <w:rPr>
          <w:i w:val="0"/>
          <w:sz w:val="24"/>
        </w:rPr>
        <w:t xml:space="preserve">Figure </w:t>
      </w:r>
      <w:r w:rsidRPr="00A87376">
        <w:rPr>
          <w:i w:val="0"/>
          <w:sz w:val="24"/>
        </w:rPr>
        <w:fldChar w:fldCharType="begin"/>
      </w:r>
      <w:r w:rsidRPr="00A87376">
        <w:rPr>
          <w:i w:val="0"/>
          <w:sz w:val="24"/>
        </w:rPr>
        <w:instrText xml:space="preserve"> SEQ Figure \* ARABIC </w:instrText>
      </w:r>
      <w:r w:rsidRPr="00A87376">
        <w:rPr>
          <w:i w:val="0"/>
          <w:sz w:val="24"/>
        </w:rPr>
        <w:fldChar w:fldCharType="separate"/>
      </w:r>
      <w:r w:rsidR="004F02B5">
        <w:rPr>
          <w:i w:val="0"/>
          <w:noProof/>
          <w:sz w:val="24"/>
        </w:rPr>
        <w:t>4</w:t>
      </w:r>
      <w:r w:rsidRPr="00A87376">
        <w:rPr>
          <w:i w:val="0"/>
          <w:sz w:val="24"/>
        </w:rPr>
        <w:fldChar w:fldCharType="end"/>
      </w:r>
      <w:r w:rsidRPr="00A87376">
        <w:rPr>
          <w:i w:val="0"/>
          <w:sz w:val="24"/>
        </w:rPr>
        <w:t xml:space="preserve"> </w:t>
      </w:r>
      <w:r w:rsidRPr="00A87376">
        <w:rPr>
          <w:i w:val="0"/>
          <w:color w:val="595959" w:themeColor="text1" w:themeTint="A6"/>
          <w:sz w:val="24"/>
        </w:rPr>
        <w:t>Tradeoff curves between Number of low bug flow days and Hydropower revenue for three of price differential scenarios. The type of line presents results of specific price differential scenario run i.e. dotted line is for 0$ price differential between on-peak and off-peak prices, dashed line is for half of current price differential ($12.91/MWh), and the solid line is for current price differential ($25.82/MWh). Different colors show specific monthly volume scenario.</w:t>
      </w:r>
    </w:p>
    <w:p w14:paraId="20973EC1" w14:textId="77777777" w:rsidR="00D42F68" w:rsidRDefault="0044053B" w:rsidP="00D42F68">
      <w:pPr>
        <w:keepNext/>
        <w:spacing w:after="120" w:line="240" w:lineRule="auto"/>
        <w:jc w:val="both"/>
      </w:pPr>
      <w:r>
        <w:rPr>
          <w:rFonts w:ascii="Times New Roman" w:hAnsi="Times New Roman" w:cs="Times New Roman"/>
          <w:noProof/>
          <w:sz w:val="24"/>
          <w:szCs w:val="24"/>
        </w:rPr>
        <w:drawing>
          <wp:inline distT="0" distB="0" distL="0" distR="0" wp14:anchorId="232F398D" wp14:editId="65BF88A6">
            <wp:extent cx="5881254" cy="3390047"/>
            <wp:effectExtent l="19050" t="19050" r="2476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96" t="1229" r="853"/>
                    <a:stretch/>
                  </pic:blipFill>
                  <pic:spPr bwMode="auto">
                    <a:xfrm>
                      <a:off x="0" y="0"/>
                      <a:ext cx="5924364" cy="341489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654F28BC" w14:textId="42051DED" w:rsidR="00EF3C8A" w:rsidRPr="00D42F68" w:rsidRDefault="00D42F68" w:rsidP="00D42F68">
      <w:pPr>
        <w:pStyle w:val="Caption"/>
        <w:spacing w:after="0"/>
        <w:jc w:val="both"/>
      </w:pPr>
      <w:r w:rsidRPr="00D42F68">
        <w:rPr>
          <w:i w:val="0"/>
          <w:sz w:val="24"/>
        </w:rPr>
        <w:t xml:space="preserve">Figure </w:t>
      </w:r>
      <w:r w:rsidRPr="00D42F68">
        <w:rPr>
          <w:i w:val="0"/>
          <w:sz w:val="24"/>
        </w:rPr>
        <w:fldChar w:fldCharType="begin"/>
      </w:r>
      <w:r w:rsidRPr="00D42F68">
        <w:rPr>
          <w:i w:val="0"/>
          <w:sz w:val="24"/>
        </w:rPr>
        <w:instrText xml:space="preserve"> SEQ Figure \* ARABIC </w:instrText>
      </w:r>
      <w:r w:rsidRPr="00D42F68">
        <w:rPr>
          <w:i w:val="0"/>
          <w:sz w:val="24"/>
        </w:rPr>
        <w:fldChar w:fldCharType="separate"/>
      </w:r>
      <w:r w:rsidR="004F02B5">
        <w:rPr>
          <w:i w:val="0"/>
          <w:noProof/>
          <w:sz w:val="24"/>
        </w:rPr>
        <w:t>5</w:t>
      </w:r>
      <w:r w:rsidRPr="00D42F68">
        <w:rPr>
          <w:i w:val="0"/>
          <w:sz w:val="24"/>
        </w:rPr>
        <w:fldChar w:fldCharType="end"/>
      </w:r>
      <w:r w:rsidRPr="00D42F68">
        <w:rPr>
          <w:sz w:val="24"/>
        </w:rPr>
        <w:t xml:space="preserve"> </w:t>
      </w:r>
      <w:r w:rsidRPr="00A87376">
        <w:rPr>
          <w:i w:val="0"/>
          <w:color w:val="595959" w:themeColor="text1" w:themeTint="A6"/>
          <w:sz w:val="24"/>
        </w:rPr>
        <w:t xml:space="preserve">Tradeoff curves between Number of low bug flow days and Hydropower revenue for </w:t>
      </w:r>
      <w:r>
        <w:rPr>
          <w:i w:val="0"/>
          <w:color w:val="595959" w:themeColor="text1" w:themeTint="A6"/>
          <w:sz w:val="24"/>
        </w:rPr>
        <w:t xml:space="preserve">four of offset release </w:t>
      </w:r>
      <w:r w:rsidRPr="00A87376">
        <w:rPr>
          <w:i w:val="0"/>
          <w:color w:val="595959" w:themeColor="text1" w:themeTint="A6"/>
          <w:sz w:val="24"/>
        </w:rPr>
        <w:t xml:space="preserve">scenarios. The type of line presents results of specific </w:t>
      </w:r>
      <w:r>
        <w:rPr>
          <w:i w:val="0"/>
          <w:color w:val="595959" w:themeColor="text1" w:themeTint="A6"/>
          <w:sz w:val="24"/>
        </w:rPr>
        <w:t xml:space="preserve">monthly volume </w:t>
      </w:r>
      <w:r w:rsidRPr="00A87376">
        <w:rPr>
          <w:i w:val="0"/>
          <w:color w:val="595959" w:themeColor="text1" w:themeTint="A6"/>
          <w:sz w:val="24"/>
        </w:rPr>
        <w:t>scenario</w:t>
      </w:r>
      <w:r>
        <w:rPr>
          <w:i w:val="0"/>
          <w:color w:val="595959" w:themeColor="text1" w:themeTint="A6"/>
          <w:sz w:val="24"/>
        </w:rPr>
        <w:t xml:space="preserve">s. </w:t>
      </w:r>
      <w:r w:rsidRPr="00A87376">
        <w:rPr>
          <w:i w:val="0"/>
          <w:color w:val="595959" w:themeColor="text1" w:themeTint="A6"/>
          <w:sz w:val="24"/>
        </w:rPr>
        <w:t xml:space="preserve">Different colors show specific </w:t>
      </w:r>
      <w:r>
        <w:rPr>
          <w:i w:val="0"/>
          <w:color w:val="595959" w:themeColor="text1" w:themeTint="A6"/>
          <w:sz w:val="24"/>
        </w:rPr>
        <w:t xml:space="preserve">weekend offset release scenarios, e.g. H0 means zero offset release between off-peak weekday and weekend, H500 equals 500 </w:t>
      </w:r>
      <w:proofErr w:type="spellStart"/>
      <w:r>
        <w:rPr>
          <w:i w:val="0"/>
          <w:color w:val="595959" w:themeColor="text1" w:themeTint="A6"/>
          <w:sz w:val="24"/>
        </w:rPr>
        <w:t>cfs</w:t>
      </w:r>
      <w:proofErr w:type="spellEnd"/>
      <w:r>
        <w:rPr>
          <w:i w:val="0"/>
          <w:color w:val="595959" w:themeColor="text1" w:themeTint="A6"/>
          <w:sz w:val="24"/>
        </w:rPr>
        <w:t xml:space="preserve"> offset release and so on.</w:t>
      </w:r>
    </w:p>
    <w:p w14:paraId="28DA9E19" w14:textId="77777777" w:rsidR="00BF236F" w:rsidRPr="00582318" w:rsidRDefault="00BF236F" w:rsidP="00BF236F">
      <w:pPr>
        <w:jc w:val="both"/>
        <w:rPr>
          <w:rFonts w:ascii="Times New Roman" w:hAnsi="Times New Roman" w:cs="Times New Roman"/>
          <w:b/>
          <w:bCs/>
          <w:sz w:val="24"/>
          <w:szCs w:val="24"/>
        </w:rPr>
      </w:pPr>
      <w:r w:rsidRPr="00582318">
        <w:rPr>
          <w:rFonts w:ascii="Times New Roman" w:hAnsi="Times New Roman" w:cs="Times New Roman"/>
          <w:b/>
          <w:bCs/>
          <w:sz w:val="24"/>
          <w:szCs w:val="24"/>
        </w:rPr>
        <w:lastRenderedPageBreak/>
        <w:t>Conclusion</w:t>
      </w:r>
    </w:p>
    <w:p w14:paraId="65EFEAD7" w14:textId="77777777" w:rsidR="00BF236F" w:rsidRDefault="00BF236F" w:rsidP="00BF236F">
      <w:pPr>
        <w:spacing w:line="480" w:lineRule="auto"/>
        <w:jc w:val="both"/>
        <w:rPr>
          <w:rFonts w:ascii="Times New Roman" w:hAnsi="Times New Roman" w:cs="Times New Roman"/>
          <w:sz w:val="24"/>
          <w:szCs w:val="24"/>
        </w:rPr>
      </w:pPr>
      <w:r w:rsidRPr="00346510">
        <w:rPr>
          <w:rFonts w:ascii="Times New Roman" w:hAnsi="Times New Roman" w:cs="Times New Roman"/>
          <w:sz w:val="24"/>
          <w:szCs w:val="24"/>
        </w:rPr>
        <w:t>This work quantifies the tradeoff between hydropower revenue and number of days of steady low flow</w:t>
      </w:r>
      <w:r w:rsidR="00987A73">
        <w:rPr>
          <w:rFonts w:ascii="Times New Roman" w:hAnsi="Times New Roman" w:cs="Times New Roman"/>
          <w:sz w:val="24"/>
          <w:szCs w:val="24"/>
        </w:rPr>
        <w:t xml:space="preserve"> under</w:t>
      </w:r>
      <w:r w:rsidRPr="00346510">
        <w:rPr>
          <w:rFonts w:ascii="Times New Roman" w:hAnsi="Times New Roman" w:cs="Times New Roman"/>
          <w:sz w:val="24"/>
          <w:szCs w:val="24"/>
        </w:rPr>
        <w:t xml:space="preserve"> monthly release volumes, difference between on- and off-peaks energy pricing</w:t>
      </w:r>
      <w:r w:rsidR="00987A73">
        <w:rPr>
          <w:rFonts w:ascii="Times New Roman" w:hAnsi="Times New Roman" w:cs="Times New Roman"/>
          <w:sz w:val="24"/>
          <w:szCs w:val="24"/>
        </w:rPr>
        <w:t>, and weekend offset release scenarios</w:t>
      </w:r>
      <w:r w:rsidRPr="00346510">
        <w:rPr>
          <w:rFonts w:ascii="Times New Roman" w:hAnsi="Times New Roman" w:cs="Times New Roman"/>
          <w:sz w:val="24"/>
          <w:szCs w:val="24"/>
        </w:rPr>
        <w:t xml:space="preserve">. Results show that the current practice of releasing steady low flows on weekend days gives the largest hydropower revenues. Each added day of steady flow on a weekday will subtract almost $62,750 from the total benefit. </w:t>
      </w:r>
      <w:r>
        <w:rPr>
          <w:rFonts w:ascii="Times New Roman" w:hAnsi="Times New Roman" w:cs="Times New Roman"/>
          <w:sz w:val="24"/>
          <w:szCs w:val="24"/>
        </w:rPr>
        <w:t>However,</w:t>
      </w:r>
      <w:r w:rsidRPr="00346510">
        <w:rPr>
          <w:rFonts w:ascii="Times New Roman" w:hAnsi="Times New Roman" w:cs="Times New Roman"/>
          <w:sz w:val="24"/>
          <w:szCs w:val="24"/>
        </w:rPr>
        <w:t xml:space="preserve"> </w:t>
      </w:r>
      <w:r>
        <w:rPr>
          <w:rFonts w:ascii="Times New Roman" w:hAnsi="Times New Roman" w:cs="Times New Roman"/>
          <w:sz w:val="24"/>
          <w:szCs w:val="24"/>
        </w:rPr>
        <w:t xml:space="preserve">for release volumes above 0.7 MAF per month, </w:t>
      </w:r>
      <w:r w:rsidRPr="00346510">
        <w:rPr>
          <w:rFonts w:ascii="Times New Roman" w:hAnsi="Times New Roman" w:cs="Times New Roman"/>
          <w:sz w:val="24"/>
          <w:szCs w:val="24"/>
        </w:rPr>
        <w:t xml:space="preserve">15 </w:t>
      </w:r>
      <w:r>
        <w:rPr>
          <w:rFonts w:ascii="Times New Roman" w:hAnsi="Times New Roman" w:cs="Times New Roman"/>
          <w:sz w:val="24"/>
          <w:szCs w:val="24"/>
        </w:rPr>
        <w:t xml:space="preserve">days of </w:t>
      </w:r>
      <w:r w:rsidRPr="00346510">
        <w:rPr>
          <w:rFonts w:ascii="Times New Roman" w:hAnsi="Times New Roman" w:cs="Times New Roman"/>
          <w:sz w:val="24"/>
          <w:szCs w:val="24"/>
        </w:rPr>
        <w:t>steady flow</w:t>
      </w:r>
      <w:r>
        <w:rPr>
          <w:rFonts w:ascii="Times New Roman" w:hAnsi="Times New Roman" w:cs="Times New Roman"/>
          <w:sz w:val="24"/>
          <w:szCs w:val="24"/>
        </w:rPr>
        <w:t>s</w:t>
      </w:r>
      <w:r w:rsidRPr="00346510">
        <w:rPr>
          <w:rFonts w:ascii="Times New Roman" w:hAnsi="Times New Roman" w:cs="Times New Roman"/>
          <w:sz w:val="24"/>
          <w:szCs w:val="24"/>
        </w:rPr>
        <w:t xml:space="preserve"> </w:t>
      </w:r>
      <w:r>
        <w:rPr>
          <w:rFonts w:ascii="Times New Roman" w:hAnsi="Times New Roman" w:cs="Times New Roman"/>
          <w:sz w:val="24"/>
          <w:szCs w:val="24"/>
        </w:rPr>
        <w:t xml:space="preserve">would generate the same hydropower revenues as 0 days of steady flows – the regime before the start of the bug flow experiments. </w:t>
      </w:r>
      <w:r w:rsidRPr="00346510">
        <w:rPr>
          <w:rFonts w:ascii="Times New Roman" w:hAnsi="Times New Roman" w:cs="Times New Roman"/>
          <w:sz w:val="24"/>
          <w:szCs w:val="24"/>
        </w:rPr>
        <w:t xml:space="preserve">Increasing the monthly release volume can benefit both bug and hydropower revenue generation objectives. </w:t>
      </w:r>
      <w:r>
        <w:rPr>
          <w:rFonts w:ascii="Times New Roman" w:hAnsi="Times New Roman" w:cs="Times New Roman"/>
          <w:sz w:val="24"/>
          <w:szCs w:val="24"/>
        </w:rPr>
        <w:t>T</w:t>
      </w:r>
      <w:r w:rsidRPr="00346510">
        <w:rPr>
          <w:rFonts w:ascii="Times New Roman" w:hAnsi="Times New Roman" w:cs="Times New Roman"/>
          <w:sz w:val="24"/>
          <w:szCs w:val="24"/>
        </w:rPr>
        <w:t>he price differential controls the slope of the trade-off curves</w:t>
      </w:r>
      <w:r w:rsidR="00987A73">
        <w:rPr>
          <w:rFonts w:ascii="Times New Roman" w:hAnsi="Times New Roman" w:cs="Times New Roman"/>
          <w:sz w:val="24"/>
          <w:szCs w:val="24"/>
        </w:rPr>
        <w:t>. And lastly, the effect of increasing weekend offset release over monthly hydropower revenue is trivial.</w:t>
      </w:r>
    </w:p>
    <w:p w14:paraId="40111811" w14:textId="77777777" w:rsidR="00BF236F" w:rsidRDefault="00BF236F" w:rsidP="00663F4F">
      <w:pPr>
        <w:spacing w:before="240" w:line="240" w:lineRule="auto"/>
        <w:jc w:val="both"/>
        <w:rPr>
          <w:rFonts w:ascii="Times New Roman" w:hAnsi="Times New Roman" w:cs="Times New Roman"/>
          <w:b/>
          <w:bCs/>
          <w:noProof/>
          <w:sz w:val="24"/>
          <w:szCs w:val="24"/>
        </w:rPr>
      </w:pPr>
      <w:r w:rsidRPr="00CE329C">
        <w:rPr>
          <w:rFonts w:ascii="Times New Roman" w:hAnsi="Times New Roman" w:cs="Times New Roman"/>
          <w:b/>
          <w:bCs/>
          <w:noProof/>
          <w:sz w:val="24"/>
          <w:szCs w:val="24"/>
        </w:rPr>
        <w:t>Data Availability</w:t>
      </w:r>
    </w:p>
    <w:p w14:paraId="6AD51578" w14:textId="77777777" w:rsidR="00987A73" w:rsidRDefault="00BF236F" w:rsidP="00663F4F">
      <w:pPr>
        <w:spacing w:before="240" w:after="0" w:line="480" w:lineRule="auto"/>
        <w:rPr>
          <w:rFonts w:ascii="Times New Roman" w:hAnsi="Times New Roman" w:cs="Times New Roman"/>
          <w:noProof/>
          <w:sz w:val="24"/>
          <w:szCs w:val="24"/>
        </w:rPr>
      </w:pPr>
      <w:r w:rsidRPr="0015650F">
        <w:rPr>
          <w:rFonts w:ascii="Times New Roman" w:hAnsi="Times New Roman" w:cs="Times New Roman"/>
          <w:noProof/>
          <w:sz w:val="24"/>
          <w:szCs w:val="24"/>
        </w:rPr>
        <w:t>The input data</w:t>
      </w:r>
      <w:r>
        <w:rPr>
          <w:rFonts w:ascii="Times New Roman" w:hAnsi="Times New Roman" w:cs="Times New Roman"/>
          <w:noProof/>
          <w:sz w:val="24"/>
          <w:szCs w:val="24"/>
        </w:rPr>
        <w:t>file</w:t>
      </w:r>
      <w:r w:rsidRPr="0015650F">
        <w:rPr>
          <w:rFonts w:ascii="Times New Roman" w:hAnsi="Times New Roman" w:cs="Times New Roman"/>
          <w:noProof/>
          <w:sz w:val="24"/>
          <w:szCs w:val="24"/>
        </w:rPr>
        <w:t>, GAMS model code</w:t>
      </w:r>
      <w:r>
        <w:rPr>
          <w:rFonts w:ascii="Times New Roman" w:hAnsi="Times New Roman" w:cs="Times New Roman"/>
          <w:noProof/>
          <w:sz w:val="24"/>
          <w:szCs w:val="24"/>
        </w:rPr>
        <w:t>s</w:t>
      </w:r>
      <w:r w:rsidRPr="0015650F">
        <w:rPr>
          <w:rFonts w:ascii="Times New Roman" w:hAnsi="Times New Roman" w:cs="Times New Roman"/>
          <w:noProof/>
          <w:sz w:val="24"/>
          <w:szCs w:val="24"/>
        </w:rPr>
        <w:t>, output file</w:t>
      </w:r>
      <w:r>
        <w:rPr>
          <w:rFonts w:ascii="Times New Roman" w:hAnsi="Times New Roman" w:cs="Times New Roman"/>
          <w:noProof/>
          <w:sz w:val="24"/>
          <w:szCs w:val="24"/>
        </w:rPr>
        <w:t>s</w:t>
      </w:r>
      <w:r w:rsidRPr="0015650F">
        <w:rPr>
          <w:rFonts w:ascii="Times New Roman" w:hAnsi="Times New Roman" w:cs="Times New Roman"/>
          <w:noProof/>
          <w:sz w:val="24"/>
          <w:szCs w:val="24"/>
        </w:rPr>
        <w:t xml:space="preserve">, and </w:t>
      </w:r>
      <w:r>
        <w:rPr>
          <w:rFonts w:ascii="Times New Roman" w:hAnsi="Times New Roman" w:cs="Times New Roman"/>
          <w:noProof/>
          <w:sz w:val="24"/>
          <w:szCs w:val="24"/>
        </w:rPr>
        <w:t xml:space="preserve">spreadsheets used during </w:t>
      </w:r>
      <w:r w:rsidRPr="0015650F">
        <w:rPr>
          <w:rFonts w:ascii="Times New Roman" w:hAnsi="Times New Roman" w:cs="Times New Roman"/>
          <w:noProof/>
          <w:sz w:val="24"/>
          <w:szCs w:val="24"/>
        </w:rPr>
        <w:t>pre-</w:t>
      </w:r>
      <w:r>
        <w:rPr>
          <w:rFonts w:ascii="Times New Roman" w:hAnsi="Times New Roman" w:cs="Times New Roman"/>
          <w:noProof/>
          <w:sz w:val="24"/>
          <w:szCs w:val="24"/>
        </w:rPr>
        <w:t xml:space="preserve"> and post </w:t>
      </w:r>
      <w:r w:rsidRPr="0015650F">
        <w:rPr>
          <w:rFonts w:ascii="Times New Roman" w:hAnsi="Times New Roman" w:cs="Times New Roman"/>
          <w:noProof/>
          <w:sz w:val="24"/>
          <w:szCs w:val="24"/>
        </w:rPr>
        <w:t>processing can be found at</w:t>
      </w:r>
      <w:r w:rsidR="00987A73">
        <w:rPr>
          <w:rFonts w:ascii="Times New Roman" w:hAnsi="Times New Roman" w:cs="Times New Roman"/>
          <w:noProof/>
          <w:sz w:val="24"/>
          <w:szCs w:val="24"/>
        </w:rPr>
        <w:t xml:space="preserve">: </w:t>
      </w:r>
      <w:hyperlink r:id="rId15" w:history="1">
        <w:r w:rsidR="00987A73" w:rsidRPr="00C5126C">
          <w:rPr>
            <w:rStyle w:val="Hyperlink"/>
            <w:rFonts w:ascii="Times New Roman" w:hAnsi="Times New Roman" w:cs="Times New Roman"/>
            <w:noProof/>
            <w:sz w:val="24"/>
            <w:szCs w:val="24"/>
          </w:rPr>
          <w:t>https://github.com/moazzamalirind/GCD_BugFlowExperiment</w:t>
        </w:r>
      </w:hyperlink>
    </w:p>
    <w:p w14:paraId="0BA59FDF" w14:textId="77777777" w:rsidR="00663F4F" w:rsidRDefault="00663F4F" w:rsidP="00663F4F">
      <w:pPr>
        <w:spacing w:before="120" w:after="0" w:line="480" w:lineRule="auto"/>
        <w:rPr>
          <w:rFonts w:ascii="Times New Roman" w:hAnsi="Times New Roman" w:cs="Times New Roman"/>
          <w:b/>
          <w:noProof/>
          <w:sz w:val="24"/>
          <w:szCs w:val="24"/>
        </w:rPr>
      </w:pPr>
      <w:r w:rsidRPr="00663F4F">
        <w:rPr>
          <w:rFonts w:ascii="Times New Roman" w:hAnsi="Times New Roman" w:cs="Times New Roman"/>
          <w:b/>
          <w:noProof/>
          <w:sz w:val="24"/>
          <w:szCs w:val="24"/>
        </w:rPr>
        <w:t>Acknowlegdement</w:t>
      </w:r>
    </w:p>
    <w:p w14:paraId="6BF2EA7A" w14:textId="77777777" w:rsidR="00663F4F" w:rsidRDefault="00303CCB" w:rsidP="0073522E">
      <w:pPr>
        <w:spacing w:line="360" w:lineRule="auto"/>
        <w:jc w:val="both"/>
        <w:rPr>
          <w:rFonts w:ascii="Times New Roman" w:hAnsi="Times New Roman" w:cs="Times New Roman"/>
          <w:sz w:val="24"/>
          <w:szCs w:val="24"/>
        </w:rPr>
      </w:pPr>
      <w:r w:rsidRPr="00B648A1">
        <w:rPr>
          <w:rFonts w:ascii="Times New Roman" w:hAnsi="Times New Roman" w:cs="Times New Roman"/>
          <w:sz w:val="24"/>
          <w:szCs w:val="24"/>
        </w:rPr>
        <w:t xml:space="preserve">This work </w:t>
      </w:r>
      <w:r>
        <w:rPr>
          <w:rFonts w:ascii="Times New Roman" w:hAnsi="Times New Roman" w:cs="Times New Roman"/>
          <w:sz w:val="24"/>
          <w:szCs w:val="24"/>
        </w:rPr>
        <w:t xml:space="preserve">is </w:t>
      </w:r>
      <w:r w:rsidRPr="00B648A1">
        <w:rPr>
          <w:rFonts w:ascii="Times New Roman" w:hAnsi="Times New Roman" w:cs="Times New Roman"/>
          <w:sz w:val="24"/>
          <w:szCs w:val="24"/>
        </w:rPr>
        <w:t>funded by</w:t>
      </w:r>
      <w:r>
        <w:rPr>
          <w:rFonts w:ascii="Times New Roman" w:hAnsi="Times New Roman" w:cs="Times New Roman"/>
          <w:sz w:val="24"/>
          <w:szCs w:val="24"/>
        </w:rPr>
        <w:t xml:space="preserve"> center for Colorado River studies, Utah State university under the future of the Colorado River project</w:t>
      </w:r>
      <w:r w:rsidRPr="00B648A1">
        <w:rPr>
          <w:rFonts w:ascii="Times New Roman" w:hAnsi="Times New Roman" w:cs="Times New Roman"/>
          <w:sz w:val="24"/>
          <w:szCs w:val="24"/>
        </w:rPr>
        <w:t xml:space="preserve">. </w:t>
      </w:r>
      <w:r>
        <w:rPr>
          <w:rFonts w:ascii="Times New Roman" w:hAnsi="Times New Roman" w:cs="Times New Roman"/>
          <w:sz w:val="24"/>
          <w:szCs w:val="24"/>
        </w:rPr>
        <w:t xml:space="preserve">Also, the Higher Education Commission of Pakistan provided fellowship throughout the study period. </w:t>
      </w:r>
      <w:r>
        <w:rPr>
          <w:rFonts w:ascii="Times New Roman" w:hAnsi="Times New Roman" w:cs="Times New Roman"/>
          <w:sz w:val="24"/>
          <w:szCs w:val="24"/>
        </w:rPr>
        <w:t xml:space="preserve">In addition, we are thankful to the staff of GCMRC and WAPA; especially Clayton Palmer (WAPA), Craig Ellsworth (WAPA), and </w:t>
      </w:r>
      <w:r>
        <w:rPr>
          <w:rFonts w:ascii="Times New Roman" w:hAnsi="Times New Roman" w:cs="Times New Roman"/>
          <w:sz w:val="24"/>
          <w:szCs w:val="24"/>
        </w:rPr>
        <w:t xml:space="preserve">Ted Kennedy </w:t>
      </w:r>
      <w:r>
        <w:rPr>
          <w:rFonts w:ascii="Times New Roman" w:hAnsi="Times New Roman" w:cs="Times New Roman"/>
          <w:sz w:val="24"/>
          <w:szCs w:val="24"/>
        </w:rPr>
        <w:t>(GCMRC) for their continuous support and suggestions.</w:t>
      </w:r>
    </w:p>
    <w:p w14:paraId="611A3A90" w14:textId="77777777" w:rsidR="00BD0514" w:rsidRPr="00BF236F" w:rsidRDefault="00BD0514" w:rsidP="00303CCB">
      <w:pPr>
        <w:spacing w:after="0" w:line="480" w:lineRule="auto"/>
        <w:rPr>
          <w:rFonts w:ascii="Times New Roman" w:hAnsi="Times New Roman" w:cs="Times New Roman"/>
          <w:noProof/>
          <w:sz w:val="24"/>
          <w:szCs w:val="24"/>
        </w:rPr>
      </w:pPr>
      <w:r w:rsidRPr="00BD0514">
        <w:rPr>
          <w:rFonts w:ascii="Times New Roman" w:hAnsi="Times New Roman" w:cs="Times New Roman"/>
          <w:b/>
          <w:sz w:val="24"/>
          <w:szCs w:val="24"/>
        </w:rPr>
        <w:t>References</w:t>
      </w:r>
    </w:p>
    <w:p w14:paraId="4645840C" w14:textId="77777777" w:rsidR="0073522E" w:rsidRDefault="0073522E" w:rsidP="00C667B9">
      <w:pPr>
        <w:spacing w:after="0" w:line="240" w:lineRule="auto"/>
        <w:jc w:val="both"/>
        <w:rPr>
          <w:rFonts w:ascii="Times New Roman" w:hAnsi="Times New Roman" w:cs="Times New Roman"/>
          <w:color w:val="222222"/>
          <w:szCs w:val="20"/>
          <w:shd w:val="clear" w:color="auto" w:fill="FFFFFF"/>
        </w:rPr>
      </w:pPr>
      <w:r w:rsidRPr="0073522E">
        <w:rPr>
          <w:rFonts w:ascii="Times New Roman" w:hAnsi="Times New Roman" w:cs="Times New Roman"/>
          <w:color w:val="222222"/>
          <w:szCs w:val="20"/>
          <w:shd w:val="clear" w:color="auto" w:fill="FFFFFF"/>
        </w:rPr>
        <w:t xml:space="preserve">Acreman, M., Arthington, A.H., </w:t>
      </w:r>
      <w:proofErr w:type="spellStart"/>
      <w:r w:rsidRPr="0073522E">
        <w:rPr>
          <w:rFonts w:ascii="Times New Roman" w:hAnsi="Times New Roman" w:cs="Times New Roman"/>
          <w:color w:val="222222"/>
          <w:szCs w:val="20"/>
          <w:shd w:val="clear" w:color="auto" w:fill="FFFFFF"/>
        </w:rPr>
        <w:t>Colloff</w:t>
      </w:r>
      <w:proofErr w:type="spellEnd"/>
      <w:r w:rsidRPr="0073522E">
        <w:rPr>
          <w:rFonts w:ascii="Times New Roman" w:hAnsi="Times New Roman" w:cs="Times New Roman"/>
          <w:color w:val="222222"/>
          <w:szCs w:val="20"/>
          <w:shd w:val="clear" w:color="auto" w:fill="FFFFFF"/>
        </w:rPr>
        <w:t xml:space="preserve">, M.J., Couch, C., Crossman, N.D., Dyer, F., Overton, I., </w:t>
      </w:r>
      <w:proofErr w:type="spellStart"/>
      <w:r w:rsidRPr="0073522E">
        <w:rPr>
          <w:rFonts w:ascii="Times New Roman" w:hAnsi="Times New Roman" w:cs="Times New Roman"/>
          <w:color w:val="222222"/>
          <w:szCs w:val="20"/>
          <w:shd w:val="clear" w:color="auto" w:fill="FFFFFF"/>
        </w:rPr>
        <w:t>Pollino</w:t>
      </w:r>
      <w:proofErr w:type="spellEnd"/>
      <w:r w:rsidRPr="0073522E">
        <w:rPr>
          <w:rFonts w:ascii="Times New Roman" w:hAnsi="Times New Roman" w:cs="Times New Roman"/>
          <w:color w:val="222222"/>
          <w:szCs w:val="20"/>
          <w:shd w:val="clear" w:color="auto" w:fill="FFFFFF"/>
        </w:rPr>
        <w:t xml:space="preserve">, </w:t>
      </w:r>
    </w:p>
    <w:p w14:paraId="73E7A31D" w14:textId="77777777" w:rsidR="000C2BE4" w:rsidRDefault="0073522E" w:rsidP="00C667B9">
      <w:pPr>
        <w:spacing w:after="0" w:line="240" w:lineRule="auto"/>
        <w:ind w:left="720"/>
        <w:jc w:val="both"/>
        <w:rPr>
          <w:rFonts w:ascii="Times New Roman" w:hAnsi="Times New Roman" w:cs="Times New Roman"/>
          <w:color w:val="222222"/>
          <w:szCs w:val="20"/>
          <w:shd w:val="clear" w:color="auto" w:fill="FFFFFF"/>
        </w:rPr>
      </w:pPr>
      <w:r w:rsidRPr="0073522E">
        <w:rPr>
          <w:rFonts w:ascii="Times New Roman" w:hAnsi="Times New Roman" w:cs="Times New Roman"/>
          <w:color w:val="222222"/>
          <w:szCs w:val="20"/>
          <w:shd w:val="clear" w:color="auto" w:fill="FFFFFF"/>
        </w:rPr>
        <w:t>C.A., Stewardson, M.J. and Young, W., 2014. Environmental flows for natural, hybrid, and novel riverine ecosystems in a changing world. </w:t>
      </w:r>
      <w:r w:rsidRPr="0073522E">
        <w:rPr>
          <w:rFonts w:ascii="Times New Roman" w:hAnsi="Times New Roman" w:cs="Times New Roman"/>
          <w:iCs/>
          <w:color w:val="222222"/>
          <w:szCs w:val="20"/>
          <w:shd w:val="clear" w:color="auto" w:fill="FFFFFF"/>
        </w:rPr>
        <w:t>Frontiers in Ecology and the Environment</w:t>
      </w:r>
      <w:r w:rsidRPr="0073522E">
        <w:rPr>
          <w:rFonts w:ascii="Times New Roman" w:hAnsi="Times New Roman" w:cs="Times New Roman"/>
          <w:color w:val="222222"/>
          <w:szCs w:val="20"/>
          <w:shd w:val="clear" w:color="auto" w:fill="FFFFFF"/>
        </w:rPr>
        <w:t>, </w:t>
      </w:r>
      <w:r w:rsidRPr="0073522E">
        <w:rPr>
          <w:rFonts w:ascii="Times New Roman" w:hAnsi="Times New Roman" w:cs="Times New Roman"/>
          <w:i/>
          <w:iCs/>
          <w:color w:val="222222"/>
          <w:szCs w:val="20"/>
          <w:shd w:val="clear" w:color="auto" w:fill="FFFFFF"/>
        </w:rPr>
        <w:t>12</w:t>
      </w:r>
      <w:r w:rsidRPr="0073522E">
        <w:rPr>
          <w:rFonts w:ascii="Times New Roman" w:hAnsi="Times New Roman" w:cs="Times New Roman"/>
          <w:color w:val="222222"/>
          <w:szCs w:val="20"/>
          <w:shd w:val="clear" w:color="auto" w:fill="FFFFFF"/>
        </w:rPr>
        <w:t>(8), pp.466-473.</w:t>
      </w:r>
    </w:p>
    <w:p w14:paraId="186978D0" w14:textId="77777777" w:rsidR="000C2BE4" w:rsidRDefault="000C2BE4" w:rsidP="00C667B9">
      <w:pPr>
        <w:spacing w:after="0" w:line="240" w:lineRule="auto"/>
        <w:jc w:val="both"/>
        <w:rPr>
          <w:rFonts w:ascii="Times New Roman" w:hAnsi="Times New Roman" w:cs="Times New Roman"/>
          <w:color w:val="222222"/>
          <w:szCs w:val="20"/>
          <w:shd w:val="clear" w:color="auto" w:fill="FFFFFF"/>
        </w:rPr>
      </w:pPr>
      <w:r w:rsidRPr="000C2BE4">
        <w:rPr>
          <w:rFonts w:ascii="Times New Roman" w:hAnsi="Times New Roman" w:cs="Times New Roman"/>
          <w:color w:val="222222"/>
          <w:szCs w:val="20"/>
          <w:shd w:val="clear" w:color="auto" w:fill="FFFFFF"/>
        </w:rPr>
        <w:t xml:space="preserve">Adams, L.E., Lund, J.R., Moyle, P.B., </w:t>
      </w:r>
      <w:proofErr w:type="spellStart"/>
      <w:r w:rsidRPr="000C2BE4">
        <w:rPr>
          <w:rFonts w:ascii="Times New Roman" w:hAnsi="Times New Roman" w:cs="Times New Roman"/>
          <w:color w:val="222222"/>
          <w:szCs w:val="20"/>
          <w:shd w:val="clear" w:color="auto" w:fill="FFFFFF"/>
        </w:rPr>
        <w:t>Quiñones</w:t>
      </w:r>
      <w:proofErr w:type="spellEnd"/>
      <w:r w:rsidRPr="000C2BE4">
        <w:rPr>
          <w:rFonts w:ascii="Times New Roman" w:hAnsi="Times New Roman" w:cs="Times New Roman"/>
          <w:color w:val="222222"/>
          <w:szCs w:val="20"/>
          <w:shd w:val="clear" w:color="auto" w:fill="FFFFFF"/>
        </w:rPr>
        <w:t xml:space="preserve">, R.M., Herman, J.D. and </w:t>
      </w:r>
      <w:proofErr w:type="spellStart"/>
      <w:r w:rsidRPr="000C2BE4">
        <w:rPr>
          <w:rFonts w:ascii="Times New Roman" w:hAnsi="Times New Roman" w:cs="Times New Roman"/>
          <w:color w:val="222222"/>
          <w:szCs w:val="20"/>
          <w:shd w:val="clear" w:color="auto" w:fill="FFFFFF"/>
        </w:rPr>
        <w:t>O'Rear</w:t>
      </w:r>
      <w:proofErr w:type="spellEnd"/>
      <w:r w:rsidRPr="000C2BE4">
        <w:rPr>
          <w:rFonts w:ascii="Times New Roman" w:hAnsi="Times New Roman" w:cs="Times New Roman"/>
          <w:color w:val="222222"/>
          <w:szCs w:val="20"/>
          <w:shd w:val="clear" w:color="auto" w:fill="FFFFFF"/>
        </w:rPr>
        <w:t xml:space="preserve">, T.A., 2017. </w:t>
      </w:r>
    </w:p>
    <w:p w14:paraId="214C7EFC" w14:textId="77777777" w:rsidR="000C2BE4" w:rsidRPr="000C2BE4" w:rsidRDefault="000C2BE4" w:rsidP="00C667B9">
      <w:pPr>
        <w:spacing w:after="0" w:line="240" w:lineRule="auto"/>
        <w:ind w:left="720"/>
        <w:jc w:val="both"/>
        <w:rPr>
          <w:rFonts w:ascii="Times New Roman" w:hAnsi="Times New Roman" w:cs="Times New Roman"/>
          <w:color w:val="222222"/>
          <w:sz w:val="24"/>
          <w:szCs w:val="20"/>
          <w:shd w:val="clear" w:color="auto" w:fill="FFFFFF"/>
        </w:rPr>
      </w:pPr>
      <w:r w:rsidRPr="000C2BE4">
        <w:rPr>
          <w:rFonts w:ascii="Times New Roman" w:hAnsi="Times New Roman" w:cs="Times New Roman"/>
          <w:color w:val="222222"/>
          <w:szCs w:val="20"/>
          <w:shd w:val="clear" w:color="auto" w:fill="FFFFFF"/>
        </w:rPr>
        <w:lastRenderedPageBreak/>
        <w:t>Environmental hedging: A theory and method for reconciling reservoir operations for downstream ecology and water supply. </w:t>
      </w:r>
      <w:r w:rsidRPr="000C2BE4">
        <w:rPr>
          <w:rFonts w:ascii="Times New Roman" w:hAnsi="Times New Roman" w:cs="Times New Roman"/>
          <w:iCs/>
          <w:color w:val="222222"/>
          <w:szCs w:val="20"/>
          <w:shd w:val="clear" w:color="auto" w:fill="FFFFFF"/>
        </w:rPr>
        <w:t>Water Resources Research</w:t>
      </w:r>
      <w:r w:rsidRPr="000C2BE4">
        <w:rPr>
          <w:rFonts w:ascii="Times New Roman" w:hAnsi="Times New Roman" w:cs="Times New Roman"/>
          <w:color w:val="222222"/>
          <w:szCs w:val="20"/>
          <w:shd w:val="clear" w:color="auto" w:fill="FFFFFF"/>
        </w:rPr>
        <w:t>, </w:t>
      </w:r>
      <w:r w:rsidRPr="000C2BE4">
        <w:rPr>
          <w:rFonts w:ascii="Times New Roman" w:hAnsi="Times New Roman" w:cs="Times New Roman"/>
          <w:iCs/>
          <w:color w:val="222222"/>
          <w:szCs w:val="20"/>
          <w:shd w:val="clear" w:color="auto" w:fill="FFFFFF"/>
        </w:rPr>
        <w:t>53</w:t>
      </w:r>
      <w:r w:rsidRPr="000C2BE4">
        <w:rPr>
          <w:rFonts w:ascii="Times New Roman" w:hAnsi="Times New Roman" w:cs="Times New Roman"/>
          <w:color w:val="222222"/>
          <w:szCs w:val="20"/>
          <w:shd w:val="clear" w:color="auto" w:fill="FFFFFF"/>
        </w:rPr>
        <w:t>(9), pp.7816-7831.</w:t>
      </w:r>
    </w:p>
    <w:p w14:paraId="0EB03E99" w14:textId="77777777" w:rsidR="000C2BE4" w:rsidRDefault="000C2BE4" w:rsidP="00C667B9">
      <w:pPr>
        <w:spacing w:after="0" w:line="240" w:lineRule="auto"/>
        <w:jc w:val="both"/>
        <w:rPr>
          <w:rFonts w:ascii="Times New Roman" w:hAnsi="Times New Roman" w:cs="Times New Roman"/>
          <w:color w:val="222222"/>
          <w:szCs w:val="20"/>
          <w:shd w:val="clear" w:color="auto" w:fill="FFFFFF"/>
        </w:rPr>
      </w:pPr>
      <w:proofErr w:type="spellStart"/>
      <w:r w:rsidRPr="000C2BE4">
        <w:rPr>
          <w:rFonts w:ascii="Times New Roman" w:hAnsi="Times New Roman" w:cs="Times New Roman"/>
          <w:color w:val="222222"/>
          <w:szCs w:val="20"/>
          <w:shd w:val="clear" w:color="auto" w:fill="FFFFFF"/>
        </w:rPr>
        <w:t>Alafifi</w:t>
      </w:r>
      <w:proofErr w:type="spellEnd"/>
      <w:r w:rsidRPr="000C2BE4">
        <w:rPr>
          <w:rFonts w:ascii="Times New Roman" w:hAnsi="Times New Roman" w:cs="Times New Roman"/>
          <w:color w:val="222222"/>
          <w:szCs w:val="20"/>
          <w:shd w:val="clear" w:color="auto" w:fill="FFFFFF"/>
        </w:rPr>
        <w:t xml:space="preserve">, A.H. and Rosenberg, D.E., 2020. Systems modeling to improve river, riparian, and wetland habitat </w:t>
      </w:r>
    </w:p>
    <w:p w14:paraId="1A5E3E23" w14:textId="77777777" w:rsidR="000C2BE4" w:rsidRPr="000C2BE4" w:rsidRDefault="000C2BE4" w:rsidP="00C667B9">
      <w:pPr>
        <w:spacing w:after="0" w:line="240" w:lineRule="auto"/>
        <w:ind w:firstLine="720"/>
        <w:jc w:val="both"/>
        <w:rPr>
          <w:rFonts w:ascii="Times New Roman" w:hAnsi="Times New Roman" w:cs="Times New Roman"/>
          <w:color w:val="222222"/>
          <w:szCs w:val="20"/>
          <w:shd w:val="clear" w:color="auto" w:fill="FFFFFF"/>
        </w:rPr>
      </w:pPr>
      <w:r w:rsidRPr="000C2BE4">
        <w:rPr>
          <w:rFonts w:ascii="Times New Roman" w:hAnsi="Times New Roman" w:cs="Times New Roman"/>
          <w:color w:val="222222"/>
          <w:szCs w:val="20"/>
          <w:shd w:val="clear" w:color="auto" w:fill="FFFFFF"/>
        </w:rPr>
        <w:t>quality and area. </w:t>
      </w:r>
      <w:r w:rsidRPr="000C2BE4">
        <w:rPr>
          <w:rFonts w:ascii="Times New Roman" w:hAnsi="Times New Roman" w:cs="Times New Roman"/>
          <w:iCs/>
          <w:color w:val="222222"/>
          <w:szCs w:val="20"/>
          <w:shd w:val="clear" w:color="auto" w:fill="FFFFFF"/>
        </w:rPr>
        <w:t>Environmental Modelling &amp; Software</w:t>
      </w:r>
      <w:r w:rsidRPr="000C2BE4">
        <w:rPr>
          <w:rFonts w:ascii="Times New Roman" w:hAnsi="Times New Roman" w:cs="Times New Roman"/>
          <w:color w:val="222222"/>
          <w:szCs w:val="20"/>
          <w:shd w:val="clear" w:color="auto" w:fill="FFFFFF"/>
        </w:rPr>
        <w:t>, </w:t>
      </w:r>
      <w:r w:rsidRPr="000C2BE4">
        <w:rPr>
          <w:rFonts w:ascii="Times New Roman" w:hAnsi="Times New Roman" w:cs="Times New Roman"/>
          <w:iCs/>
          <w:color w:val="222222"/>
          <w:szCs w:val="20"/>
          <w:shd w:val="clear" w:color="auto" w:fill="FFFFFF"/>
        </w:rPr>
        <w:t>126</w:t>
      </w:r>
      <w:r w:rsidRPr="000C2BE4">
        <w:rPr>
          <w:rFonts w:ascii="Times New Roman" w:hAnsi="Times New Roman" w:cs="Times New Roman"/>
          <w:color w:val="222222"/>
          <w:szCs w:val="20"/>
          <w:shd w:val="clear" w:color="auto" w:fill="FFFFFF"/>
        </w:rPr>
        <w:t>, p.104643.</w:t>
      </w:r>
    </w:p>
    <w:p w14:paraId="2C82944A" w14:textId="77777777" w:rsidR="009A59A2" w:rsidRDefault="009A59A2" w:rsidP="00C667B9">
      <w:pPr>
        <w:spacing w:after="0" w:line="240" w:lineRule="auto"/>
        <w:jc w:val="both"/>
        <w:rPr>
          <w:rFonts w:ascii="Times New Roman" w:hAnsi="Times New Roman" w:cs="Times New Roman"/>
          <w:color w:val="222222"/>
          <w:szCs w:val="20"/>
          <w:shd w:val="clear" w:color="auto" w:fill="FFFFFF"/>
        </w:rPr>
      </w:pPr>
      <w:r w:rsidRPr="009A59A2">
        <w:rPr>
          <w:rFonts w:ascii="Times New Roman" w:hAnsi="Times New Roman" w:cs="Times New Roman"/>
          <w:color w:val="222222"/>
          <w:szCs w:val="20"/>
          <w:shd w:val="clear" w:color="auto" w:fill="FFFFFF"/>
        </w:rPr>
        <w:t xml:space="preserve">Carpenter, S.R., Stanley, E.H. and Vander </w:t>
      </w:r>
      <w:proofErr w:type="spellStart"/>
      <w:r w:rsidRPr="009A59A2">
        <w:rPr>
          <w:rFonts w:ascii="Times New Roman" w:hAnsi="Times New Roman" w:cs="Times New Roman"/>
          <w:color w:val="222222"/>
          <w:szCs w:val="20"/>
          <w:shd w:val="clear" w:color="auto" w:fill="FFFFFF"/>
        </w:rPr>
        <w:t>Zanden</w:t>
      </w:r>
      <w:proofErr w:type="spellEnd"/>
      <w:r w:rsidRPr="009A59A2">
        <w:rPr>
          <w:rFonts w:ascii="Times New Roman" w:hAnsi="Times New Roman" w:cs="Times New Roman"/>
          <w:color w:val="222222"/>
          <w:szCs w:val="20"/>
          <w:shd w:val="clear" w:color="auto" w:fill="FFFFFF"/>
        </w:rPr>
        <w:t xml:space="preserve">, M.J., 2011. State of the world's freshwater ecosystems: </w:t>
      </w:r>
    </w:p>
    <w:p w14:paraId="287FB0FA" w14:textId="77777777" w:rsidR="009A59A2" w:rsidRPr="009A59A2" w:rsidRDefault="009A59A2" w:rsidP="00C667B9">
      <w:pPr>
        <w:spacing w:after="0" w:line="240" w:lineRule="auto"/>
        <w:ind w:left="720"/>
        <w:jc w:val="both"/>
        <w:rPr>
          <w:rFonts w:ascii="Times New Roman" w:hAnsi="Times New Roman" w:cs="Times New Roman"/>
          <w:color w:val="222222"/>
          <w:szCs w:val="20"/>
          <w:shd w:val="clear" w:color="auto" w:fill="FFFFFF"/>
        </w:rPr>
      </w:pPr>
      <w:r w:rsidRPr="009A59A2">
        <w:rPr>
          <w:rFonts w:ascii="Times New Roman" w:hAnsi="Times New Roman" w:cs="Times New Roman"/>
          <w:color w:val="222222"/>
          <w:szCs w:val="20"/>
          <w:shd w:val="clear" w:color="auto" w:fill="FFFFFF"/>
        </w:rPr>
        <w:t>physical, chemical, and biological changes. </w:t>
      </w:r>
      <w:r w:rsidRPr="009A59A2">
        <w:rPr>
          <w:rFonts w:ascii="Times New Roman" w:hAnsi="Times New Roman" w:cs="Times New Roman"/>
          <w:iCs/>
          <w:color w:val="222222"/>
          <w:szCs w:val="20"/>
          <w:shd w:val="clear" w:color="auto" w:fill="FFFFFF"/>
        </w:rPr>
        <w:t>Annual review of Environment and Resources</w:t>
      </w:r>
      <w:r w:rsidRPr="009A59A2">
        <w:rPr>
          <w:rFonts w:ascii="Times New Roman" w:hAnsi="Times New Roman" w:cs="Times New Roman"/>
          <w:color w:val="222222"/>
          <w:szCs w:val="20"/>
          <w:shd w:val="clear" w:color="auto" w:fill="FFFFFF"/>
        </w:rPr>
        <w:t>, </w:t>
      </w:r>
      <w:r w:rsidRPr="009A59A2">
        <w:rPr>
          <w:rFonts w:ascii="Times New Roman" w:hAnsi="Times New Roman" w:cs="Times New Roman"/>
          <w:iCs/>
          <w:color w:val="222222"/>
          <w:szCs w:val="20"/>
          <w:shd w:val="clear" w:color="auto" w:fill="FFFFFF"/>
        </w:rPr>
        <w:t>36</w:t>
      </w:r>
      <w:r w:rsidRPr="009A59A2">
        <w:rPr>
          <w:rFonts w:ascii="Times New Roman" w:hAnsi="Times New Roman" w:cs="Times New Roman"/>
          <w:color w:val="222222"/>
          <w:szCs w:val="20"/>
          <w:shd w:val="clear" w:color="auto" w:fill="FFFFFF"/>
        </w:rPr>
        <w:t>, pp.75-99.</w:t>
      </w:r>
    </w:p>
    <w:p w14:paraId="45B53558" w14:textId="77777777" w:rsidR="009A59A2" w:rsidRDefault="009A59A2" w:rsidP="00C667B9">
      <w:pPr>
        <w:spacing w:after="0" w:line="240" w:lineRule="auto"/>
        <w:jc w:val="both"/>
        <w:rPr>
          <w:rFonts w:ascii="Times New Roman" w:hAnsi="Times New Roman" w:cs="Times New Roman"/>
          <w:color w:val="222222"/>
          <w:szCs w:val="20"/>
          <w:shd w:val="clear" w:color="auto" w:fill="FFFFFF"/>
        </w:rPr>
      </w:pPr>
      <w:r w:rsidRPr="009A59A2">
        <w:rPr>
          <w:rFonts w:ascii="Times New Roman" w:hAnsi="Times New Roman" w:cs="Times New Roman"/>
          <w:color w:val="222222"/>
          <w:szCs w:val="20"/>
          <w:shd w:val="clear" w:color="auto" w:fill="FFFFFF"/>
        </w:rPr>
        <w:t>Hart, B.T., 2016. The Australian Murray–Darling Basin plan: challenges in its implementation (part</w:t>
      </w:r>
      <w:r>
        <w:rPr>
          <w:rFonts w:ascii="Times New Roman" w:hAnsi="Times New Roman" w:cs="Times New Roman"/>
          <w:color w:val="222222"/>
          <w:szCs w:val="20"/>
          <w:shd w:val="clear" w:color="auto" w:fill="FFFFFF"/>
        </w:rPr>
        <w:t xml:space="preserve"> </w:t>
      </w:r>
      <w:r w:rsidRPr="009A59A2">
        <w:rPr>
          <w:rFonts w:ascii="Times New Roman" w:hAnsi="Times New Roman" w:cs="Times New Roman"/>
          <w:color w:val="222222"/>
          <w:szCs w:val="20"/>
          <w:shd w:val="clear" w:color="auto" w:fill="FFFFFF"/>
        </w:rPr>
        <w:t>1). </w:t>
      </w:r>
    </w:p>
    <w:p w14:paraId="53CC5898" w14:textId="77777777" w:rsidR="009A59A2" w:rsidRPr="009A59A2" w:rsidRDefault="009A59A2" w:rsidP="00C667B9">
      <w:pPr>
        <w:spacing w:after="0" w:line="240" w:lineRule="auto"/>
        <w:ind w:firstLine="720"/>
        <w:jc w:val="both"/>
        <w:rPr>
          <w:rFonts w:ascii="Times New Roman" w:hAnsi="Times New Roman" w:cs="Times New Roman"/>
          <w:color w:val="222222"/>
          <w:szCs w:val="20"/>
          <w:shd w:val="clear" w:color="auto" w:fill="FFFFFF"/>
        </w:rPr>
      </w:pPr>
      <w:r w:rsidRPr="009A59A2">
        <w:rPr>
          <w:rFonts w:ascii="Times New Roman" w:hAnsi="Times New Roman" w:cs="Times New Roman"/>
          <w:iCs/>
          <w:color w:val="222222"/>
          <w:szCs w:val="20"/>
          <w:shd w:val="clear" w:color="auto" w:fill="FFFFFF"/>
        </w:rPr>
        <w:t>International Journal of Water Resources Development</w:t>
      </w:r>
      <w:r w:rsidRPr="009A59A2">
        <w:rPr>
          <w:rFonts w:ascii="Times New Roman" w:hAnsi="Times New Roman" w:cs="Times New Roman"/>
          <w:color w:val="222222"/>
          <w:szCs w:val="20"/>
          <w:shd w:val="clear" w:color="auto" w:fill="FFFFFF"/>
        </w:rPr>
        <w:t>, </w:t>
      </w:r>
      <w:r w:rsidRPr="009A59A2">
        <w:rPr>
          <w:rFonts w:ascii="Times New Roman" w:hAnsi="Times New Roman" w:cs="Times New Roman"/>
          <w:iCs/>
          <w:color w:val="222222"/>
          <w:szCs w:val="20"/>
          <w:shd w:val="clear" w:color="auto" w:fill="FFFFFF"/>
        </w:rPr>
        <w:t>32</w:t>
      </w:r>
      <w:r w:rsidRPr="009A59A2">
        <w:rPr>
          <w:rFonts w:ascii="Times New Roman" w:hAnsi="Times New Roman" w:cs="Times New Roman"/>
          <w:color w:val="222222"/>
          <w:szCs w:val="20"/>
          <w:shd w:val="clear" w:color="auto" w:fill="FFFFFF"/>
        </w:rPr>
        <w:t>(6), pp.819-834.</w:t>
      </w:r>
    </w:p>
    <w:p w14:paraId="616FA113" w14:textId="77777777" w:rsidR="009A59A2" w:rsidRDefault="009A59A2" w:rsidP="00C667B9">
      <w:pPr>
        <w:spacing w:after="0" w:line="240" w:lineRule="auto"/>
        <w:jc w:val="both"/>
        <w:rPr>
          <w:rFonts w:ascii="Times New Roman" w:hAnsi="Times New Roman" w:cs="Times New Roman"/>
          <w:color w:val="222222"/>
          <w:szCs w:val="20"/>
          <w:shd w:val="clear" w:color="auto" w:fill="FFFFFF"/>
        </w:rPr>
      </w:pPr>
      <w:r w:rsidRPr="009A59A2">
        <w:rPr>
          <w:rFonts w:ascii="Times New Roman" w:hAnsi="Times New Roman" w:cs="Times New Roman"/>
          <w:color w:val="222222"/>
          <w:szCs w:val="20"/>
          <w:shd w:val="clear" w:color="auto" w:fill="FFFFFF"/>
        </w:rPr>
        <w:t xml:space="preserve">Harman, C. and Stewardson, M., 2005. Optimizing dam release rules to meet environmental flow </w:t>
      </w:r>
    </w:p>
    <w:p w14:paraId="12833849" w14:textId="77777777" w:rsidR="009A59A2" w:rsidRPr="009A59A2" w:rsidRDefault="009A59A2" w:rsidP="00C667B9">
      <w:pPr>
        <w:spacing w:after="0" w:line="240" w:lineRule="auto"/>
        <w:ind w:firstLine="720"/>
        <w:jc w:val="both"/>
        <w:rPr>
          <w:rFonts w:ascii="Times New Roman" w:hAnsi="Times New Roman" w:cs="Times New Roman"/>
          <w:color w:val="222222"/>
          <w:szCs w:val="20"/>
          <w:shd w:val="clear" w:color="auto" w:fill="FFFFFF"/>
        </w:rPr>
      </w:pPr>
      <w:r w:rsidRPr="009A59A2">
        <w:rPr>
          <w:rFonts w:ascii="Times New Roman" w:hAnsi="Times New Roman" w:cs="Times New Roman"/>
          <w:color w:val="222222"/>
          <w:szCs w:val="20"/>
          <w:shd w:val="clear" w:color="auto" w:fill="FFFFFF"/>
        </w:rPr>
        <w:t>targets. </w:t>
      </w:r>
      <w:r w:rsidRPr="009A59A2">
        <w:rPr>
          <w:rFonts w:ascii="Times New Roman" w:hAnsi="Times New Roman" w:cs="Times New Roman"/>
          <w:iCs/>
          <w:color w:val="222222"/>
          <w:szCs w:val="20"/>
          <w:shd w:val="clear" w:color="auto" w:fill="FFFFFF"/>
        </w:rPr>
        <w:t>River Research and Applications</w:t>
      </w:r>
      <w:r w:rsidRPr="009A59A2">
        <w:rPr>
          <w:rFonts w:ascii="Times New Roman" w:hAnsi="Times New Roman" w:cs="Times New Roman"/>
          <w:color w:val="222222"/>
          <w:szCs w:val="20"/>
          <w:shd w:val="clear" w:color="auto" w:fill="FFFFFF"/>
        </w:rPr>
        <w:t>, </w:t>
      </w:r>
      <w:r w:rsidRPr="009A59A2">
        <w:rPr>
          <w:rFonts w:ascii="Times New Roman" w:hAnsi="Times New Roman" w:cs="Times New Roman"/>
          <w:iCs/>
          <w:color w:val="222222"/>
          <w:szCs w:val="20"/>
          <w:shd w:val="clear" w:color="auto" w:fill="FFFFFF"/>
        </w:rPr>
        <w:t>21</w:t>
      </w:r>
      <w:r w:rsidRPr="009A59A2">
        <w:rPr>
          <w:rFonts w:ascii="Times New Roman" w:hAnsi="Times New Roman" w:cs="Times New Roman"/>
          <w:color w:val="222222"/>
          <w:szCs w:val="20"/>
          <w:shd w:val="clear" w:color="auto" w:fill="FFFFFF"/>
        </w:rPr>
        <w:t>(2‐3), pp.113-129.</w:t>
      </w:r>
    </w:p>
    <w:p w14:paraId="4F130EF4" w14:textId="77777777" w:rsidR="009A59A2" w:rsidRDefault="009A59A2" w:rsidP="00C667B9">
      <w:pPr>
        <w:spacing w:after="0" w:line="240" w:lineRule="auto"/>
        <w:jc w:val="both"/>
        <w:rPr>
          <w:rFonts w:ascii="Times New Roman" w:hAnsi="Times New Roman" w:cs="Times New Roman"/>
          <w:iCs/>
          <w:color w:val="222222"/>
          <w:szCs w:val="20"/>
          <w:shd w:val="clear" w:color="auto" w:fill="FFFFFF"/>
        </w:rPr>
      </w:pPr>
      <w:proofErr w:type="spellStart"/>
      <w:r w:rsidRPr="009A59A2">
        <w:rPr>
          <w:rFonts w:ascii="Times New Roman" w:hAnsi="Times New Roman" w:cs="Times New Roman"/>
          <w:color w:val="222222"/>
          <w:szCs w:val="20"/>
          <w:shd w:val="clear" w:color="auto" w:fill="FFFFFF"/>
        </w:rPr>
        <w:t>Hochbaum</w:t>
      </w:r>
      <w:proofErr w:type="spellEnd"/>
      <w:r w:rsidRPr="009A59A2">
        <w:rPr>
          <w:rFonts w:ascii="Times New Roman" w:hAnsi="Times New Roman" w:cs="Times New Roman"/>
          <w:color w:val="222222"/>
          <w:szCs w:val="20"/>
          <w:shd w:val="clear" w:color="auto" w:fill="FFFFFF"/>
        </w:rPr>
        <w:t>, D.S., 2007. Complexity and algorithms for nonlinear optimization problems. </w:t>
      </w:r>
      <w:r w:rsidRPr="009A59A2">
        <w:rPr>
          <w:rFonts w:ascii="Times New Roman" w:hAnsi="Times New Roman" w:cs="Times New Roman"/>
          <w:iCs/>
          <w:color w:val="222222"/>
          <w:szCs w:val="20"/>
          <w:shd w:val="clear" w:color="auto" w:fill="FFFFFF"/>
        </w:rPr>
        <w:t xml:space="preserve">Annals of </w:t>
      </w:r>
    </w:p>
    <w:p w14:paraId="29317697" w14:textId="77777777" w:rsidR="009A59A2" w:rsidRPr="009A59A2" w:rsidRDefault="009A59A2" w:rsidP="00C667B9">
      <w:pPr>
        <w:spacing w:after="0" w:line="240" w:lineRule="auto"/>
        <w:ind w:firstLine="720"/>
        <w:jc w:val="both"/>
        <w:rPr>
          <w:rFonts w:ascii="Times New Roman" w:hAnsi="Times New Roman" w:cs="Times New Roman"/>
          <w:color w:val="222222"/>
          <w:sz w:val="24"/>
          <w:szCs w:val="24"/>
          <w:shd w:val="clear" w:color="auto" w:fill="FFFFFF"/>
        </w:rPr>
      </w:pPr>
      <w:r w:rsidRPr="009A59A2">
        <w:rPr>
          <w:rFonts w:ascii="Times New Roman" w:hAnsi="Times New Roman" w:cs="Times New Roman"/>
          <w:iCs/>
          <w:color w:val="222222"/>
          <w:szCs w:val="20"/>
          <w:shd w:val="clear" w:color="auto" w:fill="FFFFFF"/>
        </w:rPr>
        <w:t>Operations Research</w:t>
      </w:r>
      <w:r w:rsidRPr="009A59A2">
        <w:rPr>
          <w:rFonts w:ascii="Times New Roman" w:hAnsi="Times New Roman" w:cs="Times New Roman"/>
          <w:color w:val="222222"/>
          <w:szCs w:val="20"/>
          <w:shd w:val="clear" w:color="auto" w:fill="FFFFFF"/>
        </w:rPr>
        <w:t>, </w:t>
      </w:r>
      <w:r w:rsidRPr="009A59A2">
        <w:rPr>
          <w:rFonts w:ascii="Times New Roman" w:hAnsi="Times New Roman" w:cs="Times New Roman"/>
          <w:iCs/>
          <w:color w:val="222222"/>
          <w:szCs w:val="20"/>
          <w:shd w:val="clear" w:color="auto" w:fill="FFFFFF"/>
        </w:rPr>
        <w:t>153</w:t>
      </w:r>
      <w:r w:rsidRPr="009A59A2">
        <w:rPr>
          <w:rFonts w:ascii="Times New Roman" w:hAnsi="Times New Roman" w:cs="Times New Roman"/>
          <w:color w:val="222222"/>
          <w:szCs w:val="20"/>
          <w:shd w:val="clear" w:color="auto" w:fill="FFFFFF"/>
        </w:rPr>
        <w:t>(1), pp.257-296.</w:t>
      </w:r>
    </w:p>
    <w:p w14:paraId="699F516D" w14:textId="77777777" w:rsidR="00AC5081" w:rsidRDefault="00AC5081" w:rsidP="00C667B9">
      <w:pPr>
        <w:spacing w:after="0" w:line="240" w:lineRule="auto"/>
        <w:jc w:val="both"/>
        <w:rPr>
          <w:rFonts w:ascii="Times New Roman" w:hAnsi="Times New Roman" w:cs="Times New Roman"/>
          <w:color w:val="222222"/>
          <w:szCs w:val="20"/>
          <w:shd w:val="clear" w:color="auto" w:fill="FFFFFF"/>
        </w:rPr>
      </w:pPr>
      <w:proofErr w:type="spellStart"/>
      <w:r w:rsidRPr="00AC5081">
        <w:rPr>
          <w:rFonts w:ascii="Times New Roman" w:hAnsi="Times New Roman" w:cs="Times New Roman"/>
          <w:color w:val="222222"/>
          <w:szCs w:val="20"/>
          <w:shd w:val="clear" w:color="auto" w:fill="FFFFFF"/>
        </w:rPr>
        <w:t>Kareiva</w:t>
      </w:r>
      <w:proofErr w:type="spellEnd"/>
      <w:r w:rsidRPr="00AC5081">
        <w:rPr>
          <w:rFonts w:ascii="Times New Roman" w:hAnsi="Times New Roman" w:cs="Times New Roman"/>
          <w:color w:val="222222"/>
          <w:szCs w:val="20"/>
          <w:shd w:val="clear" w:color="auto" w:fill="FFFFFF"/>
        </w:rPr>
        <w:t xml:space="preserve">, P., </w:t>
      </w:r>
      <w:proofErr w:type="spellStart"/>
      <w:r w:rsidRPr="00AC5081">
        <w:rPr>
          <w:rFonts w:ascii="Times New Roman" w:hAnsi="Times New Roman" w:cs="Times New Roman"/>
          <w:color w:val="222222"/>
          <w:szCs w:val="20"/>
          <w:shd w:val="clear" w:color="auto" w:fill="FFFFFF"/>
        </w:rPr>
        <w:t>Marvier</w:t>
      </w:r>
      <w:proofErr w:type="spellEnd"/>
      <w:r w:rsidRPr="00AC5081">
        <w:rPr>
          <w:rFonts w:ascii="Times New Roman" w:hAnsi="Times New Roman" w:cs="Times New Roman"/>
          <w:color w:val="222222"/>
          <w:szCs w:val="20"/>
          <w:shd w:val="clear" w:color="auto" w:fill="FFFFFF"/>
        </w:rPr>
        <w:t xml:space="preserve">, M. and McClure, M., 2000. Recovery and management options for spring/summer </w:t>
      </w:r>
    </w:p>
    <w:p w14:paraId="2003A2E2" w14:textId="77777777" w:rsidR="009A59A2" w:rsidRPr="00AC5081" w:rsidRDefault="00AC5081" w:rsidP="00C667B9">
      <w:pPr>
        <w:spacing w:after="0" w:line="240" w:lineRule="auto"/>
        <w:ind w:firstLine="720"/>
        <w:jc w:val="both"/>
        <w:rPr>
          <w:rFonts w:ascii="Times New Roman" w:hAnsi="Times New Roman" w:cs="Times New Roman"/>
          <w:color w:val="222222"/>
          <w:sz w:val="24"/>
          <w:szCs w:val="24"/>
          <w:shd w:val="clear" w:color="auto" w:fill="FFFFFF"/>
        </w:rPr>
      </w:pPr>
      <w:r w:rsidRPr="00AC5081">
        <w:rPr>
          <w:rFonts w:ascii="Times New Roman" w:hAnsi="Times New Roman" w:cs="Times New Roman"/>
          <w:color w:val="222222"/>
          <w:szCs w:val="20"/>
          <w:shd w:val="clear" w:color="auto" w:fill="FFFFFF"/>
        </w:rPr>
        <w:t>chinook salmon in the Columbia River Basin. </w:t>
      </w:r>
      <w:r w:rsidRPr="00AC5081">
        <w:rPr>
          <w:rFonts w:ascii="Times New Roman" w:hAnsi="Times New Roman" w:cs="Times New Roman"/>
          <w:iCs/>
          <w:color w:val="222222"/>
          <w:szCs w:val="20"/>
          <w:shd w:val="clear" w:color="auto" w:fill="FFFFFF"/>
        </w:rPr>
        <w:t>Science</w:t>
      </w:r>
      <w:r w:rsidRPr="00AC5081">
        <w:rPr>
          <w:rFonts w:ascii="Times New Roman" w:hAnsi="Times New Roman" w:cs="Times New Roman"/>
          <w:color w:val="222222"/>
          <w:szCs w:val="20"/>
          <w:shd w:val="clear" w:color="auto" w:fill="FFFFFF"/>
        </w:rPr>
        <w:t>, </w:t>
      </w:r>
      <w:r w:rsidRPr="00AC5081">
        <w:rPr>
          <w:rFonts w:ascii="Times New Roman" w:hAnsi="Times New Roman" w:cs="Times New Roman"/>
          <w:iCs/>
          <w:color w:val="222222"/>
          <w:szCs w:val="20"/>
          <w:shd w:val="clear" w:color="auto" w:fill="FFFFFF"/>
        </w:rPr>
        <w:t>290</w:t>
      </w:r>
      <w:r w:rsidRPr="00AC5081">
        <w:rPr>
          <w:rFonts w:ascii="Times New Roman" w:hAnsi="Times New Roman" w:cs="Times New Roman"/>
          <w:color w:val="222222"/>
          <w:szCs w:val="20"/>
          <w:shd w:val="clear" w:color="auto" w:fill="FFFFFF"/>
        </w:rPr>
        <w:t>(5493), pp.977-979.</w:t>
      </w:r>
    </w:p>
    <w:p w14:paraId="468C7B3D" w14:textId="77777777" w:rsidR="00AC5081" w:rsidRDefault="00AC5081" w:rsidP="00C667B9">
      <w:pPr>
        <w:spacing w:after="0" w:line="240" w:lineRule="auto"/>
        <w:jc w:val="both"/>
        <w:rPr>
          <w:rFonts w:ascii="Times New Roman" w:hAnsi="Times New Roman" w:cs="Times New Roman"/>
          <w:color w:val="222222"/>
          <w:szCs w:val="20"/>
          <w:shd w:val="clear" w:color="auto" w:fill="FFFFFF"/>
        </w:rPr>
      </w:pPr>
      <w:r w:rsidRPr="00AC5081">
        <w:rPr>
          <w:rFonts w:ascii="Times New Roman" w:hAnsi="Times New Roman" w:cs="Times New Roman"/>
          <w:color w:val="222222"/>
          <w:szCs w:val="20"/>
          <w:shd w:val="clear" w:color="auto" w:fill="FFFFFF"/>
        </w:rPr>
        <w:t xml:space="preserve">Kennedy, T.A., </w:t>
      </w:r>
      <w:proofErr w:type="spellStart"/>
      <w:r w:rsidRPr="00AC5081">
        <w:rPr>
          <w:rFonts w:ascii="Times New Roman" w:hAnsi="Times New Roman" w:cs="Times New Roman"/>
          <w:color w:val="222222"/>
          <w:szCs w:val="20"/>
          <w:shd w:val="clear" w:color="auto" w:fill="FFFFFF"/>
        </w:rPr>
        <w:t>Muehlbauer</w:t>
      </w:r>
      <w:proofErr w:type="spellEnd"/>
      <w:r w:rsidRPr="00AC5081">
        <w:rPr>
          <w:rFonts w:ascii="Times New Roman" w:hAnsi="Times New Roman" w:cs="Times New Roman"/>
          <w:color w:val="222222"/>
          <w:szCs w:val="20"/>
          <w:shd w:val="clear" w:color="auto" w:fill="FFFFFF"/>
        </w:rPr>
        <w:t xml:space="preserve">, J.D., </w:t>
      </w:r>
      <w:proofErr w:type="spellStart"/>
      <w:r w:rsidRPr="00AC5081">
        <w:rPr>
          <w:rFonts w:ascii="Times New Roman" w:hAnsi="Times New Roman" w:cs="Times New Roman"/>
          <w:color w:val="222222"/>
          <w:szCs w:val="20"/>
          <w:shd w:val="clear" w:color="auto" w:fill="FFFFFF"/>
        </w:rPr>
        <w:t>Yackulic</w:t>
      </w:r>
      <w:proofErr w:type="spellEnd"/>
      <w:r w:rsidRPr="00AC5081">
        <w:rPr>
          <w:rFonts w:ascii="Times New Roman" w:hAnsi="Times New Roman" w:cs="Times New Roman"/>
          <w:color w:val="222222"/>
          <w:szCs w:val="20"/>
          <w:shd w:val="clear" w:color="auto" w:fill="FFFFFF"/>
        </w:rPr>
        <w:t xml:space="preserve">, C.B., Lytle, D.A., Miller, S.W., Dibble, K.L., </w:t>
      </w:r>
      <w:proofErr w:type="spellStart"/>
      <w:r w:rsidRPr="00AC5081">
        <w:rPr>
          <w:rFonts w:ascii="Times New Roman" w:hAnsi="Times New Roman" w:cs="Times New Roman"/>
          <w:color w:val="222222"/>
          <w:szCs w:val="20"/>
          <w:shd w:val="clear" w:color="auto" w:fill="FFFFFF"/>
        </w:rPr>
        <w:t>Kortenhoeven</w:t>
      </w:r>
      <w:proofErr w:type="spellEnd"/>
      <w:r w:rsidRPr="00AC5081">
        <w:rPr>
          <w:rFonts w:ascii="Times New Roman" w:hAnsi="Times New Roman" w:cs="Times New Roman"/>
          <w:color w:val="222222"/>
          <w:szCs w:val="20"/>
          <w:shd w:val="clear" w:color="auto" w:fill="FFFFFF"/>
        </w:rPr>
        <w:t xml:space="preserve">, </w:t>
      </w:r>
    </w:p>
    <w:p w14:paraId="1660A369" w14:textId="77777777" w:rsidR="00AC5081" w:rsidRPr="00AC5081" w:rsidRDefault="00AC5081" w:rsidP="00C667B9">
      <w:pPr>
        <w:spacing w:after="0" w:line="240" w:lineRule="auto"/>
        <w:ind w:left="720"/>
        <w:jc w:val="both"/>
        <w:rPr>
          <w:rFonts w:ascii="Times New Roman" w:hAnsi="Times New Roman" w:cs="Times New Roman"/>
          <w:color w:val="222222"/>
          <w:sz w:val="24"/>
          <w:szCs w:val="24"/>
          <w:shd w:val="clear" w:color="auto" w:fill="FFFFFF"/>
        </w:rPr>
      </w:pPr>
      <w:r w:rsidRPr="00AC5081">
        <w:rPr>
          <w:rFonts w:ascii="Times New Roman" w:hAnsi="Times New Roman" w:cs="Times New Roman"/>
          <w:color w:val="222222"/>
          <w:szCs w:val="20"/>
          <w:shd w:val="clear" w:color="auto" w:fill="FFFFFF"/>
        </w:rPr>
        <w:t>E.W., Metcalfe, A.N. and Baxter, C.V., 2016. Flow management for hydropower extirpates aquatic insects, undermining river food webs. </w:t>
      </w:r>
      <w:proofErr w:type="spellStart"/>
      <w:r w:rsidRPr="00AC5081">
        <w:rPr>
          <w:rFonts w:ascii="Times New Roman" w:hAnsi="Times New Roman" w:cs="Times New Roman"/>
          <w:iCs/>
          <w:color w:val="222222"/>
          <w:szCs w:val="20"/>
          <w:shd w:val="clear" w:color="auto" w:fill="FFFFFF"/>
        </w:rPr>
        <w:t>BioScience</w:t>
      </w:r>
      <w:proofErr w:type="spellEnd"/>
      <w:r w:rsidRPr="00AC5081">
        <w:rPr>
          <w:rFonts w:ascii="Times New Roman" w:hAnsi="Times New Roman" w:cs="Times New Roman"/>
          <w:color w:val="222222"/>
          <w:szCs w:val="20"/>
          <w:shd w:val="clear" w:color="auto" w:fill="FFFFFF"/>
        </w:rPr>
        <w:t>, </w:t>
      </w:r>
      <w:r w:rsidRPr="00AC5081">
        <w:rPr>
          <w:rFonts w:ascii="Times New Roman" w:hAnsi="Times New Roman" w:cs="Times New Roman"/>
          <w:iCs/>
          <w:color w:val="222222"/>
          <w:szCs w:val="20"/>
          <w:shd w:val="clear" w:color="auto" w:fill="FFFFFF"/>
        </w:rPr>
        <w:t>66</w:t>
      </w:r>
      <w:r w:rsidRPr="00AC5081">
        <w:rPr>
          <w:rFonts w:ascii="Times New Roman" w:hAnsi="Times New Roman" w:cs="Times New Roman"/>
          <w:color w:val="222222"/>
          <w:szCs w:val="20"/>
          <w:shd w:val="clear" w:color="auto" w:fill="FFFFFF"/>
        </w:rPr>
        <w:t>(7), pp.561-575.</w:t>
      </w:r>
    </w:p>
    <w:p w14:paraId="1469BB3B" w14:textId="77777777" w:rsidR="00AC5081" w:rsidRDefault="00AC5081" w:rsidP="00C667B9">
      <w:pPr>
        <w:spacing w:after="0" w:line="240" w:lineRule="auto"/>
        <w:jc w:val="both"/>
        <w:rPr>
          <w:rFonts w:ascii="Times New Roman" w:hAnsi="Times New Roman" w:cs="Times New Roman"/>
          <w:color w:val="222222"/>
          <w:szCs w:val="20"/>
          <w:shd w:val="clear" w:color="auto" w:fill="FFFFFF"/>
        </w:rPr>
      </w:pPr>
      <w:r w:rsidRPr="00AC5081">
        <w:rPr>
          <w:rFonts w:ascii="Times New Roman" w:hAnsi="Times New Roman" w:cs="Times New Roman"/>
          <w:color w:val="222222"/>
          <w:szCs w:val="20"/>
          <w:shd w:val="clear" w:color="auto" w:fill="FFFFFF"/>
        </w:rPr>
        <w:t xml:space="preserve">Nilsson, C., Reidy, C.A., </w:t>
      </w:r>
      <w:proofErr w:type="spellStart"/>
      <w:r w:rsidRPr="00AC5081">
        <w:rPr>
          <w:rFonts w:ascii="Times New Roman" w:hAnsi="Times New Roman" w:cs="Times New Roman"/>
          <w:color w:val="222222"/>
          <w:szCs w:val="20"/>
          <w:shd w:val="clear" w:color="auto" w:fill="FFFFFF"/>
        </w:rPr>
        <w:t>Dynesius</w:t>
      </w:r>
      <w:proofErr w:type="spellEnd"/>
      <w:r w:rsidRPr="00AC5081">
        <w:rPr>
          <w:rFonts w:ascii="Times New Roman" w:hAnsi="Times New Roman" w:cs="Times New Roman"/>
          <w:color w:val="222222"/>
          <w:szCs w:val="20"/>
          <w:shd w:val="clear" w:color="auto" w:fill="FFFFFF"/>
        </w:rPr>
        <w:t xml:space="preserve">, M. and </w:t>
      </w:r>
      <w:proofErr w:type="spellStart"/>
      <w:r w:rsidRPr="00AC5081">
        <w:rPr>
          <w:rFonts w:ascii="Times New Roman" w:hAnsi="Times New Roman" w:cs="Times New Roman"/>
          <w:color w:val="222222"/>
          <w:szCs w:val="20"/>
          <w:shd w:val="clear" w:color="auto" w:fill="FFFFFF"/>
        </w:rPr>
        <w:t>Revenga</w:t>
      </w:r>
      <w:proofErr w:type="spellEnd"/>
      <w:r w:rsidRPr="00AC5081">
        <w:rPr>
          <w:rFonts w:ascii="Times New Roman" w:hAnsi="Times New Roman" w:cs="Times New Roman"/>
          <w:color w:val="222222"/>
          <w:szCs w:val="20"/>
          <w:shd w:val="clear" w:color="auto" w:fill="FFFFFF"/>
        </w:rPr>
        <w:t xml:space="preserve">, C., 2005. Fragmentation and flow regulation of the </w:t>
      </w:r>
    </w:p>
    <w:p w14:paraId="37406FDF" w14:textId="77777777" w:rsidR="00AC5081" w:rsidRPr="00AC5081" w:rsidRDefault="00AC5081" w:rsidP="00C667B9">
      <w:pPr>
        <w:spacing w:after="0" w:line="240" w:lineRule="auto"/>
        <w:ind w:firstLine="720"/>
        <w:jc w:val="both"/>
        <w:rPr>
          <w:rFonts w:ascii="Times New Roman" w:hAnsi="Times New Roman" w:cs="Times New Roman"/>
          <w:color w:val="222222"/>
          <w:sz w:val="24"/>
          <w:szCs w:val="24"/>
          <w:shd w:val="clear" w:color="auto" w:fill="FFFFFF"/>
        </w:rPr>
      </w:pPr>
      <w:r w:rsidRPr="00AC5081">
        <w:rPr>
          <w:rFonts w:ascii="Times New Roman" w:hAnsi="Times New Roman" w:cs="Times New Roman"/>
          <w:color w:val="222222"/>
          <w:szCs w:val="20"/>
          <w:shd w:val="clear" w:color="auto" w:fill="FFFFFF"/>
        </w:rPr>
        <w:t>world's large river systems. </w:t>
      </w:r>
      <w:r w:rsidRPr="00AC5081">
        <w:rPr>
          <w:rFonts w:ascii="Times New Roman" w:hAnsi="Times New Roman" w:cs="Times New Roman"/>
          <w:iCs/>
          <w:color w:val="222222"/>
          <w:szCs w:val="20"/>
          <w:shd w:val="clear" w:color="auto" w:fill="FFFFFF"/>
        </w:rPr>
        <w:t>Science</w:t>
      </w:r>
      <w:r w:rsidRPr="00AC5081">
        <w:rPr>
          <w:rFonts w:ascii="Times New Roman" w:hAnsi="Times New Roman" w:cs="Times New Roman"/>
          <w:color w:val="222222"/>
          <w:szCs w:val="20"/>
          <w:shd w:val="clear" w:color="auto" w:fill="FFFFFF"/>
        </w:rPr>
        <w:t>, </w:t>
      </w:r>
      <w:r w:rsidRPr="00AC5081">
        <w:rPr>
          <w:rFonts w:ascii="Times New Roman" w:hAnsi="Times New Roman" w:cs="Times New Roman"/>
          <w:iCs/>
          <w:color w:val="222222"/>
          <w:szCs w:val="20"/>
          <w:shd w:val="clear" w:color="auto" w:fill="FFFFFF"/>
        </w:rPr>
        <w:t>308</w:t>
      </w:r>
      <w:r w:rsidRPr="00AC5081">
        <w:rPr>
          <w:rFonts w:ascii="Times New Roman" w:hAnsi="Times New Roman" w:cs="Times New Roman"/>
          <w:color w:val="222222"/>
          <w:szCs w:val="20"/>
          <w:shd w:val="clear" w:color="auto" w:fill="FFFFFF"/>
        </w:rPr>
        <w:t>(5720), pp.405-408.</w:t>
      </w:r>
    </w:p>
    <w:p w14:paraId="3E1082A5" w14:textId="77777777" w:rsidR="00AC5081" w:rsidRDefault="00AC5081" w:rsidP="00C667B9">
      <w:pPr>
        <w:spacing w:after="0" w:line="240" w:lineRule="auto"/>
        <w:jc w:val="both"/>
        <w:rPr>
          <w:rFonts w:ascii="Times New Roman" w:hAnsi="Times New Roman" w:cs="Times New Roman"/>
          <w:iCs/>
          <w:color w:val="222222"/>
          <w:szCs w:val="20"/>
          <w:shd w:val="clear" w:color="auto" w:fill="FFFFFF"/>
        </w:rPr>
      </w:pPr>
      <w:r w:rsidRPr="00AC5081">
        <w:rPr>
          <w:rFonts w:ascii="Times New Roman" w:hAnsi="Times New Roman" w:cs="Times New Roman"/>
          <w:color w:val="222222"/>
          <w:szCs w:val="20"/>
          <w:shd w:val="clear" w:color="auto" w:fill="FFFFFF"/>
        </w:rPr>
        <w:t>Null, S.E. and Lund, J.R., 2012. Fish habitat optimization to prioritize river restoration decisions. </w:t>
      </w:r>
      <w:r w:rsidRPr="00AC5081">
        <w:rPr>
          <w:rFonts w:ascii="Times New Roman" w:hAnsi="Times New Roman" w:cs="Times New Roman"/>
          <w:iCs/>
          <w:color w:val="222222"/>
          <w:szCs w:val="20"/>
          <w:shd w:val="clear" w:color="auto" w:fill="FFFFFF"/>
        </w:rPr>
        <w:t xml:space="preserve">River </w:t>
      </w:r>
    </w:p>
    <w:p w14:paraId="1A70DC78" w14:textId="77777777" w:rsidR="00BD0514" w:rsidRPr="00AC5081" w:rsidRDefault="00AC5081" w:rsidP="00C667B9">
      <w:pPr>
        <w:spacing w:after="0" w:line="240" w:lineRule="auto"/>
        <w:ind w:firstLine="720"/>
        <w:jc w:val="both"/>
        <w:rPr>
          <w:rFonts w:ascii="Times New Roman" w:hAnsi="Times New Roman" w:cs="Times New Roman"/>
          <w:color w:val="222222"/>
          <w:sz w:val="24"/>
          <w:szCs w:val="24"/>
          <w:shd w:val="clear" w:color="auto" w:fill="FFFFFF"/>
        </w:rPr>
      </w:pPr>
      <w:r w:rsidRPr="00AC5081">
        <w:rPr>
          <w:rFonts w:ascii="Times New Roman" w:hAnsi="Times New Roman" w:cs="Times New Roman"/>
          <w:iCs/>
          <w:color w:val="222222"/>
          <w:szCs w:val="20"/>
          <w:shd w:val="clear" w:color="auto" w:fill="FFFFFF"/>
        </w:rPr>
        <w:t>research and applications</w:t>
      </w:r>
      <w:r w:rsidRPr="00AC5081">
        <w:rPr>
          <w:rFonts w:ascii="Times New Roman" w:hAnsi="Times New Roman" w:cs="Times New Roman"/>
          <w:color w:val="222222"/>
          <w:szCs w:val="20"/>
          <w:shd w:val="clear" w:color="auto" w:fill="FFFFFF"/>
        </w:rPr>
        <w:t>, </w:t>
      </w:r>
      <w:r w:rsidRPr="00AC5081">
        <w:rPr>
          <w:rFonts w:ascii="Times New Roman" w:hAnsi="Times New Roman" w:cs="Times New Roman"/>
          <w:iCs/>
          <w:color w:val="222222"/>
          <w:szCs w:val="20"/>
          <w:shd w:val="clear" w:color="auto" w:fill="FFFFFF"/>
        </w:rPr>
        <w:t>28</w:t>
      </w:r>
      <w:r w:rsidRPr="00AC5081">
        <w:rPr>
          <w:rFonts w:ascii="Times New Roman" w:hAnsi="Times New Roman" w:cs="Times New Roman"/>
          <w:color w:val="222222"/>
          <w:szCs w:val="20"/>
          <w:shd w:val="clear" w:color="auto" w:fill="FFFFFF"/>
        </w:rPr>
        <w:t>(9), pp.1378-1393.</w:t>
      </w:r>
    </w:p>
    <w:p w14:paraId="76C6A9FA" w14:textId="77777777" w:rsidR="00AC5081" w:rsidRDefault="00AC5081" w:rsidP="00C667B9">
      <w:pPr>
        <w:spacing w:after="0" w:line="240" w:lineRule="auto"/>
        <w:jc w:val="both"/>
        <w:rPr>
          <w:rFonts w:ascii="Times New Roman" w:hAnsi="Times New Roman" w:cs="Times New Roman"/>
          <w:color w:val="222222"/>
          <w:szCs w:val="20"/>
          <w:shd w:val="clear" w:color="auto" w:fill="FFFFFF"/>
        </w:rPr>
      </w:pPr>
      <w:r w:rsidRPr="00AC5081">
        <w:rPr>
          <w:rFonts w:ascii="Times New Roman" w:hAnsi="Times New Roman" w:cs="Times New Roman"/>
          <w:color w:val="222222"/>
          <w:szCs w:val="20"/>
          <w:shd w:val="clear" w:color="auto" w:fill="FFFFFF"/>
        </w:rPr>
        <w:t xml:space="preserve">Olden, J.D. and </w:t>
      </w:r>
      <w:proofErr w:type="spellStart"/>
      <w:r w:rsidRPr="00AC5081">
        <w:rPr>
          <w:rFonts w:ascii="Times New Roman" w:hAnsi="Times New Roman" w:cs="Times New Roman"/>
          <w:color w:val="222222"/>
          <w:szCs w:val="20"/>
          <w:shd w:val="clear" w:color="auto" w:fill="FFFFFF"/>
        </w:rPr>
        <w:t>Naiman</w:t>
      </w:r>
      <w:proofErr w:type="spellEnd"/>
      <w:r w:rsidRPr="00AC5081">
        <w:rPr>
          <w:rFonts w:ascii="Times New Roman" w:hAnsi="Times New Roman" w:cs="Times New Roman"/>
          <w:color w:val="222222"/>
          <w:szCs w:val="20"/>
          <w:shd w:val="clear" w:color="auto" w:fill="FFFFFF"/>
        </w:rPr>
        <w:t xml:space="preserve">, R.J., 2010. Incorporating thermal regimes into environmental flows assessments: </w:t>
      </w:r>
    </w:p>
    <w:p w14:paraId="3E73D97A" w14:textId="77777777" w:rsidR="00AC5081" w:rsidRPr="00AC5081" w:rsidRDefault="00AC5081" w:rsidP="00C667B9">
      <w:pPr>
        <w:spacing w:after="0" w:line="240" w:lineRule="auto"/>
        <w:ind w:left="720"/>
        <w:jc w:val="both"/>
        <w:rPr>
          <w:rFonts w:ascii="Times New Roman" w:hAnsi="Times New Roman" w:cs="Times New Roman"/>
          <w:color w:val="222222"/>
          <w:sz w:val="24"/>
          <w:szCs w:val="24"/>
          <w:shd w:val="clear" w:color="auto" w:fill="FFFFFF"/>
        </w:rPr>
      </w:pPr>
      <w:r w:rsidRPr="00AC5081">
        <w:rPr>
          <w:rFonts w:ascii="Times New Roman" w:hAnsi="Times New Roman" w:cs="Times New Roman"/>
          <w:color w:val="222222"/>
          <w:szCs w:val="20"/>
          <w:shd w:val="clear" w:color="auto" w:fill="FFFFFF"/>
        </w:rPr>
        <w:t>modifying dam operations to restore freshwater ecosystem integrity. </w:t>
      </w:r>
      <w:r w:rsidRPr="00AC5081">
        <w:rPr>
          <w:rFonts w:ascii="Times New Roman" w:hAnsi="Times New Roman" w:cs="Times New Roman"/>
          <w:iCs/>
          <w:color w:val="222222"/>
          <w:szCs w:val="20"/>
          <w:shd w:val="clear" w:color="auto" w:fill="FFFFFF"/>
        </w:rPr>
        <w:t>Freshwater Biology</w:t>
      </w:r>
      <w:r w:rsidRPr="00AC5081">
        <w:rPr>
          <w:rFonts w:ascii="Times New Roman" w:hAnsi="Times New Roman" w:cs="Times New Roman"/>
          <w:color w:val="222222"/>
          <w:szCs w:val="20"/>
          <w:shd w:val="clear" w:color="auto" w:fill="FFFFFF"/>
        </w:rPr>
        <w:t>, </w:t>
      </w:r>
      <w:r w:rsidRPr="00AC5081">
        <w:rPr>
          <w:rFonts w:ascii="Times New Roman" w:hAnsi="Times New Roman" w:cs="Times New Roman"/>
          <w:iCs/>
          <w:color w:val="222222"/>
          <w:szCs w:val="20"/>
          <w:shd w:val="clear" w:color="auto" w:fill="FFFFFF"/>
        </w:rPr>
        <w:t>55</w:t>
      </w:r>
      <w:r w:rsidRPr="00AC5081">
        <w:rPr>
          <w:rFonts w:ascii="Times New Roman" w:hAnsi="Times New Roman" w:cs="Times New Roman"/>
          <w:color w:val="222222"/>
          <w:szCs w:val="20"/>
          <w:shd w:val="clear" w:color="auto" w:fill="FFFFFF"/>
        </w:rPr>
        <w:t>(1), pp.86-107.</w:t>
      </w:r>
    </w:p>
    <w:p w14:paraId="7D6AE852" w14:textId="77777777" w:rsidR="00C667B9" w:rsidRDefault="00B64929" w:rsidP="00C667B9">
      <w:pPr>
        <w:spacing w:after="0" w:line="240" w:lineRule="auto"/>
        <w:jc w:val="both"/>
        <w:rPr>
          <w:rFonts w:ascii="Times New Roman" w:hAnsi="Times New Roman" w:cs="Times New Roman"/>
          <w:color w:val="222222"/>
          <w:szCs w:val="20"/>
          <w:shd w:val="clear" w:color="auto" w:fill="FFFFFF"/>
        </w:rPr>
      </w:pPr>
      <w:proofErr w:type="spellStart"/>
      <w:r w:rsidRPr="00C667B9">
        <w:rPr>
          <w:rFonts w:ascii="Times New Roman" w:hAnsi="Times New Roman" w:cs="Times New Roman"/>
          <w:color w:val="222222"/>
          <w:szCs w:val="20"/>
          <w:shd w:val="clear" w:color="auto" w:fill="FFFFFF"/>
        </w:rPr>
        <w:t>Poff</w:t>
      </w:r>
      <w:proofErr w:type="spellEnd"/>
      <w:r w:rsidRPr="00C667B9">
        <w:rPr>
          <w:rFonts w:ascii="Times New Roman" w:hAnsi="Times New Roman" w:cs="Times New Roman"/>
          <w:color w:val="222222"/>
          <w:szCs w:val="20"/>
          <w:shd w:val="clear" w:color="auto" w:fill="FFFFFF"/>
        </w:rPr>
        <w:t xml:space="preserve">, N.L., Olden, J.D., Merritt, D.M. and Pepin, D.M., 2007. Homogenization of regional river dynamics </w:t>
      </w:r>
    </w:p>
    <w:p w14:paraId="095F8B2D" w14:textId="77777777" w:rsidR="00AC5081" w:rsidRPr="00C667B9" w:rsidRDefault="00B64929" w:rsidP="00C667B9">
      <w:pPr>
        <w:spacing w:after="0" w:line="240" w:lineRule="auto"/>
        <w:ind w:left="720"/>
        <w:jc w:val="both"/>
        <w:rPr>
          <w:rFonts w:ascii="Times New Roman" w:hAnsi="Times New Roman" w:cs="Times New Roman"/>
          <w:color w:val="222222"/>
          <w:szCs w:val="20"/>
          <w:shd w:val="clear" w:color="auto" w:fill="FFFFFF"/>
        </w:rPr>
      </w:pPr>
      <w:r w:rsidRPr="00C667B9">
        <w:rPr>
          <w:rFonts w:ascii="Times New Roman" w:hAnsi="Times New Roman" w:cs="Times New Roman"/>
          <w:color w:val="222222"/>
          <w:szCs w:val="20"/>
          <w:shd w:val="clear" w:color="auto" w:fill="FFFFFF"/>
        </w:rPr>
        <w:t>by dams and global biodiversity implications. </w:t>
      </w:r>
      <w:r w:rsidRPr="00C667B9">
        <w:rPr>
          <w:rFonts w:ascii="Times New Roman" w:hAnsi="Times New Roman" w:cs="Times New Roman"/>
          <w:iCs/>
          <w:color w:val="222222"/>
          <w:szCs w:val="20"/>
          <w:shd w:val="clear" w:color="auto" w:fill="FFFFFF"/>
        </w:rPr>
        <w:t>Proceedings of the National Academy of Sciences</w:t>
      </w:r>
      <w:r w:rsidRPr="00C667B9">
        <w:rPr>
          <w:rFonts w:ascii="Times New Roman" w:hAnsi="Times New Roman" w:cs="Times New Roman"/>
          <w:color w:val="222222"/>
          <w:szCs w:val="20"/>
          <w:shd w:val="clear" w:color="auto" w:fill="FFFFFF"/>
        </w:rPr>
        <w:t>, </w:t>
      </w:r>
      <w:r w:rsidRPr="00C667B9">
        <w:rPr>
          <w:rFonts w:ascii="Times New Roman" w:hAnsi="Times New Roman" w:cs="Times New Roman"/>
          <w:iCs/>
          <w:color w:val="222222"/>
          <w:szCs w:val="20"/>
          <w:shd w:val="clear" w:color="auto" w:fill="FFFFFF"/>
        </w:rPr>
        <w:t>104</w:t>
      </w:r>
      <w:r w:rsidRPr="00C667B9">
        <w:rPr>
          <w:rFonts w:ascii="Times New Roman" w:hAnsi="Times New Roman" w:cs="Times New Roman"/>
          <w:color w:val="222222"/>
          <w:szCs w:val="20"/>
          <w:shd w:val="clear" w:color="auto" w:fill="FFFFFF"/>
        </w:rPr>
        <w:t>(14), pp.5732-5737.</w:t>
      </w:r>
    </w:p>
    <w:p w14:paraId="316AFAB7" w14:textId="77777777" w:rsidR="00C667B9" w:rsidRDefault="00C667B9" w:rsidP="00C667B9">
      <w:pPr>
        <w:spacing w:after="0" w:line="240" w:lineRule="auto"/>
        <w:jc w:val="both"/>
        <w:rPr>
          <w:rFonts w:ascii="Times New Roman" w:hAnsi="Times New Roman" w:cs="Times New Roman"/>
          <w:color w:val="222222"/>
          <w:szCs w:val="20"/>
          <w:shd w:val="clear" w:color="auto" w:fill="FFFFFF"/>
        </w:rPr>
      </w:pPr>
      <w:proofErr w:type="spellStart"/>
      <w:r w:rsidRPr="00C667B9">
        <w:rPr>
          <w:rFonts w:ascii="Times New Roman" w:hAnsi="Times New Roman" w:cs="Times New Roman"/>
          <w:color w:val="222222"/>
          <w:szCs w:val="20"/>
          <w:shd w:val="clear" w:color="auto" w:fill="FFFFFF"/>
        </w:rPr>
        <w:t>Poff</w:t>
      </w:r>
      <w:proofErr w:type="spellEnd"/>
      <w:r w:rsidRPr="00C667B9">
        <w:rPr>
          <w:rFonts w:ascii="Times New Roman" w:hAnsi="Times New Roman" w:cs="Times New Roman"/>
          <w:color w:val="222222"/>
          <w:szCs w:val="20"/>
          <w:shd w:val="clear" w:color="auto" w:fill="FFFFFF"/>
        </w:rPr>
        <w:t xml:space="preserve">, N.L., Brown, C.M., Grantham, T.E., Matthews, J.H., Palmer, M.A., Spence, C.M., </w:t>
      </w:r>
      <w:proofErr w:type="spellStart"/>
      <w:r w:rsidRPr="00C667B9">
        <w:rPr>
          <w:rFonts w:ascii="Times New Roman" w:hAnsi="Times New Roman" w:cs="Times New Roman"/>
          <w:color w:val="222222"/>
          <w:szCs w:val="20"/>
          <w:shd w:val="clear" w:color="auto" w:fill="FFFFFF"/>
        </w:rPr>
        <w:t>Wilby</w:t>
      </w:r>
      <w:proofErr w:type="spellEnd"/>
      <w:r w:rsidRPr="00C667B9">
        <w:rPr>
          <w:rFonts w:ascii="Times New Roman" w:hAnsi="Times New Roman" w:cs="Times New Roman"/>
          <w:color w:val="222222"/>
          <w:szCs w:val="20"/>
          <w:shd w:val="clear" w:color="auto" w:fill="FFFFFF"/>
        </w:rPr>
        <w:t xml:space="preserve">, R.L., </w:t>
      </w:r>
    </w:p>
    <w:p w14:paraId="70210F40" w14:textId="77777777" w:rsidR="00C667B9" w:rsidRPr="00C667B9" w:rsidRDefault="00C667B9" w:rsidP="00C667B9">
      <w:pPr>
        <w:spacing w:after="0" w:line="240" w:lineRule="auto"/>
        <w:ind w:left="720"/>
        <w:jc w:val="both"/>
        <w:rPr>
          <w:rFonts w:ascii="Times New Roman" w:hAnsi="Times New Roman" w:cs="Times New Roman"/>
          <w:sz w:val="24"/>
          <w:szCs w:val="24"/>
        </w:rPr>
      </w:pPr>
      <w:proofErr w:type="spellStart"/>
      <w:r w:rsidRPr="00C667B9">
        <w:rPr>
          <w:rFonts w:ascii="Times New Roman" w:hAnsi="Times New Roman" w:cs="Times New Roman"/>
          <w:color w:val="222222"/>
          <w:szCs w:val="20"/>
          <w:shd w:val="clear" w:color="auto" w:fill="FFFFFF"/>
        </w:rPr>
        <w:t>Haasnoot</w:t>
      </w:r>
      <w:proofErr w:type="spellEnd"/>
      <w:r w:rsidRPr="00C667B9">
        <w:rPr>
          <w:rFonts w:ascii="Times New Roman" w:hAnsi="Times New Roman" w:cs="Times New Roman"/>
          <w:color w:val="222222"/>
          <w:szCs w:val="20"/>
          <w:shd w:val="clear" w:color="auto" w:fill="FFFFFF"/>
        </w:rPr>
        <w:t xml:space="preserve">, M., Mendoza, G.F., Dominique, K.C. and </w:t>
      </w:r>
      <w:proofErr w:type="spellStart"/>
      <w:r w:rsidRPr="00C667B9">
        <w:rPr>
          <w:rFonts w:ascii="Times New Roman" w:hAnsi="Times New Roman" w:cs="Times New Roman"/>
          <w:color w:val="222222"/>
          <w:szCs w:val="20"/>
          <w:shd w:val="clear" w:color="auto" w:fill="FFFFFF"/>
        </w:rPr>
        <w:t>Baeza</w:t>
      </w:r>
      <w:proofErr w:type="spellEnd"/>
      <w:r w:rsidRPr="00C667B9">
        <w:rPr>
          <w:rFonts w:ascii="Times New Roman" w:hAnsi="Times New Roman" w:cs="Times New Roman"/>
          <w:color w:val="222222"/>
          <w:szCs w:val="20"/>
          <w:shd w:val="clear" w:color="auto" w:fill="FFFFFF"/>
        </w:rPr>
        <w:t>, A., 2016. Sustainable water management under future uncertainty with eco-engineering decision scaling. </w:t>
      </w:r>
      <w:r w:rsidRPr="00C667B9">
        <w:rPr>
          <w:rFonts w:ascii="Times New Roman" w:hAnsi="Times New Roman" w:cs="Times New Roman"/>
          <w:iCs/>
          <w:color w:val="222222"/>
          <w:szCs w:val="20"/>
          <w:shd w:val="clear" w:color="auto" w:fill="FFFFFF"/>
        </w:rPr>
        <w:t>Nature Climate Change</w:t>
      </w:r>
      <w:r w:rsidRPr="00C667B9">
        <w:rPr>
          <w:rFonts w:ascii="Times New Roman" w:hAnsi="Times New Roman" w:cs="Times New Roman"/>
          <w:color w:val="222222"/>
          <w:szCs w:val="20"/>
          <w:shd w:val="clear" w:color="auto" w:fill="FFFFFF"/>
        </w:rPr>
        <w:t>, </w:t>
      </w:r>
      <w:r w:rsidRPr="00C667B9">
        <w:rPr>
          <w:rFonts w:ascii="Times New Roman" w:hAnsi="Times New Roman" w:cs="Times New Roman"/>
          <w:iCs/>
          <w:color w:val="222222"/>
          <w:szCs w:val="20"/>
          <w:shd w:val="clear" w:color="auto" w:fill="FFFFFF"/>
        </w:rPr>
        <w:t>6</w:t>
      </w:r>
      <w:r w:rsidRPr="00C667B9">
        <w:rPr>
          <w:rFonts w:ascii="Times New Roman" w:hAnsi="Times New Roman" w:cs="Times New Roman"/>
          <w:color w:val="222222"/>
          <w:szCs w:val="20"/>
          <w:shd w:val="clear" w:color="auto" w:fill="FFFFFF"/>
        </w:rPr>
        <w:t>(1), pp.25-34.</w:t>
      </w:r>
    </w:p>
    <w:p w14:paraId="3F53031C" w14:textId="77777777" w:rsidR="00C667B9" w:rsidRDefault="00C667B9" w:rsidP="00C667B9">
      <w:pPr>
        <w:spacing w:after="0" w:line="240" w:lineRule="auto"/>
        <w:jc w:val="both"/>
        <w:rPr>
          <w:rFonts w:ascii="Times New Roman" w:hAnsi="Times New Roman" w:cs="Times New Roman"/>
          <w:iCs/>
          <w:color w:val="222222"/>
          <w:szCs w:val="20"/>
          <w:shd w:val="clear" w:color="auto" w:fill="FFFFFF"/>
        </w:rPr>
      </w:pPr>
      <w:proofErr w:type="spellStart"/>
      <w:r w:rsidRPr="00C667B9">
        <w:rPr>
          <w:rFonts w:ascii="Times New Roman" w:hAnsi="Times New Roman" w:cs="Times New Roman"/>
          <w:color w:val="222222"/>
          <w:szCs w:val="20"/>
          <w:shd w:val="clear" w:color="auto" w:fill="FFFFFF"/>
        </w:rPr>
        <w:t>Ploussard</w:t>
      </w:r>
      <w:proofErr w:type="spellEnd"/>
      <w:r w:rsidRPr="00C667B9">
        <w:rPr>
          <w:rFonts w:ascii="Times New Roman" w:hAnsi="Times New Roman" w:cs="Times New Roman"/>
          <w:color w:val="222222"/>
          <w:szCs w:val="20"/>
          <w:shd w:val="clear" w:color="auto" w:fill="FFFFFF"/>
        </w:rPr>
        <w:t xml:space="preserve">, Q. and </w:t>
      </w:r>
      <w:proofErr w:type="spellStart"/>
      <w:r w:rsidRPr="00C667B9">
        <w:rPr>
          <w:rFonts w:ascii="Times New Roman" w:hAnsi="Times New Roman" w:cs="Times New Roman"/>
          <w:color w:val="222222"/>
          <w:szCs w:val="20"/>
          <w:shd w:val="clear" w:color="auto" w:fill="FFFFFF"/>
        </w:rPr>
        <w:t>Veselka</w:t>
      </w:r>
      <w:proofErr w:type="spellEnd"/>
      <w:r w:rsidRPr="00C667B9">
        <w:rPr>
          <w:rFonts w:ascii="Times New Roman" w:hAnsi="Times New Roman" w:cs="Times New Roman"/>
          <w:color w:val="222222"/>
          <w:szCs w:val="20"/>
          <w:shd w:val="clear" w:color="auto" w:fill="FFFFFF"/>
        </w:rPr>
        <w:t>, T.D., 2019. </w:t>
      </w:r>
      <w:r w:rsidRPr="00C667B9">
        <w:rPr>
          <w:rFonts w:ascii="Times New Roman" w:hAnsi="Times New Roman" w:cs="Times New Roman"/>
          <w:iCs/>
          <w:color w:val="222222"/>
          <w:szCs w:val="20"/>
          <w:shd w:val="clear" w:color="auto" w:fill="FFFFFF"/>
        </w:rPr>
        <w:t xml:space="preserve">Financial Analysis of the 2018 Glen Canyon Dam Bug Flow </w:t>
      </w:r>
    </w:p>
    <w:p w14:paraId="6EAB228F" w14:textId="77777777" w:rsidR="00AC5081" w:rsidRPr="00C667B9" w:rsidRDefault="00C667B9" w:rsidP="00C667B9">
      <w:pPr>
        <w:spacing w:after="0" w:line="240" w:lineRule="auto"/>
        <w:ind w:firstLine="720"/>
        <w:jc w:val="both"/>
        <w:rPr>
          <w:rFonts w:ascii="Times New Roman" w:hAnsi="Times New Roman" w:cs="Times New Roman"/>
          <w:sz w:val="24"/>
          <w:szCs w:val="24"/>
        </w:rPr>
      </w:pPr>
      <w:r w:rsidRPr="00C667B9">
        <w:rPr>
          <w:rFonts w:ascii="Times New Roman" w:hAnsi="Times New Roman" w:cs="Times New Roman"/>
          <w:iCs/>
          <w:color w:val="222222"/>
          <w:szCs w:val="20"/>
          <w:shd w:val="clear" w:color="auto" w:fill="FFFFFF"/>
        </w:rPr>
        <w:t>Experiment</w:t>
      </w:r>
      <w:r w:rsidRPr="00C667B9">
        <w:rPr>
          <w:rFonts w:ascii="Times New Roman" w:hAnsi="Times New Roman" w:cs="Times New Roman"/>
          <w:color w:val="222222"/>
          <w:szCs w:val="20"/>
          <w:shd w:val="clear" w:color="auto" w:fill="FFFFFF"/>
        </w:rPr>
        <w:t xml:space="preserve"> (No. ANL-19/19). Argonne National </w:t>
      </w:r>
      <w:r w:rsidRPr="00C667B9">
        <w:rPr>
          <w:rFonts w:ascii="Times New Roman" w:hAnsi="Times New Roman" w:cs="Times New Roman"/>
          <w:color w:val="222222"/>
          <w:szCs w:val="20"/>
          <w:shd w:val="clear" w:color="auto" w:fill="FFFFFF"/>
        </w:rPr>
        <w:t>Lab (</w:t>
      </w:r>
      <w:r w:rsidRPr="00C667B9">
        <w:rPr>
          <w:rFonts w:ascii="Times New Roman" w:hAnsi="Times New Roman" w:cs="Times New Roman"/>
          <w:color w:val="222222"/>
          <w:szCs w:val="20"/>
          <w:shd w:val="clear" w:color="auto" w:fill="FFFFFF"/>
        </w:rPr>
        <w:t>ANL), Argonne, IL (United States).</w:t>
      </w:r>
    </w:p>
    <w:p w14:paraId="3659BC8A" w14:textId="77777777" w:rsidR="00C667B9" w:rsidRPr="00C667B9" w:rsidRDefault="00C667B9" w:rsidP="00C667B9">
      <w:pPr>
        <w:spacing w:after="0" w:line="240" w:lineRule="auto"/>
        <w:jc w:val="both"/>
        <w:rPr>
          <w:rFonts w:ascii="Times New Roman" w:hAnsi="Times New Roman" w:cs="Times New Roman"/>
          <w:color w:val="222222"/>
          <w:sz w:val="24"/>
          <w:szCs w:val="24"/>
          <w:shd w:val="clear" w:color="auto" w:fill="FFFFFF"/>
        </w:rPr>
      </w:pPr>
      <w:r w:rsidRPr="00C667B9">
        <w:rPr>
          <w:rFonts w:ascii="Times New Roman" w:hAnsi="Times New Roman" w:cs="Times New Roman"/>
          <w:color w:val="222222"/>
          <w:szCs w:val="20"/>
          <w:shd w:val="clear" w:color="auto" w:fill="FFFFFF"/>
        </w:rPr>
        <w:t>Richter, B., 2014. </w:t>
      </w:r>
      <w:r w:rsidRPr="00C667B9">
        <w:rPr>
          <w:rFonts w:ascii="Times New Roman" w:hAnsi="Times New Roman" w:cs="Times New Roman"/>
          <w:iCs/>
          <w:color w:val="222222"/>
          <w:szCs w:val="20"/>
          <w:shd w:val="clear" w:color="auto" w:fill="FFFFFF"/>
        </w:rPr>
        <w:t>Chasing water: a guide for moving from scarcity to sustainability</w:t>
      </w:r>
      <w:r w:rsidRPr="00C667B9">
        <w:rPr>
          <w:rFonts w:ascii="Times New Roman" w:hAnsi="Times New Roman" w:cs="Times New Roman"/>
          <w:color w:val="222222"/>
          <w:szCs w:val="20"/>
          <w:shd w:val="clear" w:color="auto" w:fill="FFFFFF"/>
        </w:rPr>
        <w:t>. Island press.</w:t>
      </w:r>
    </w:p>
    <w:p w14:paraId="2BA2C5E3" w14:textId="77777777" w:rsidR="00C667B9" w:rsidRDefault="00C667B9" w:rsidP="00C667B9">
      <w:pPr>
        <w:spacing w:after="0" w:line="240" w:lineRule="auto"/>
        <w:jc w:val="both"/>
        <w:rPr>
          <w:rFonts w:ascii="Times New Roman" w:hAnsi="Times New Roman" w:cs="Times New Roman"/>
          <w:color w:val="222222"/>
          <w:szCs w:val="20"/>
          <w:shd w:val="clear" w:color="auto" w:fill="FFFFFF"/>
        </w:rPr>
      </w:pPr>
      <w:proofErr w:type="spellStart"/>
      <w:r w:rsidRPr="00C667B9">
        <w:rPr>
          <w:rFonts w:ascii="Times New Roman" w:hAnsi="Times New Roman" w:cs="Times New Roman"/>
          <w:color w:val="222222"/>
          <w:szCs w:val="20"/>
          <w:shd w:val="clear" w:color="auto" w:fill="FFFFFF"/>
        </w:rPr>
        <w:t>Rheinheimer</w:t>
      </w:r>
      <w:proofErr w:type="spellEnd"/>
      <w:r w:rsidRPr="00C667B9">
        <w:rPr>
          <w:rFonts w:ascii="Times New Roman" w:hAnsi="Times New Roman" w:cs="Times New Roman"/>
          <w:color w:val="222222"/>
          <w:szCs w:val="20"/>
          <w:shd w:val="clear" w:color="auto" w:fill="FFFFFF"/>
        </w:rPr>
        <w:t xml:space="preserve">, D.E., Null, S.E. and Lund, J.R., 2015. Optimizing selective withdrawal from reservoirs to </w:t>
      </w:r>
    </w:p>
    <w:p w14:paraId="1E8E6172" w14:textId="77777777" w:rsidR="00C667B9" w:rsidRDefault="00C667B9" w:rsidP="00C667B9">
      <w:pPr>
        <w:spacing w:after="0" w:line="240" w:lineRule="auto"/>
        <w:ind w:firstLine="720"/>
        <w:jc w:val="both"/>
        <w:rPr>
          <w:rFonts w:ascii="Times New Roman" w:hAnsi="Times New Roman" w:cs="Times New Roman"/>
          <w:iCs/>
          <w:color w:val="222222"/>
          <w:szCs w:val="20"/>
          <w:shd w:val="clear" w:color="auto" w:fill="FFFFFF"/>
        </w:rPr>
      </w:pPr>
      <w:r w:rsidRPr="00C667B9">
        <w:rPr>
          <w:rFonts w:ascii="Times New Roman" w:hAnsi="Times New Roman" w:cs="Times New Roman"/>
          <w:color w:val="222222"/>
          <w:szCs w:val="20"/>
          <w:shd w:val="clear" w:color="auto" w:fill="FFFFFF"/>
        </w:rPr>
        <w:t>manage downstream temperatures with climate warming. </w:t>
      </w:r>
      <w:r w:rsidRPr="00C667B9">
        <w:rPr>
          <w:rFonts w:ascii="Times New Roman" w:hAnsi="Times New Roman" w:cs="Times New Roman"/>
          <w:iCs/>
          <w:color w:val="222222"/>
          <w:szCs w:val="20"/>
          <w:shd w:val="clear" w:color="auto" w:fill="FFFFFF"/>
        </w:rPr>
        <w:t xml:space="preserve">Journal of Water Resources Planning and </w:t>
      </w:r>
    </w:p>
    <w:p w14:paraId="573D0CEF" w14:textId="77777777" w:rsidR="00C667B9" w:rsidRDefault="00C667B9" w:rsidP="00C667B9">
      <w:pPr>
        <w:spacing w:after="0" w:line="240" w:lineRule="auto"/>
        <w:ind w:firstLine="720"/>
        <w:jc w:val="both"/>
        <w:rPr>
          <w:rFonts w:ascii="Arial" w:hAnsi="Arial" w:cs="Arial"/>
          <w:color w:val="222222"/>
          <w:sz w:val="20"/>
          <w:szCs w:val="20"/>
          <w:shd w:val="clear" w:color="auto" w:fill="FFFFFF"/>
        </w:rPr>
      </w:pPr>
      <w:r w:rsidRPr="00C667B9">
        <w:rPr>
          <w:rFonts w:ascii="Times New Roman" w:hAnsi="Times New Roman" w:cs="Times New Roman"/>
          <w:iCs/>
          <w:color w:val="222222"/>
          <w:szCs w:val="20"/>
          <w:shd w:val="clear" w:color="auto" w:fill="FFFFFF"/>
        </w:rPr>
        <w:t>Management</w:t>
      </w:r>
      <w:r w:rsidRPr="00C667B9">
        <w:rPr>
          <w:rFonts w:ascii="Times New Roman" w:hAnsi="Times New Roman" w:cs="Times New Roman"/>
          <w:color w:val="222222"/>
          <w:szCs w:val="20"/>
          <w:shd w:val="clear" w:color="auto" w:fill="FFFFFF"/>
        </w:rPr>
        <w:t>, </w:t>
      </w:r>
      <w:r w:rsidRPr="00C667B9">
        <w:rPr>
          <w:rFonts w:ascii="Times New Roman" w:hAnsi="Times New Roman" w:cs="Times New Roman"/>
          <w:iCs/>
          <w:color w:val="222222"/>
          <w:szCs w:val="20"/>
          <w:shd w:val="clear" w:color="auto" w:fill="FFFFFF"/>
        </w:rPr>
        <w:t>141</w:t>
      </w:r>
      <w:r w:rsidRPr="00C667B9">
        <w:rPr>
          <w:rFonts w:ascii="Times New Roman" w:hAnsi="Times New Roman" w:cs="Times New Roman"/>
          <w:color w:val="222222"/>
          <w:szCs w:val="20"/>
          <w:shd w:val="clear" w:color="auto" w:fill="FFFFFF"/>
        </w:rPr>
        <w:t>(4), p.04014063</w:t>
      </w:r>
      <w:r>
        <w:rPr>
          <w:rFonts w:ascii="Arial" w:hAnsi="Arial" w:cs="Arial"/>
          <w:color w:val="222222"/>
          <w:sz w:val="20"/>
          <w:szCs w:val="20"/>
          <w:shd w:val="clear" w:color="auto" w:fill="FFFFFF"/>
        </w:rPr>
        <w:t>.</w:t>
      </w:r>
    </w:p>
    <w:p w14:paraId="5C260158" w14:textId="77777777" w:rsidR="00C667B9" w:rsidRPr="00C667B9" w:rsidRDefault="00C667B9" w:rsidP="00C667B9">
      <w:pPr>
        <w:spacing w:after="0" w:line="240" w:lineRule="auto"/>
        <w:jc w:val="both"/>
        <w:rPr>
          <w:rFonts w:ascii="Times New Roman" w:hAnsi="Times New Roman" w:cs="Times New Roman"/>
          <w:color w:val="222222"/>
          <w:szCs w:val="20"/>
          <w:shd w:val="clear" w:color="auto" w:fill="FFFFFF"/>
        </w:rPr>
      </w:pPr>
      <w:r w:rsidRPr="00C667B9">
        <w:rPr>
          <w:rFonts w:ascii="Times New Roman" w:hAnsi="Times New Roman" w:cs="Times New Roman"/>
          <w:color w:val="222222"/>
          <w:szCs w:val="20"/>
          <w:shd w:val="clear" w:color="auto" w:fill="FFFFFF"/>
        </w:rPr>
        <w:t xml:space="preserve">Stevens, L.E., Shannon, J.P. and Blinn, D.W., 1997. Colorado River benthic ecology in Grand Canyon, </w:t>
      </w:r>
    </w:p>
    <w:p w14:paraId="390E629D" w14:textId="77777777" w:rsidR="00C667B9" w:rsidRPr="00C667B9" w:rsidRDefault="00C667B9" w:rsidP="00C667B9">
      <w:pPr>
        <w:spacing w:after="0" w:line="240" w:lineRule="auto"/>
        <w:ind w:left="720"/>
        <w:jc w:val="both"/>
        <w:rPr>
          <w:rFonts w:ascii="Times New Roman" w:hAnsi="Times New Roman" w:cs="Times New Roman"/>
          <w:color w:val="222222"/>
          <w:sz w:val="24"/>
          <w:szCs w:val="24"/>
          <w:shd w:val="clear" w:color="auto" w:fill="FFFFFF"/>
        </w:rPr>
      </w:pPr>
      <w:r w:rsidRPr="00C667B9">
        <w:rPr>
          <w:rFonts w:ascii="Times New Roman" w:hAnsi="Times New Roman" w:cs="Times New Roman"/>
          <w:color w:val="222222"/>
          <w:szCs w:val="20"/>
          <w:shd w:val="clear" w:color="auto" w:fill="FFFFFF"/>
        </w:rPr>
        <w:t>Arizona, USA: dam, tributary and geomorphological influences. </w:t>
      </w:r>
      <w:r w:rsidRPr="00C667B9">
        <w:rPr>
          <w:rFonts w:ascii="Times New Roman" w:hAnsi="Times New Roman" w:cs="Times New Roman"/>
          <w:iCs/>
          <w:color w:val="222222"/>
          <w:szCs w:val="20"/>
          <w:shd w:val="clear" w:color="auto" w:fill="FFFFFF"/>
        </w:rPr>
        <w:t>Regulated Rivers: Research &amp; Management: An International Journal Devoted to River Research and Management</w:t>
      </w:r>
      <w:r w:rsidRPr="00C667B9">
        <w:rPr>
          <w:rFonts w:ascii="Times New Roman" w:hAnsi="Times New Roman" w:cs="Times New Roman"/>
          <w:color w:val="222222"/>
          <w:szCs w:val="20"/>
          <w:shd w:val="clear" w:color="auto" w:fill="FFFFFF"/>
        </w:rPr>
        <w:t>, </w:t>
      </w:r>
      <w:r w:rsidRPr="00C667B9">
        <w:rPr>
          <w:rFonts w:ascii="Times New Roman" w:hAnsi="Times New Roman" w:cs="Times New Roman"/>
          <w:iCs/>
          <w:color w:val="222222"/>
          <w:szCs w:val="20"/>
          <w:shd w:val="clear" w:color="auto" w:fill="FFFFFF"/>
        </w:rPr>
        <w:t>13</w:t>
      </w:r>
      <w:r w:rsidRPr="00C667B9">
        <w:rPr>
          <w:rFonts w:ascii="Times New Roman" w:hAnsi="Times New Roman" w:cs="Times New Roman"/>
          <w:color w:val="222222"/>
          <w:szCs w:val="20"/>
          <w:shd w:val="clear" w:color="auto" w:fill="FFFFFF"/>
        </w:rPr>
        <w:t>(2), pp.129-149.</w:t>
      </w:r>
    </w:p>
    <w:p w14:paraId="77E9EC1C" w14:textId="77777777" w:rsidR="00303CCB" w:rsidRPr="00204F86" w:rsidRDefault="00BD0514" w:rsidP="00C667B9">
      <w:pPr>
        <w:pStyle w:val="Default"/>
        <w:jc w:val="both"/>
        <w:rPr>
          <w:color w:val="222222"/>
          <w:sz w:val="22"/>
          <w:shd w:val="clear" w:color="auto" w:fill="FFFFFF"/>
        </w:rPr>
      </w:pPr>
      <w:r w:rsidRPr="00204F86">
        <w:rPr>
          <w:color w:val="222222"/>
          <w:sz w:val="22"/>
          <w:shd w:val="clear" w:color="auto" w:fill="FFFFFF"/>
        </w:rPr>
        <w:t>Walker, W.</w:t>
      </w:r>
      <w:r w:rsidR="00C667B9">
        <w:rPr>
          <w:color w:val="222222"/>
          <w:sz w:val="22"/>
          <w:shd w:val="clear" w:color="auto" w:fill="FFFFFF"/>
        </w:rPr>
        <w:t xml:space="preserve">, </w:t>
      </w:r>
      <w:r w:rsidRPr="00204F86">
        <w:rPr>
          <w:color w:val="222222"/>
          <w:sz w:val="22"/>
          <w:shd w:val="clear" w:color="auto" w:fill="FFFFFF"/>
        </w:rPr>
        <w:t xml:space="preserve">2017. </w:t>
      </w:r>
      <w:r w:rsidRPr="00204F86">
        <w:rPr>
          <w:sz w:val="22"/>
        </w:rPr>
        <w:t xml:space="preserve">Environmental Flow Regime Management in the Grand Canyon. </w:t>
      </w:r>
      <w:r w:rsidRPr="00204F86">
        <w:rPr>
          <w:color w:val="222222"/>
          <w:sz w:val="22"/>
          <w:shd w:val="clear" w:color="auto" w:fill="FFFFFF"/>
        </w:rPr>
        <w:t xml:space="preserve">University of </w:t>
      </w:r>
    </w:p>
    <w:p w14:paraId="6413EE86" w14:textId="77777777" w:rsidR="00C667B9" w:rsidRDefault="00BD0514" w:rsidP="00C667B9">
      <w:pPr>
        <w:pStyle w:val="Default"/>
        <w:ind w:left="720"/>
        <w:jc w:val="both"/>
        <w:rPr>
          <w:color w:val="222222"/>
          <w:sz w:val="22"/>
          <w:shd w:val="clear" w:color="auto" w:fill="FFFFFF"/>
        </w:rPr>
      </w:pPr>
      <w:r w:rsidRPr="00204F86">
        <w:rPr>
          <w:color w:val="222222"/>
          <w:sz w:val="22"/>
          <w:shd w:val="clear" w:color="auto" w:fill="FFFFFF"/>
        </w:rPr>
        <w:t xml:space="preserve">California, Davis. </w:t>
      </w:r>
    </w:p>
    <w:p w14:paraId="6BB26A5C" w14:textId="77777777" w:rsidR="00BD0514" w:rsidRPr="00204F86" w:rsidRDefault="00C667B9" w:rsidP="00C667B9">
      <w:pPr>
        <w:pStyle w:val="Default"/>
        <w:ind w:left="720"/>
        <w:jc w:val="both"/>
        <w:rPr>
          <w:sz w:val="22"/>
        </w:rPr>
      </w:pPr>
      <w:hyperlink r:id="rId16" w:history="1">
        <w:r w:rsidRPr="00C5126C">
          <w:rPr>
            <w:rStyle w:val="Hyperlink"/>
            <w:sz w:val="22"/>
          </w:rPr>
          <w:t>https://watershed.ucdavis.edu/education/classes/files/content/page/WesWalker_revised.pdf</w:t>
        </w:r>
      </w:hyperlink>
      <w:r w:rsidR="00BD0514" w:rsidRPr="00204F86">
        <w:rPr>
          <w:sz w:val="22"/>
        </w:rPr>
        <w:t xml:space="preserve"> </w:t>
      </w:r>
    </w:p>
    <w:p w14:paraId="36A749E7" w14:textId="77777777" w:rsidR="00C667B9" w:rsidRDefault="00C667B9" w:rsidP="00C667B9">
      <w:pPr>
        <w:pStyle w:val="Default"/>
        <w:jc w:val="both"/>
        <w:rPr>
          <w:color w:val="222222"/>
          <w:sz w:val="22"/>
          <w:szCs w:val="20"/>
          <w:shd w:val="clear" w:color="auto" w:fill="FFFFFF"/>
        </w:rPr>
      </w:pPr>
      <w:proofErr w:type="spellStart"/>
      <w:r w:rsidRPr="00C667B9">
        <w:rPr>
          <w:color w:val="222222"/>
          <w:sz w:val="22"/>
          <w:szCs w:val="20"/>
          <w:shd w:val="clear" w:color="auto" w:fill="FFFFFF"/>
        </w:rPr>
        <w:t>Yakowitz</w:t>
      </w:r>
      <w:proofErr w:type="spellEnd"/>
      <w:r w:rsidRPr="00C667B9">
        <w:rPr>
          <w:color w:val="222222"/>
          <w:sz w:val="22"/>
          <w:szCs w:val="20"/>
          <w:shd w:val="clear" w:color="auto" w:fill="FFFFFF"/>
        </w:rPr>
        <w:t>, S., 1982. Dynamic programming applications in water resources. </w:t>
      </w:r>
      <w:r w:rsidRPr="00C667B9">
        <w:rPr>
          <w:iCs/>
          <w:color w:val="222222"/>
          <w:sz w:val="22"/>
          <w:szCs w:val="20"/>
          <w:shd w:val="clear" w:color="auto" w:fill="FFFFFF"/>
        </w:rPr>
        <w:t>Water resources research</w:t>
      </w:r>
      <w:r w:rsidRPr="00C667B9">
        <w:rPr>
          <w:color w:val="222222"/>
          <w:sz w:val="22"/>
          <w:szCs w:val="20"/>
          <w:shd w:val="clear" w:color="auto" w:fill="FFFFFF"/>
        </w:rPr>
        <w:t>, </w:t>
      </w:r>
    </w:p>
    <w:p w14:paraId="4ACAEDC5" w14:textId="77777777" w:rsidR="00C667B9" w:rsidRPr="00C667B9" w:rsidRDefault="00C667B9" w:rsidP="00C667B9">
      <w:pPr>
        <w:pStyle w:val="Default"/>
        <w:ind w:firstLine="720"/>
        <w:jc w:val="both"/>
        <w:rPr>
          <w:color w:val="222222"/>
          <w:sz w:val="22"/>
          <w:szCs w:val="20"/>
          <w:shd w:val="clear" w:color="auto" w:fill="FFFFFF"/>
        </w:rPr>
      </w:pPr>
      <w:r w:rsidRPr="00C667B9">
        <w:rPr>
          <w:iCs/>
          <w:color w:val="222222"/>
          <w:sz w:val="22"/>
          <w:szCs w:val="20"/>
          <w:shd w:val="clear" w:color="auto" w:fill="FFFFFF"/>
        </w:rPr>
        <w:t>18</w:t>
      </w:r>
      <w:r w:rsidRPr="00C667B9">
        <w:rPr>
          <w:color w:val="222222"/>
          <w:sz w:val="22"/>
          <w:szCs w:val="20"/>
          <w:shd w:val="clear" w:color="auto" w:fill="FFFFFF"/>
        </w:rPr>
        <w:t>(4), pp.673-696.</w:t>
      </w:r>
    </w:p>
    <w:p w14:paraId="66108A03" w14:textId="77777777" w:rsidR="00C667B9" w:rsidRDefault="00C667B9" w:rsidP="00C667B9">
      <w:pPr>
        <w:pStyle w:val="Default"/>
        <w:jc w:val="both"/>
        <w:rPr>
          <w:color w:val="222222"/>
          <w:sz w:val="22"/>
          <w:szCs w:val="20"/>
          <w:shd w:val="clear" w:color="auto" w:fill="FFFFFF"/>
        </w:rPr>
      </w:pPr>
      <w:proofErr w:type="spellStart"/>
      <w:r w:rsidRPr="00C667B9">
        <w:rPr>
          <w:color w:val="222222"/>
          <w:sz w:val="22"/>
          <w:szCs w:val="20"/>
          <w:shd w:val="clear" w:color="auto" w:fill="FFFFFF"/>
        </w:rPr>
        <w:t>Yoo</w:t>
      </w:r>
      <w:proofErr w:type="spellEnd"/>
      <w:r w:rsidRPr="00C667B9">
        <w:rPr>
          <w:color w:val="222222"/>
          <w:sz w:val="22"/>
          <w:szCs w:val="20"/>
          <w:shd w:val="clear" w:color="auto" w:fill="FFFFFF"/>
        </w:rPr>
        <w:t>, J.H., 2009. Maximization of hydropower generation through the application of a linear</w:t>
      </w:r>
      <w:r>
        <w:rPr>
          <w:color w:val="222222"/>
          <w:sz w:val="22"/>
          <w:szCs w:val="20"/>
          <w:shd w:val="clear" w:color="auto" w:fill="FFFFFF"/>
        </w:rPr>
        <w:t xml:space="preserve"> </w:t>
      </w:r>
    </w:p>
    <w:p w14:paraId="238B8110" w14:textId="77777777" w:rsidR="00C667B9" w:rsidRPr="00C667B9" w:rsidRDefault="00C667B9" w:rsidP="00C667B9">
      <w:pPr>
        <w:pStyle w:val="Default"/>
        <w:ind w:firstLine="720"/>
        <w:jc w:val="both"/>
        <w:rPr>
          <w:color w:val="222222"/>
          <w:sz w:val="22"/>
          <w:szCs w:val="20"/>
          <w:shd w:val="clear" w:color="auto" w:fill="FFFFFF"/>
        </w:rPr>
      </w:pPr>
      <w:r w:rsidRPr="00C667B9">
        <w:rPr>
          <w:color w:val="222222"/>
          <w:sz w:val="22"/>
          <w:szCs w:val="20"/>
          <w:shd w:val="clear" w:color="auto" w:fill="FFFFFF"/>
        </w:rPr>
        <w:t>programming model. </w:t>
      </w:r>
      <w:r w:rsidRPr="00C667B9">
        <w:rPr>
          <w:iCs/>
          <w:color w:val="222222"/>
          <w:sz w:val="22"/>
          <w:szCs w:val="20"/>
          <w:shd w:val="clear" w:color="auto" w:fill="FFFFFF"/>
        </w:rPr>
        <w:t>Journal of Hydrology</w:t>
      </w:r>
      <w:r w:rsidRPr="00C667B9">
        <w:rPr>
          <w:color w:val="222222"/>
          <w:sz w:val="22"/>
          <w:szCs w:val="20"/>
          <w:shd w:val="clear" w:color="auto" w:fill="FFFFFF"/>
        </w:rPr>
        <w:t>, </w:t>
      </w:r>
      <w:r w:rsidRPr="00C667B9">
        <w:rPr>
          <w:iCs/>
          <w:color w:val="222222"/>
          <w:sz w:val="22"/>
          <w:szCs w:val="20"/>
          <w:shd w:val="clear" w:color="auto" w:fill="FFFFFF"/>
        </w:rPr>
        <w:t>376</w:t>
      </w:r>
      <w:r w:rsidRPr="00C667B9">
        <w:rPr>
          <w:color w:val="222222"/>
          <w:sz w:val="22"/>
          <w:szCs w:val="20"/>
          <w:shd w:val="clear" w:color="auto" w:fill="FFFFFF"/>
        </w:rPr>
        <w:t>(1-2), pp.182-187.</w:t>
      </w:r>
    </w:p>
    <w:p w14:paraId="39E312D6" w14:textId="77777777" w:rsidR="00BD0514" w:rsidRPr="00204F86" w:rsidRDefault="00BD0514" w:rsidP="00303CCB">
      <w:pPr>
        <w:pStyle w:val="Default"/>
        <w:ind w:firstLine="720"/>
        <w:rPr>
          <w:sz w:val="22"/>
        </w:rPr>
      </w:pPr>
    </w:p>
    <w:sectPr w:rsidR="00BD0514" w:rsidRPr="00204F86" w:rsidSect="00782F0C">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07CD" w14:textId="77777777" w:rsidR="00AC7487" w:rsidRDefault="00AC7487" w:rsidP="00676ED7">
      <w:pPr>
        <w:spacing w:after="0" w:line="240" w:lineRule="auto"/>
      </w:pPr>
      <w:r>
        <w:separator/>
      </w:r>
    </w:p>
  </w:endnote>
  <w:endnote w:type="continuationSeparator" w:id="0">
    <w:p w14:paraId="208029FD" w14:textId="77777777" w:rsidR="00AC7487" w:rsidRDefault="00AC7487" w:rsidP="00676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557974"/>
      <w:docPartObj>
        <w:docPartGallery w:val="Page Numbers (Bottom of Page)"/>
        <w:docPartUnique/>
      </w:docPartObj>
    </w:sdtPr>
    <w:sdtEndPr>
      <w:rPr>
        <w:noProof/>
      </w:rPr>
    </w:sdtEndPr>
    <w:sdtContent>
      <w:p w14:paraId="45707D17" w14:textId="77777777" w:rsidR="00676ED7" w:rsidRDefault="00676E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7BC695" w14:textId="77777777" w:rsidR="00676ED7" w:rsidRDefault="0067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C3BF5" w14:textId="77777777" w:rsidR="00AC7487" w:rsidRDefault="00AC7487" w:rsidP="00676ED7">
      <w:pPr>
        <w:spacing w:after="0" w:line="240" w:lineRule="auto"/>
      </w:pPr>
      <w:r>
        <w:separator/>
      </w:r>
    </w:p>
  </w:footnote>
  <w:footnote w:type="continuationSeparator" w:id="0">
    <w:p w14:paraId="23CFCADE" w14:textId="77777777" w:rsidR="00AC7487" w:rsidRDefault="00AC7487" w:rsidP="00676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A1D6C"/>
    <w:multiLevelType w:val="hybridMultilevel"/>
    <w:tmpl w:val="2D383A5C"/>
    <w:lvl w:ilvl="0" w:tplc="3EC6B3A0">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77"/>
    <w:rsid w:val="000B1C10"/>
    <w:rsid w:val="000C2BE4"/>
    <w:rsid w:val="000C723F"/>
    <w:rsid w:val="000E258A"/>
    <w:rsid w:val="000E3BB4"/>
    <w:rsid w:val="00151A54"/>
    <w:rsid w:val="0015748B"/>
    <w:rsid w:val="001D2528"/>
    <w:rsid w:val="001E6EB3"/>
    <w:rsid w:val="00201E94"/>
    <w:rsid w:val="00204F86"/>
    <w:rsid w:val="00222F17"/>
    <w:rsid w:val="002347A1"/>
    <w:rsid w:val="002509B3"/>
    <w:rsid w:val="00281E37"/>
    <w:rsid w:val="002D4387"/>
    <w:rsid w:val="00303CCB"/>
    <w:rsid w:val="00316803"/>
    <w:rsid w:val="0033652E"/>
    <w:rsid w:val="00336747"/>
    <w:rsid w:val="003427C3"/>
    <w:rsid w:val="003457B3"/>
    <w:rsid w:val="003460A6"/>
    <w:rsid w:val="003463B9"/>
    <w:rsid w:val="00355A49"/>
    <w:rsid w:val="00366B3B"/>
    <w:rsid w:val="00386E3D"/>
    <w:rsid w:val="003E4A12"/>
    <w:rsid w:val="003F4D2E"/>
    <w:rsid w:val="0044053B"/>
    <w:rsid w:val="00447840"/>
    <w:rsid w:val="00485D1F"/>
    <w:rsid w:val="00486F56"/>
    <w:rsid w:val="004B6AA4"/>
    <w:rsid w:val="004E3EF8"/>
    <w:rsid w:val="004E450D"/>
    <w:rsid w:val="004F02B5"/>
    <w:rsid w:val="004F68B3"/>
    <w:rsid w:val="005144F7"/>
    <w:rsid w:val="00554994"/>
    <w:rsid w:val="0056502A"/>
    <w:rsid w:val="0057137E"/>
    <w:rsid w:val="00573906"/>
    <w:rsid w:val="005B14FC"/>
    <w:rsid w:val="005C2D07"/>
    <w:rsid w:val="005D7B2E"/>
    <w:rsid w:val="00630C79"/>
    <w:rsid w:val="00663F4F"/>
    <w:rsid w:val="00676ED7"/>
    <w:rsid w:val="006A2682"/>
    <w:rsid w:val="006C2189"/>
    <w:rsid w:val="006F2264"/>
    <w:rsid w:val="006F6A4F"/>
    <w:rsid w:val="00726AA9"/>
    <w:rsid w:val="0073522E"/>
    <w:rsid w:val="007508D8"/>
    <w:rsid w:val="00764B18"/>
    <w:rsid w:val="00782F0C"/>
    <w:rsid w:val="00787A99"/>
    <w:rsid w:val="007D16B0"/>
    <w:rsid w:val="007E3A05"/>
    <w:rsid w:val="0083025C"/>
    <w:rsid w:val="00835EF6"/>
    <w:rsid w:val="008401FE"/>
    <w:rsid w:val="00895713"/>
    <w:rsid w:val="008C0954"/>
    <w:rsid w:val="008D7562"/>
    <w:rsid w:val="0094756F"/>
    <w:rsid w:val="00976A1A"/>
    <w:rsid w:val="00987A73"/>
    <w:rsid w:val="00992D39"/>
    <w:rsid w:val="00994EC2"/>
    <w:rsid w:val="00997464"/>
    <w:rsid w:val="009A59A2"/>
    <w:rsid w:val="009D0603"/>
    <w:rsid w:val="009D25D5"/>
    <w:rsid w:val="00A3131C"/>
    <w:rsid w:val="00A4542A"/>
    <w:rsid w:val="00A51188"/>
    <w:rsid w:val="00A63B75"/>
    <w:rsid w:val="00A65829"/>
    <w:rsid w:val="00A67AE6"/>
    <w:rsid w:val="00A87376"/>
    <w:rsid w:val="00A93B37"/>
    <w:rsid w:val="00A971B4"/>
    <w:rsid w:val="00AB078B"/>
    <w:rsid w:val="00AC2EDA"/>
    <w:rsid w:val="00AC5081"/>
    <w:rsid w:val="00AC7487"/>
    <w:rsid w:val="00B14BB8"/>
    <w:rsid w:val="00B366C7"/>
    <w:rsid w:val="00B50416"/>
    <w:rsid w:val="00B64777"/>
    <w:rsid w:val="00B64929"/>
    <w:rsid w:val="00B90D7D"/>
    <w:rsid w:val="00BB24AF"/>
    <w:rsid w:val="00BB6B5D"/>
    <w:rsid w:val="00BD0514"/>
    <w:rsid w:val="00BF236F"/>
    <w:rsid w:val="00C1634E"/>
    <w:rsid w:val="00C667B9"/>
    <w:rsid w:val="00CB7611"/>
    <w:rsid w:val="00D0007E"/>
    <w:rsid w:val="00D01799"/>
    <w:rsid w:val="00D1514F"/>
    <w:rsid w:val="00D409CB"/>
    <w:rsid w:val="00D42F68"/>
    <w:rsid w:val="00D667F5"/>
    <w:rsid w:val="00E46782"/>
    <w:rsid w:val="00E50BE0"/>
    <w:rsid w:val="00E724CD"/>
    <w:rsid w:val="00EB34AF"/>
    <w:rsid w:val="00EC3427"/>
    <w:rsid w:val="00EE0113"/>
    <w:rsid w:val="00EF3C8A"/>
    <w:rsid w:val="00EF56E6"/>
    <w:rsid w:val="00F20BFE"/>
    <w:rsid w:val="00F27802"/>
    <w:rsid w:val="00F3456B"/>
    <w:rsid w:val="00F7308D"/>
    <w:rsid w:val="00FA2C99"/>
    <w:rsid w:val="00FD5F39"/>
    <w:rsid w:val="00FE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3712"/>
  <w15:chartTrackingRefBased/>
  <w15:docId w15:val="{97341C84-3538-42C5-8324-0DD95604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02"/>
    <w:pPr>
      <w:ind w:left="720"/>
      <w:contextualSpacing/>
    </w:pPr>
  </w:style>
  <w:style w:type="paragraph" w:styleId="NoSpacing">
    <w:name w:val="No Spacing"/>
    <w:uiPriority w:val="1"/>
    <w:qFormat/>
    <w:rsid w:val="003460A6"/>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514"/>
    <w:rPr>
      <w:color w:val="0000FF"/>
      <w:u w:val="single"/>
    </w:rPr>
  </w:style>
  <w:style w:type="paragraph" w:customStyle="1" w:styleId="Default">
    <w:name w:val="Default"/>
    <w:rsid w:val="00BD0514"/>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73906"/>
    <w:rPr>
      <w:color w:val="605E5C"/>
      <w:shd w:val="clear" w:color="auto" w:fill="E1DFDD"/>
    </w:rPr>
  </w:style>
  <w:style w:type="paragraph" w:styleId="Caption">
    <w:name w:val="caption"/>
    <w:basedOn w:val="Normal"/>
    <w:next w:val="Normal"/>
    <w:uiPriority w:val="35"/>
    <w:unhideWhenUsed/>
    <w:qFormat/>
    <w:rsid w:val="00EB34AF"/>
    <w:pPr>
      <w:spacing w:after="200" w:line="240" w:lineRule="auto"/>
    </w:pPr>
    <w:rPr>
      <w:rFonts w:ascii="Times New Roman" w:eastAsia="Times New Roman" w:hAnsi="Times New Roman" w:cs="Times New Roman"/>
      <w:i/>
      <w:iCs/>
      <w:color w:val="44546A" w:themeColor="text2"/>
      <w:sz w:val="18"/>
      <w:szCs w:val="18"/>
    </w:rPr>
  </w:style>
  <w:style w:type="paragraph" w:styleId="CommentText">
    <w:name w:val="annotation text"/>
    <w:basedOn w:val="Normal"/>
    <w:link w:val="CommentTextChar"/>
    <w:uiPriority w:val="99"/>
    <w:unhideWhenUsed/>
    <w:rsid w:val="00303CCB"/>
    <w:pPr>
      <w:spacing w:line="240" w:lineRule="auto"/>
    </w:pPr>
    <w:rPr>
      <w:sz w:val="20"/>
      <w:szCs w:val="20"/>
    </w:rPr>
  </w:style>
  <w:style w:type="character" w:customStyle="1" w:styleId="CommentTextChar">
    <w:name w:val="Comment Text Char"/>
    <w:basedOn w:val="DefaultParagraphFont"/>
    <w:link w:val="CommentText"/>
    <w:uiPriority w:val="99"/>
    <w:rsid w:val="00303CCB"/>
    <w:rPr>
      <w:sz w:val="20"/>
      <w:szCs w:val="20"/>
    </w:rPr>
  </w:style>
  <w:style w:type="character" w:styleId="CommentReference">
    <w:name w:val="annotation reference"/>
    <w:basedOn w:val="DefaultParagraphFont"/>
    <w:uiPriority w:val="99"/>
    <w:semiHidden/>
    <w:unhideWhenUsed/>
    <w:rsid w:val="00303CCB"/>
    <w:rPr>
      <w:sz w:val="16"/>
      <w:szCs w:val="16"/>
    </w:rPr>
  </w:style>
  <w:style w:type="paragraph" w:styleId="BalloonText">
    <w:name w:val="Balloon Text"/>
    <w:basedOn w:val="Normal"/>
    <w:link w:val="BalloonTextChar"/>
    <w:uiPriority w:val="99"/>
    <w:semiHidden/>
    <w:unhideWhenUsed/>
    <w:rsid w:val="0030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CCB"/>
    <w:rPr>
      <w:rFonts w:ascii="Segoe UI" w:hAnsi="Segoe UI" w:cs="Segoe UI"/>
      <w:sz w:val="18"/>
      <w:szCs w:val="18"/>
    </w:rPr>
  </w:style>
  <w:style w:type="paragraph" w:styleId="Header">
    <w:name w:val="header"/>
    <w:basedOn w:val="Normal"/>
    <w:link w:val="HeaderChar"/>
    <w:uiPriority w:val="99"/>
    <w:unhideWhenUsed/>
    <w:rsid w:val="0067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D7"/>
  </w:style>
  <w:style w:type="paragraph" w:styleId="Footer">
    <w:name w:val="footer"/>
    <w:basedOn w:val="Normal"/>
    <w:link w:val="FooterChar"/>
    <w:uiPriority w:val="99"/>
    <w:unhideWhenUsed/>
    <w:rsid w:val="0067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9">
      <w:bodyDiv w:val="1"/>
      <w:marLeft w:val="0"/>
      <w:marRight w:val="0"/>
      <w:marTop w:val="0"/>
      <w:marBottom w:val="0"/>
      <w:divBdr>
        <w:top w:val="none" w:sz="0" w:space="0" w:color="auto"/>
        <w:left w:val="none" w:sz="0" w:space="0" w:color="auto"/>
        <w:bottom w:val="none" w:sz="0" w:space="0" w:color="auto"/>
        <w:right w:val="none" w:sz="0" w:space="0" w:color="auto"/>
      </w:divBdr>
    </w:div>
    <w:div w:id="457260376">
      <w:bodyDiv w:val="1"/>
      <w:marLeft w:val="0"/>
      <w:marRight w:val="0"/>
      <w:marTop w:val="0"/>
      <w:marBottom w:val="0"/>
      <w:divBdr>
        <w:top w:val="none" w:sz="0" w:space="0" w:color="auto"/>
        <w:left w:val="none" w:sz="0" w:space="0" w:color="auto"/>
        <w:bottom w:val="none" w:sz="0" w:space="0" w:color="auto"/>
        <w:right w:val="none" w:sz="0" w:space="0" w:color="auto"/>
      </w:divBdr>
    </w:div>
    <w:div w:id="576087149">
      <w:bodyDiv w:val="1"/>
      <w:marLeft w:val="0"/>
      <w:marRight w:val="0"/>
      <w:marTop w:val="0"/>
      <w:marBottom w:val="0"/>
      <w:divBdr>
        <w:top w:val="none" w:sz="0" w:space="0" w:color="auto"/>
        <w:left w:val="none" w:sz="0" w:space="0" w:color="auto"/>
        <w:bottom w:val="none" w:sz="0" w:space="0" w:color="auto"/>
        <w:right w:val="none" w:sz="0" w:space="0" w:color="auto"/>
      </w:divBdr>
    </w:div>
    <w:div w:id="974682848">
      <w:bodyDiv w:val="1"/>
      <w:marLeft w:val="0"/>
      <w:marRight w:val="0"/>
      <w:marTop w:val="0"/>
      <w:marBottom w:val="0"/>
      <w:divBdr>
        <w:top w:val="none" w:sz="0" w:space="0" w:color="auto"/>
        <w:left w:val="none" w:sz="0" w:space="0" w:color="auto"/>
        <w:bottom w:val="none" w:sz="0" w:space="0" w:color="auto"/>
        <w:right w:val="none" w:sz="0" w:space="0" w:color="auto"/>
      </w:divBdr>
    </w:div>
    <w:div w:id="1235355795">
      <w:bodyDiv w:val="1"/>
      <w:marLeft w:val="0"/>
      <w:marRight w:val="0"/>
      <w:marTop w:val="0"/>
      <w:marBottom w:val="0"/>
      <w:divBdr>
        <w:top w:val="none" w:sz="0" w:space="0" w:color="auto"/>
        <w:left w:val="none" w:sz="0" w:space="0" w:color="auto"/>
        <w:bottom w:val="none" w:sz="0" w:space="0" w:color="auto"/>
        <w:right w:val="none" w:sz="0" w:space="0" w:color="auto"/>
      </w:divBdr>
    </w:div>
    <w:div w:id="1492791441">
      <w:bodyDiv w:val="1"/>
      <w:marLeft w:val="0"/>
      <w:marRight w:val="0"/>
      <w:marTop w:val="0"/>
      <w:marBottom w:val="0"/>
      <w:divBdr>
        <w:top w:val="none" w:sz="0" w:space="0" w:color="auto"/>
        <w:left w:val="none" w:sz="0" w:space="0" w:color="auto"/>
        <w:bottom w:val="none" w:sz="0" w:space="0" w:color="auto"/>
        <w:right w:val="none" w:sz="0" w:space="0" w:color="auto"/>
      </w:divBdr>
    </w:div>
    <w:div w:id="195999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damp.com/index.php?title=Long-term_Experimental_and_Management_Plan_(LTEM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atershed.ucdavis.edu/education/classes/files/content/page/WesWalker_revis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oazzamalirind/GCD_BugFlowExperiment" TargetMode="External"/><Relationship Id="rId10" Type="http://schemas.openxmlformats.org/officeDocument/2006/relationships/hyperlink" Target="https://www.usbr.gov/rsvrWater/HistoricalAp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8E11-A3AC-4821-BFD2-0C6D56B0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16</Pages>
  <Words>5540</Words>
  <Characters>31580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Rind</dc:creator>
  <cp:keywords/>
  <dc:description/>
  <cp:lastModifiedBy>Moazzam Rind</cp:lastModifiedBy>
  <cp:revision>241</cp:revision>
  <cp:lastPrinted>2021-02-11T06:01:00Z</cp:lastPrinted>
  <dcterms:created xsi:type="dcterms:W3CDTF">2021-02-09T19:49:00Z</dcterms:created>
  <dcterms:modified xsi:type="dcterms:W3CDTF">2021-02-11T06:02:00Z</dcterms:modified>
</cp:coreProperties>
</file>