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Phase 3 Results — Paper-Style Tables</w:t>
      </w:r>
    </w:p>
    <w:p>
      <w:pPr>
        <w:spacing w:after="140" w:line="264"/>
      </w:pPr>
      <w:r>
        <w:rPr>
          <w:rFonts w:ascii="Cambria" w:cs="Cambria" w:eastAsia="Cambria" w:hAnsi="Cambria"/>
          <w:color w:val="444444"/>
          <w:sz w:val="19"/>
          <w:szCs w:val="19"/>
        </w:rPr>
        <w:t xml:space="preserve">All hypotheses. Dependent variable in Tables 1–4: one-month-ahead return r(t+1), winsorized 1%/99% within month. All regressors standardized within class-month (coefficients are per one standard deviation). Panel specifications include month fixed effects; standard errors two-way clustered by asset and month. Sample: 24 PoS coins, 718 asset-months (2020-12 to 2026-05); 101 tokens, 2,771 asset-months (2021-01 to 2026-05).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1. H1a and H2 — Coins: conviction, valuation, and their interaction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Conviction = ln-odds of the staking share, λ/(1−λ). Valuation = ln NVT_GL. Columns (5)–(6) split by class-month median valuation; column (7) tests the difference via a high-valuation interaction.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(1)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(2)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(3)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(4)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(5) Cheap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(6) Expensive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(7) Diff.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-0.0100*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-0.0303***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0.0098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(0.69)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(-0.28)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(-1.67)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(1.15)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(-10.89)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(1.38)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(0.94)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(0.84)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Valuation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-0.0169***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(-3.54)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High-valuation (0/1)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0.0165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(1.24)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High-val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-0.0420***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(-3.99)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ln(Market cap)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0.0229***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0.0239***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0.0271***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0.0364***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0.0300**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0.0272***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(3.31)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(3.77)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(5.17)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(3.25)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(2.51)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(4.91)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(3m)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-0.0052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(-0.39)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(-0.67)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(12-2)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-0.0018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(-0.54)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(-0.38)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(-0.87)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(-0.24)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(t)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-0.0052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(-0.54)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(-1.03)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(0.42)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(-0.53)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Beta (36m)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-0.0066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(-0.92)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(0.12)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(-1.25)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(-0.73)</w:t>
            </w:r>
          </w:p>
        </w:tc>
      </w:tr>
      <w:tr>
        <w:tc>
          <w:tcPr>
            <w:tcW w:type="dxa" w:w="20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686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 (within)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</w:t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H1a predicts Conviction &gt; 0 unconditionally: NOT supported (cols 1–3). H2 predicts the interaction &lt; 0: SUPPORTED — interaction −0.0169 (t = −3.54), split difference −0.0420 (t = −3.99). The col-6 conviction t-stat (−10.9) is unreliable with 24 asset clusters; use the col-7 difference test.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2. Coins — horizon extension of specification (4)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Same specification as Table 1 col (4); dependent variable cumulated over 1, 3, and 6 months (overlapping windows; descriptive).</w:t>
      </w:r>
    </w:p>
    <w:tbl>
      <w:tblPr>
        <w:tblW w:type="dxa" w:w="6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00"/>
        <w:gridCol w:w="1500"/>
        <w:gridCol w:w="150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t+1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t+1..t+3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t+1..t+6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-0.0100*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0.0037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0.0605*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(-1.67)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(0.28)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(1.90)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-0.0177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(0.92)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(-0.86)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Valuation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-0.0169***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-0.0414**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-0.0901***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(-3.54)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(-2.33)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(-2.99)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ln(Market cap)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0.0271***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0.0744***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0.1544***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(5.17)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(5.16)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(7.50)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(3m)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-0.0037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(12-2)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-0.0996**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(-1.27)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(-2.32)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(t)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-0.0051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(0.08)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Beta (36m)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-0.0081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-0.0154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-0.0249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(-0.92)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(-0.75)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(-0.60)</w:t>
            </w:r>
          </w:p>
        </w:tc>
      </w:tr>
      <w:tr>
        <w:tc>
          <w:tcPr>
            <w:tcW w:type="dxa" w:w="20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635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569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 (within)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0.008</w:t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The interaction strengthens with horizon (−0.017 → −0.041 → −0.090, all significant) and unconditional conviction turns marginally positive at t+6 (+0.061, t = 1.90) — consistent with slow price discovery.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3. H1b and H2 — Tokens: governance conviction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Conviction = λ_z composite. Valuation = ln NV/TVL_GL. Cols (5)–(6) add protocol-sector fixed effects. Col (7) is the median-split difference test.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(1)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(2)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(3)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(4)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(5) FE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(6) FE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(7) Diff.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0.0064**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0.0069*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0.0076*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0.0028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(1.97)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(1.51)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(1.54)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(1.47)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(1.93)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(1.93)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(0.41)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(0.78)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(0.79)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(0.92)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Valuation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(0.79)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(0.76)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High-valuation (0/1)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-0.0018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(-0.20)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High-val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0.0048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(0.65)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ln(Market cap)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(-0.42)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(-0.67)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(3m)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(-0.46)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(-0.63)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(-0.44)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(12-2)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-0.0003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(-0.19)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(-0.40)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(-0.06)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(t)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-0.0144**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-0.0148**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-0.0148**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-0.0151**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-0.0156**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-0.0144**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(-2.21)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(-2.31)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(-2.32)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(-2.33)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(-2.45)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(-2.27)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Beta (36m)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(0.83)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(0.87)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(0.86)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(0.90)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(0.81)</w:t>
            </w:r>
          </w:p>
        </w:tc>
      </w:tr>
      <w:tr>
        <w:tc>
          <w:tcPr>
            <w:tcW w:type="dxa" w:w="20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2,652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2,592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2,592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2,592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2,592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2,592</w:t>
            </w:r>
          </w:p>
        </w:tc>
        <w:tc>
          <w:tcPr>
            <w:tcW w:type="dxa" w:w="108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2,592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 (within)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</w:t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H1b: conviction carries +0.6–0.8%/mo per SD, significant at 10% in cols (1), (5), (6) and at 5% in (1) and the sector-FE spec without controls. H2: the interaction is ~0 with the wrong (positive) sign — NOT supported for tokens. Note the robust short-term reversal (Return(t) ≈ −1.5%/mo, t ≈ −2.3).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4. Tokens — Fama-MacBeth cross-sectional regressions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Monthly cross-sections; mean coefficients with Newey-West (3 lags) t-statistics. Coins omitted (median cross-section of 11 is too thin for FM).</w:t>
      </w:r>
    </w:p>
    <w:tbl>
      <w:tblPr>
        <w:tblW w:type="dxa" w:w="5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00"/>
        <w:gridCol w:w="150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(1) FM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(2) FM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0.0070*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0.0080**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(1.77)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(2.19)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0.0014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(0.20)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Valuation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0.0024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(0.56)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ln(Market cap)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(0.42)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(3m)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-0.0004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(12-2)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-0.0027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(-0.50)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(t)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-0.0213***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-0.0178***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(-3.39)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(-3.96)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Beta (36m)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(0.30)</w:t>
            </w:r>
          </w:p>
        </w:tc>
      </w:tr>
      <w:t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Months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Conviction: +0.70%/mo (t = 1.77) and +0.80%/mo (t = 2.19) — consistent with the panel estimates.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5. H1b second sentence — voting-weighted λ (ch3 subsample, 710 token-months)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(1) voting-weighted λ alone; (2) both conviction measures; (3) passive λ_z alone on the same subsample.</w:t>
      </w:r>
    </w:p>
    <w:tbl>
      <w:tblPr>
        <w:tblW w:type="dxa" w:w="6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00"/>
        <w:gridCol w:w="1500"/>
        <w:gridCol w:w="150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(1)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(2)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(3)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(0.45)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(-0.03)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Voting-weighted lambda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-0.0030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-0.0058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(-0.48)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(-0.58)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ln(Market cap)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0.0077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(1.23)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(1.27)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(1.27)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(3m)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-0.0131**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-0.0132**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-0.0130*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(-2.00)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(-1.99)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(-1.93)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(12-2)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(0.81)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(t)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-0.0071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-0.0070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(-0.94)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(-0.95)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(-0.92)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Beta (36m)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(0.42)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(0.35)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(0.32)</w:t>
            </w:r>
          </w:p>
        </w:tc>
      </w:tr>
      <w:tr>
        <w:tc>
          <w:tcPr>
            <w:tcW w:type="dxa" w:w="20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 (within)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</w:t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NOT supported: voting-weighted λ is insignificant (t = −0.48) and adds nothing beyond passive λ_z. Caveat: passive λ_z itself shows no premium on this subsample (col 3, t = −0.03) — a low-power test.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6. Pooled panel — coins and tokens with track interaction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Combined sample; Token (0/1) absorbed track level; Conviction × Token tests equality of the conviction premium across tracks.</w:t>
      </w:r>
    </w:p>
    <w:tbl>
      <w:tblPr>
        <w:tblW w:type="dxa" w:w="5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00"/>
        <w:gridCol w:w="150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(1)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(2)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0.0041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(0.53)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(0.47)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0.0053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(1.24)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Valuation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-0.0001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(-0.03)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 x 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0.0026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(0.14)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(0.27)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Token (0/1)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-0.0148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-0.0149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(-1.60)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(-1.61)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ln(Market cap)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0.0040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(0.37)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(0.78)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(3m)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-0.0018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(-0.38)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Momentum (12-2)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-0.0005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(-0.10)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 (t)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-0.0117*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-0.0122**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(-1.87)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(-1.98)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Beta (36m)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0.0024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(0.23)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(0.33)</w:t>
            </w:r>
          </w:p>
        </w:tc>
      </w:tr>
      <w:tr>
        <w:tc>
          <w:tcPr>
            <w:tcW w:type="dxa" w:w="20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3,272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3,272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 (within)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0.003</w:t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Uninformative: the pooled conviction slope is +0.4–0.5%/mo (t ≈ 0.5) and the track interaction is ~0 — consistent with a modest premium that pooling cannot sharpen.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7. H3 — Stars-minus-Avoid portfolio alphas vs monthly LTW factors (full sample)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Monthly rebalanced median-split quadrants within class; ≥4 assets per leg required. Alphas from time-series regressions on self-built monthly CMKT/CSMB/CMOM analogs of Liu-Tsyvinski-Wu (2022); Newey-West (3 lags). Sharpe annualized; EW-universe benchmark Sharpe = 0.61.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alpha (monthly)</w:t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b CMKT</w:t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b CSMB</w:t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b CMOM</w:t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1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Sharpe (ann.)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Coin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-0.0338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-0.67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-0.47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(-1.54)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Coin VW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0.0535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(1.39)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Token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0.0119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(0.84)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Token VW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0.0276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0.52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(1.13)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Pooled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0.0097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(0.67)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Pooled VW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0.0432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(1.48)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Conviction-only Coin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(0.63)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Valuation-only Coin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-0.0252*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-0.58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(-1.76)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Conviction-only Pooled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0.0054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(0.63)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Valuation-only Pooled EW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-0.0002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(-0.02)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Token EW net 50bps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0.0104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(0.73)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Pooled VW net 50bps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0.0405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(1.38)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H3 NOT supported: no SMA variant has significant alpha. Coin SMA runs on only 20 non-contiguous months (45 of 65 months fail the breadth guard). valuation-only Coin EW is significant at 10% with the WRONG sign (−2.5%/mo, t = −1.76): cheap coins alone underperformed.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Table 8. H3 — sub-period stability (post-2023)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alpha post-2023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Token EW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-0.0079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(-0.73)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Token VW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-0.0045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(-0.24)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Pooled EW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-0.0119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(-1.11)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 Pooled VW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0.0152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>(0.50)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18"/>
                <w:szCs w:val="18"/>
              </w:rPr>
              <w:t xml:space="preserve"/>
            </w:r>
          </w:p>
        </w:tc>
      </w:tr>
    </w:tbl>
    <w:p>
      <w:pPr>
        <w:spacing w:after="260" w:before="80"/>
      </w:pPr>
      <w:r>
        <w:rPr>
          <w:rFonts w:ascii="Cambria" w:cs="Cambria" w:eastAsia="Cambria" w:hAnsi="Cambria"/>
          <w:color w:val="444444"/>
          <w:sz w:val="17"/>
          <w:szCs w:val="17"/>
        </w:rPr>
        <w:t xml:space="preserve">The full-sample token/pooled point estimates are carried by pre-2023 months; post-2023 alphas are ~0 or negative. *, **, and *** denote significance at the 10%, 5%, and 1% levels. t-statistics in parentheses.</w:t>
      </w:r>
    </w:p>
    <w:p>
      <w:pPr>
        <w:spacing w:after="60" w:before="30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Reading guide</w:t>
      </w:r>
    </w:p>
    <w:p>
      <w:pPr>
        <w:spacing w:after="140" w:line="264"/>
      </w:pPr>
      <w:r>
        <w:rPr>
          <w:rFonts w:ascii="Cambria" w:cs="Cambria" w:eastAsia="Cambria" w:hAnsi="Cambria"/>
          <w:sz w:val="21"/>
          <w:szCs w:val="21"/>
        </w:rPr>
        <w:t xml:space="preserve">Supported: H2 for coins (Tables 1–2) — the conviction premium exists only where valuation has not absorbed it, and high-conviction/high-valuation coins underperform sharply. Weakly supported: H1b for tokens (Tables 3–4) — a uniform ~0.7%/mo per SD premium, not conditioned on valuation. Not supported: H1a unconditionally (Table 1), H2 for tokens (Table 3), voting-weighted refinement (Table 5), H3 portfolio alpha (Tables 7–8; power-limited by breadth).</w:t>
      </w:r>
    </w:p>
    <w:sectPr>
      <w:pgSz w:w="12240" w:h="15840" w:orient="portrait"/>
      <w:pgMar w:top="1080" w:right="1150" w:bottom="108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2026-08-04T16:35:56.081Z</dcterms:created>
  <dcterms:modified xsi:type="dcterms:W3CDTF">2026-08-04T16:35:56.081Z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