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Phase 3 Results — What We Found</w:t>
      </w:r>
    </w:p>
    <w:p>
      <w:pPr>
        <w:spacing w:after="160" w:line="276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QTM Crypto Valuation Project · Session 043 results, reviewed 2026-08-04 · Samples: 24 PoS coins (718 asset-months, 2020-12 to 2026-05); 101 tokens (2,771 asset-months, 2021-01 to 2026-05)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1. Scorecard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900"/>
        <w:gridCol w:w="25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Hypothesis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statistic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H1a (coins)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Higher staking conviction → higher next-month returns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 = 0.69 alone; − with controls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H1b (tokens)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Higher governance conviction → higher returns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WEAK SUPPORT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+0.7%/mo per SD, t ≈ 1.5–2.3</w:t>
            </w:r>
          </w:p>
        </w:tc>
      </w:tr>
      <w:tr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H2 (coins)</w:t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Conviction premium concentrated in cheap assets</w:t>
            </w:r>
          </w:p>
        </w:tc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STRONG SUPPORT</w:t>
            </w:r>
          </w:p>
        </w:tc>
        <w:tc>
          <w:tcPr>
            <w:tcW w:type="dxa" w:w="2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interaction t = −3.54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H2 (tokens)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Same, for NV/TVL_GL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interaction ≈ 0, wrong sign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H1b refinement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Voting-weighted λ beats passive λ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 = −0.48 (low-power subsample)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H3 (portfolio)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Stars − Avoid earns factor alpha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variant significant; power-limited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Verdicts from the pre-registered specification ladder; no re-specification after seeing results.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2. The one strong result: conviction works only where it is not yet priced (coins)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Unconditionally, coin staking conviction does not predict next-month returns. But split the sample by valuation and a sharp asymmetry appears — exactly the H2 mechanism, and statistically the strongest finding of the session: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1300"/>
        <w:gridCol w:w="1700"/>
        <w:gridCol w:w="13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Coin specification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Conviction coef (per SD)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t-stat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t-stat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s1: conviction only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+0.55%/mo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s2: + size, momentum, beta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−0.19%/mo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−0.25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s3: + valuation (NVT_GL)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−0.22%/mo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−0.28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s4: + conviction × valuation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−1.00%/mo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−1.67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−1.69%/mo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−3.54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s5: cheap half (low NVT_GL)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+0.70%/mo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s5: expensive half (high NVT_GL)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−3.03%/mo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(see note)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s5: difference test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−4.20%/mo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−3.99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Month fixed effects; SEs two-way clustered (asset, month); all variables standardized within class-month. The expensive-half t of −10.9 is unreliable with 24 clusters — quote the difference test instead. At the 6-month horizon the pattern strengthens (conviction +6.1%, t = 1.90; interaction −9.0%, t = −2.99).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Reading: a coin with 1-SD-higher staking earns +0.7%/mo when the market has not priced its activity (cheap NVT_GL), but −3%/mo when valuation is already rich. High conviction plus high valuation is an overpricing signal, not a buy signal. This matches the theory's core equation (expected return ∝ unabsorbed signal λ(1−δ)) better than the unconditional H1a did — and the negative slope among expensive coins suggests the market overshoots on visible conviction.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3. Tokens: a modest level effect, no valuation conditioning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1300"/>
        <w:gridCol w:w="1700"/>
        <w:gridCol w:w="13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 specification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Conviction coef (per SD)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t-stat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t-stat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s1: conviction only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+0.64%/mo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1.97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s2: + controls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+0.56%/mo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s4: + conviction × valuation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+0.61%/mo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1.47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+0.34%/mo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0.79</w:t>
            </w:r>
          </w:p>
        </w:tc>
      </w:tr>
      <w:tr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s6: sector FE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+0.71%/mo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2.30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s6: sector FE + controls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+0.69%/mo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1.93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Fama-MacBeth + controls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+0.70%/mo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1.77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Fama-MacBeth + interaction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+0.80%/mo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2.19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+0.24%/mo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0.56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Governance conviction carries ~0.6–0.8%/mo per SD, significant at 5% only with sector FE or Fama-MacBeth. The H2 interaction is near zero with the wrong (positive) sign.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Reading: token conviction predicts returns weakly and uniformly — not concentrated in cheap protocols. Before concluding the conditioning mechanism is absent for tokens, note a measurement suspect: 44.6% of token-months hit the TVL growth cap (mostly the −50% floor from the post-2021 TVL collapse), which compresses variation in NV/TVL_GL. The raw-NV/TVL robustness and a cap-excluded subsample are queued for Phase 3b.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4. The portfolio test: a null, mostly by construction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1500"/>
        <w:gridCol w:w="1300"/>
        <w:gridCol w:w="17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Portfolio (Stars − Avoid)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Months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Alpha/mo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t-stat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Sharpe (ann.)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Coin, equal-weight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−3.4%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−1.54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−0.47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Coin, value-weight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+5.3%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1.39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+0.75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Token, equal-weight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+1.2%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+0.36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Token, value-weight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+2.8%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+0.52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Pooled, equal-weight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+0.33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Pooled, value-weight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+4.3%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1.48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+0.66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EW universe benchmark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+0.61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Alphas vs self-built monthly LTW factors (CMKT/CSMB/CMOM), Newey-West 3 lags. Costs are not the issue: 50 bps/side shaves only ~9 bps/mo.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it fails: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Breadth: the coin cross-section has a median of 11 names — 45 of 65 coin months fail the 4-per-leg guard, leaving 20 non-contiguous months. The coin sort is underpowered by design.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Signal size: ~0.7%/mo per SD, present in half the sample, cannot surface as significant alpha in 20–49 months. The regression sees it; the sort throws away the continuous variation.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Stability: token EW alpha is carried by pre-2023 months; post-2023 it is −0.8%/mo (t = −0.73). Sign flips between EW and VW for coins — noise behavior.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Single-dimension sorts are equally dead (all |t| &lt; 1.8) — the quadrant adds nothing at this breadth because neither dimension works as a sort.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5. Context you need when reading everything above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Bear-market sample: median forward return is −4.4%/mo (coins) and −7.6%/mo (tokens). Within-month cross-sectional tests are immune to this level; long portfolio legs are not.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Self-built monthly LTW factors behave: CMKT +6.0%/mo (corr 0.93 with BTC), CSMB flat. But CMOM is −4.6%/mo — the weekly LTW momentum premium does not survive monthly aggregation (crypto short-horizon reversal). One sentence in the paper prevents referee confusion.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Size effect: bigger coins earned more in-sample (size t ≈ +3.3 to +5.2 in coin specs) — unusual vs equities, consistent with the 2023–26 mega-cap-led recovery.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Strong short-term reversal in tokens (r_1m t ≈ −3.4 to −4.0 in Fama-MacBeth) — itself a notable crypto fact and a horse-race competitor to beat.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Horse-race probes: Metcalfe restricted to ETH + PoW baselines (BitInfoCharts has no active-address data for TRX/ADA/SOL); MVRV infeasible for coins and only 12 sample tokens recoverable — dropped as a cross-sectional comparator.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6. What this means for the paper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paper's headline becomes conditional, and it is defensible: on-chain conviction predicts cryptocurrency returns where — and only where — the market has not yet priced it. For coins that conditioning is sharp and significant; for tokens the premium is present but uniform. The quadrant portfolio is reported as a power-limited null with the breadth caveat. H1a as an unconditional claim should be restated (the theory's own equation, return ∝ λ(1−δ), is interaction-first). Next: Phase 3b — the horse race plus pre-registered heterogeneity tests (Δλ momentum-of-conviction, vote-escrow vs plain governance, seigniorage-yield confound, size/turnover splits, g-cap and B4 measurement subsamples).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2026-08-04T16:16:45.569Z</dcterms:created>
  <dcterms:modified xsi:type="dcterms:W3CDTF">2026-08-04T16:16:45.570Z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