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5"/>
        <w:gridCol w:w="1980"/>
        <w:gridCol w:w="1980"/>
        <w:gridCol w:w="1980"/>
        <w:gridCol w:w="1980"/>
        <w:tblGridChange w:id="0">
          <w:tblGrid>
            <w:gridCol w:w="1965"/>
            <w:gridCol w:w="1980"/>
            <w:gridCol w:w="1980"/>
            <w:gridCol w:w="1980"/>
            <w:gridCol w:w="198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www.ndcc.relief.gov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7.13.0.4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NDCC's web server — required by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www.rlh.relief.gov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7.13.3.4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RLH's web server — required by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mail.ndcc.gov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7.13.0.3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NDCC's local email server hostname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mail.cgb.gov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7.13.2.3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CGB's local email server hostname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mail.rlh.gov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7.13.3.3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RLH's local email server hostname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mail.trp.gov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7.13.4.3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TRP's local email server hostname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mail.bmd.gov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7.13.5.3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BMD's local email server hostname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mail.frc.gov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7.13.6.3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FRC's local email server hostname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mail.coi.gov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7.13.7.3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COI's local email server hostname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ndcc.gov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7.13.0.3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Bare domain — needed for cross-domain SMTP relay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rlh.gov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7.13.3.3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Bare domain — needed for cross-domain SMTP relay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NheT3oClwGLz/5E7btzJibqpQQ==">CgMxLjA4AHIhMUQxRlhTMFFMUWZjWF9BMjZTalhNNjFJeEI2SWdkRW5j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