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Trajectory-Adaptive Power-Profile Conformal Beam Tracking</w:t>
        <w:br/>
        <w:t>from Synchronized RGB and GPS for Reliable V2V mmWave Communications</w:t>
      </w:r>
    </w:p>
    <w:p/>
    <w:p>
      <w:pPr>
        <w:jc w:val="center"/>
      </w:pPr>
      <w:r>
        <w:rPr>
          <w:sz w:val="24"/>
        </w:rPr>
        <w:t>Course Project Report — Department of Computer Science and Engineering</w:t>
      </w:r>
    </w:p>
    <w:p/>
    <w:p>
      <w:pPr>
        <w:jc w:val="center"/>
      </w:pPr>
      <w:r>
        <w:rPr>
          <w:b/>
        </w:rPr>
        <w:t>Moazzem Hossain Majumder</w:t>
      </w:r>
    </w:p>
    <w:p>
      <w:r>
        <w:br w:type="page"/>
      </w:r>
    </w:p>
    <w:p>
      <w:pPr>
        <w:pStyle w:val="Heading1"/>
        <w:jc w:val="left"/>
      </w:pPr>
      <w:r>
        <w:t>Abstract</w:t>
      </w:r>
    </w:p>
    <w:p>
      <w:r>
        <w:rPr>
          <w:b w:val="0"/>
        </w:rPr>
        <w:t>Exhaustive beam training over 256 receive beams creates significant overhead and latency in high-mobility 60 GHz Vehicle-to-Vehicle (V2V) millimeter-wave communications. Existing approaches predict the single best beam or a static calibrated subset, but none predict the complete future beam-power landscape while adapting the candidate-set threshold online as vehicle trajectories evolve. This work proposes P3, a multi-task deep learning model that jointly predicts a 256-class beam classification head and a 256-value power-gap profile head from five synchronized historical RGB frames and GPS measurements, using a ResNet-18 visual encoder, a Bidirectional GRU GPS encoder, and a Pre-Layer-Normalization Transformer fusion module. The predicted profile feeds an Adaptive Conformal Inference (ACI) online risk controller that maintains a near-optimal-beam miss rate target adaptively during deployment. Evaluated on DeepSense 6G Scenario 36 (24,799 V2V samples), P3 achieves profile MAE 2.49 dB — below the mean-profile floor of 3.11 dB — and Top-5 accuracy 46.8% (3.1x GPS-only baseline). The ACI controller achieves 7.5% miss rate at 17 average probes (93% search reduction). A paired trajectory-block bootstrap confirms P3 significantly outperforms the classification-only baseline (+6.35%, 95% CI: [+1.38%, +8.18%]).</w:t>
      </w:r>
    </w:p>
    <w:p/>
    <w:p>
      <w:pPr>
        <w:pStyle w:val="Heading1"/>
        <w:jc w:val="left"/>
      </w:pPr>
      <w:r>
        <w:t>1. Introduction</w:t>
      </w:r>
    </w:p>
    <w:p>
      <w:r>
        <w:rPr>
          <w:b w:val="0"/>
        </w:rPr>
        <w:t>The deployment of 5G and emerging 6G networks increasingly relies on millimeter-wave (mmWave) frequencies to deliver high data rates for autonomous vehicles, augmented reality, and dense urban broadband. In V2V mmWave communication at 60 GHz, highly directional antenna arrays with hundreds of beams must be periodically aligned between transmitter and receiver. The standard approach — exhaustive beam sweeping over all 256 beams — introduces unacceptable overhead and latency in high-mobility scenarios.</w:t>
      </w:r>
    </w:p>
    <w:p>
      <w:r>
        <w:rPr>
          <w:b w:val="0"/>
        </w:rPr>
        <w:t>The core problem: given five historical synchronized RGB frames and GPS positions from both vehicles, can we predict the full future 256-beam power landscape and construct a small candidate set guaranteed to contain a near-optimal beam? Can we maintain that guarantee online as the trajectory evolves?</w:t>
      </w:r>
    </w:p>
    <w:p>
      <w:r>
        <w:rPr>
          <w:b w:val="0"/>
        </w:rPr>
        <w:t>No prior work simultaneously predicts the complete future 256-beam power-gap profile and pairs that prediction with an online trajectory-adaptive risk controller. This work fills that gap.</w:t>
      </w:r>
    </w:p>
    <w:p>
      <w:r>
        <w:rPr>
          <w:b w:val="0"/>
        </w:rPr>
        <w:t>Contributions:</w:t>
      </w:r>
    </w:p>
    <w:p>
      <w:pPr>
        <w:pStyle w:val="ListBullet"/>
      </w:pPr>
      <w:r>
        <w:t>Multi-task model P3: joint beam classification + 256-value power-gap profile with smoothness and ranking losses exploiting beam-space angular structure.</w:t>
      </w:r>
    </w:p>
    <w:p>
      <w:pPr>
        <w:pStyle w:val="ListBullet"/>
      </w:pPr>
      <w:r>
        <w:t>Online ACI risk controller (Gibbs &amp; Candès, 2021) maintaining target miss rate adaptively without retraining.</w:t>
      </w:r>
    </w:p>
    <w:p>
      <w:pPr>
        <w:pStyle w:val="ListBullet"/>
      </w:pPr>
      <w:r>
        <w:t>Rigorous evaluation with chronological trajectory-block splitting, trajectory-block bootstrap CIs, and a paired significance test.</w:t>
      </w:r>
    </w:p>
    <w:p>
      <w:pPr>
        <w:pStyle w:val="ListBullet"/>
      </w:pPr>
      <w:r>
        <w:t>Full ablation study: 5 model variants × 3 controllers isolating each component's contribution.</w:t>
      </w:r>
    </w:p>
    <w:p/>
    <w:p>
      <w:pPr>
        <w:pStyle w:val="Heading1"/>
        <w:jc w:val="left"/>
      </w:pPr>
      <w:r>
        <w:t>2. Dataset</w:t>
      </w:r>
    </w:p>
    <w:p>
      <w:pPr>
        <w:pStyle w:val="Heading2"/>
        <w:jc w:val="left"/>
      </w:pPr>
      <w:r>
        <w:t>2.1 DeepSense 6G V2V Dataset</w:t>
      </w:r>
    </w:p>
    <w:p>
      <w:r>
        <w:rPr>
          <w:b w:val="0"/>
        </w:rPr>
        <w:t>All experiments use DeepSense 6G Multi-Modal V2V Beam Prediction, Scenario 36, collected at a real 60 GHz V2V testbed in Tempe, Phoenix, Scottsdale, and Chandler, Arizona, USA in day and night conditions. Available at deepsense6g.net. Raw data: 24,799 timestamped samples with synchronized front-camera RGB frames, GPS positions, and four 64-beam receive-power arrays (256 beams total).</w:t>
      </w:r>
    </w:p>
    <w:p>
      <w:pPr>
        <w:pStyle w:val="Heading2"/>
        <w:jc w:val="left"/>
      </w:pPr>
      <w:r>
        <w:t>2.2 Dataset Statistics</w:t>
      </w:r>
    </w:p>
    <w:tbl>
      <w:tblPr>
        <w:tblStyle w:val="TableGrid"/>
        <w:tblW w:type="auto" w:w="0"/>
        <w:jc w:val="center"/>
        <w:tblLook w:firstColumn="1" w:firstRow="1" w:lastColumn="0" w:lastRow="0" w:noHBand="0" w:noVBand="1" w:val="04A0"/>
      </w:tblPr>
      <w:tblGrid>
        <w:gridCol w:w="4703"/>
        <w:gridCol w:w="4703"/>
      </w:tblGrid>
      <w:tr>
        <w:tc>
          <w:tcPr>
            <w:tcW w:type="dxa" w:w="4320"/>
          </w:tcPr>
          <w:p>
            <w:pPr>
              <w:jc w:val="center"/>
            </w:pPr>
            <w:r>
              <w:rPr>
                <w:b/>
              </w:rPr>
              <w:t>Statistic</w:t>
            </w:r>
          </w:p>
        </w:tc>
        <w:tc>
          <w:tcPr>
            <w:tcW w:type="dxa" w:w="3600"/>
          </w:tcPr>
          <w:p>
            <w:pPr>
              <w:jc w:val="center"/>
            </w:pPr>
            <w:r>
              <w:rPr>
                <w:b/>
              </w:rPr>
              <w:t>Value</w:t>
            </w:r>
          </w:p>
        </w:tc>
      </w:tr>
      <w:tr>
        <w:tc>
          <w:tcPr>
            <w:tcW w:type="dxa" w:w="4320"/>
          </w:tcPr>
          <w:p>
            <w:pPr>
              <w:jc w:val="center"/>
            </w:pPr>
            <w:r>
              <w:t>Total samples</w:t>
            </w:r>
          </w:p>
        </w:tc>
        <w:tc>
          <w:tcPr>
            <w:tcW w:type="dxa" w:w="3600"/>
          </w:tcPr>
          <w:p>
            <w:pPr>
              <w:jc w:val="center"/>
            </w:pPr>
            <w:r>
              <w:t>24,799</w:t>
            </w:r>
          </w:p>
        </w:tc>
      </w:tr>
      <w:tr>
        <w:tc>
          <w:tcPr>
            <w:tcW w:type="dxa" w:w="4320"/>
          </w:tcPr>
          <w:p>
            <w:pPr>
              <w:jc w:val="center"/>
            </w:pPr>
            <w:r>
              <w:t>Trajectory runs</w:t>
            </w:r>
          </w:p>
        </w:tc>
        <w:tc>
          <w:tcPr>
            <w:tcW w:type="dxa" w:w="3600"/>
          </w:tcPr>
          <w:p>
            <w:pPr>
              <w:jc w:val="center"/>
            </w:pPr>
            <w:r>
              <w:t>124</w:t>
            </w:r>
          </w:p>
        </w:tc>
      </w:tr>
      <w:tr>
        <w:tc>
          <w:tcPr>
            <w:tcW w:type="dxa" w:w="4320"/>
          </w:tcPr>
          <w:p>
            <w:pPr>
              <w:jc w:val="center"/>
            </w:pPr>
            <w:r>
              <w:t>Trajectory blocks (after guard-merge)</w:t>
            </w:r>
          </w:p>
        </w:tc>
        <w:tc>
          <w:tcPr>
            <w:tcW w:type="dxa" w:w="3600"/>
          </w:tcPr>
          <w:p>
            <w:pPr>
              <w:jc w:val="center"/>
            </w:pPr>
            <w:r>
              <w:t>19</w:t>
            </w:r>
          </w:p>
        </w:tc>
      </w:tr>
      <w:tr>
        <w:tc>
          <w:tcPr>
            <w:tcW w:type="dxa" w:w="4320"/>
          </w:tcPr>
          <w:p>
            <w:pPr>
              <w:jc w:val="center"/>
            </w:pPr>
            <w:r>
              <w:t>Active beam classes</w:t>
            </w:r>
          </w:p>
        </w:tc>
        <w:tc>
          <w:tcPr>
            <w:tcW w:type="dxa" w:w="3600"/>
          </w:tcPr>
          <w:p>
            <w:pPr>
              <w:jc w:val="center"/>
            </w:pPr>
            <w:r>
              <w:t>238 / 256</w:t>
            </w:r>
          </w:p>
        </w:tc>
      </w:tr>
      <w:tr>
        <w:tc>
          <w:tcPr>
            <w:tcW w:type="dxa" w:w="4320"/>
          </w:tcPr>
          <w:p>
            <w:pPr>
              <w:jc w:val="center"/>
            </w:pPr>
            <w:r>
              <w:t>Majority beam (#162)</w:t>
            </w:r>
          </w:p>
        </w:tc>
        <w:tc>
          <w:tcPr>
            <w:tcW w:type="dxa" w:w="3600"/>
          </w:tcPr>
          <w:p>
            <w:pPr>
              <w:jc w:val="center"/>
            </w:pPr>
            <w:r>
              <w:t>16.7% of raw frames</w:t>
            </w:r>
          </w:p>
        </w:tc>
      </w:tr>
      <w:tr>
        <w:tc>
          <w:tcPr>
            <w:tcW w:type="dxa" w:w="4320"/>
          </w:tcPr>
          <w:p>
            <w:pPr>
              <w:jc w:val="center"/>
            </w:pPr>
            <w:r>
              <w:t>Mean-profile MAE floor</w:t>
            </w:r>
          </w:p>
        </w:tc>
        <w:tc>
          <w:tcPr>
            <w:tcW w:type="dxa" w:w="3600"/>
          </w:tcPr>
          <w:p>
            <w:pPr>
              <w:jc w:val="center"/>
            </w:pPr>
            <w:r>
              <w:t>3.107 dB</w:t>
            </w:r>
          </w:p>
        </w:tc>
      </w:tr>
      <w:tr>
        <w:tc>
          <w:tcPr>
            <w:tcW w:type="dxa" w:w="4320"/>
          </w:tcPr>
          <w:p>
            <w:pPr>
              <w:jc w:val="center"/>
            </w:pPr>
            <w:r>
              <w:t>Beams within 1 dB (mean/median)</w:t>
            </w:r>
          </w:p>
        </w:tc>
        <w:tc>
          <w:tcPr>
            <w:tcW w:type="dxa" w:w="3600"/>
          </w:tcPr>
          <w:p>
            <w:pPr>
              <w:jc w:val="center"/>
            </w:pPr>
            <w:r>
              <w:t>11.7 / 3</w:t>
            </w:r>
          </w:p>
        </w:tc>
      </w:tr>
      <w:tr>
        <w:tc>
          <w:tcPr>
            <w:tcW w:type="dxa" w:w="4320"/>
          </w:tcPr>
          <w:p>
            <w:pPr>
              <w:jc w:val="center"/>
            </w:pPr>
            <w:r>
              <w:t>Beams within 3 dB (mean/median)</w:t>
            </w:r>
          </w:p>
        </w:tc>
        <w:tc>
          <w:tcPr>
            <w:tcW w:type="dxa" w:w="3600"/>
          </w:tcPr>
          <w:p>
            <w:pPr>
              <w:jc w:val="center"/>
            </w:pPr>
            <w:r>
              <w:t>29.7 / 5</w:t>
            </w:r>
          </w:p>
        </w:tc>
      </w:tr>
      <w:tr>
        <w:tc>
          <w:tcPr>
            <w:tcW w:type="dxa" w:w="4320"/>
          </w:tcPr>
          <w:p>
            <w:pPr>
              <w:jc w:val="center"/>
            </w:pPr>
            <w:r>
              <w:t>Argmax reconstruction match</w:t>
            </w:r>
          </w:p>
        </w:tc>
        <w:tc>
          <w:tcPr>
            <w:tcW w:type="dxa" w:w="3600"/>
          </w:tcPr>
          <w:p>
            <w:pPr>
              <w:jc w:val="center"/>
            </w:pPr>
            <w:r>
              <w:t>100%</w:t>
            </w:r>
          </w:p>
        </w:tc>
      </w:tr>
    </w:tbl>
    <w:p>
      <w:pPr>
        <w:jc w:val="center"/>
      </w:pPr>
      <w:r>
        <w:rPr>
          <w:i/>
          <w:sz w:val="20"/>
        </w:rPr>
        <w:t>Table 1: Dataset statistics.</w:t>
      </w:r>
    </w:p>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near_optimal_set_size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20"/>
        </w:rPr>
        <w:t>Figure 1: Near-optimal beam set size distribution. Median 3 within 1 dB, 5 within 3 dB.</w:t>
      </w:r>
    </w:p>
    <w:p>
      <w:pPr>
        <w:jc w:val="center"/>
      </w:pPr>
      <w:r>
        <w:drawing>
          <wp:inline xmlns:a="http://schemas.openxmlformats.org/drawingml/2006/main" xmlns:pic="http://schemas.openxmlformats.org/drawingml/2006/picture">
            <wp:extent cx="5029200" cy="1436914"/>
            <wp:docPr id="2" name="Picture 2"/>
            <wp:cNvGraphicFramePr>
              <a:graphicFrameLocks noChangeAspect="1"/>
            </wp:cNvGraphicFramePr>
            <a:graphic>
              <a:graphicData uri="http://schemas.openxmlformats.org/drawingml/2006/picture">
                <pic:pic>
                  <pic:nvPicPr>
                    <pic:cNvPr id="0" name="fig_beam_distribution.png"/>
                    <pic:cNvPicPr/>
                  </pic:nvPicPr>
                  <pic:blipFill>
                    <a:blip r:embed="rId10"/>
                    <a:stretch>
                      <a:fillRect/>
                    </a:stretch>
                  </pic:blipFill>
                  <pic:spPr>
                    <a:xfrm>
                      <a:off x="0" y="0"/>
                      <a:ext cx="5029200" cy="1436914"/>
                    </a:xfrm>
                    <a:prstGeom prst="rect"/>
                  </pic:spPr>
                </pic:pic>
              </a:graphicData>
            </a:graphic>
          </wp:inline>
        </w:drawing>
      </w:r>
    </w:p>
    <w:p>
      <w:pPr>
        <w:jc w:val="center"/>
      </w:pPr>
      <w:r>
        <w:rPr>
          <w:i/>
          <w:sz w:val="20"/>
        </w:rPr>
        <w:t>Figure 2: Best-beam class distribution. 238 of 256 beams active. Beam #162 = 16.7%.</w:t>
      </w:r>
    </w:p>
    <w:p>
      <w:pPr>
        <w:pStyle w:val="Heading2"/>
        <w:jc w:val="left"/>
      </w:pPr>
      <w:r>
        <w:t>2.3 Task Formulation</w:t>
      </w:r>
    </w:p>
    <w:p>
      <w:r>
        <w:rPr>
          <w:b w:val="0"/>
        </w:rPr>
        <w:t>5-past → 1-future sequence windows. Three targets: (a) best-beam class (256-class); (b) full 256-value power-gap profile d_b = G* − G_b; (c) near-optimal sets for Δ∈{0,1,3} dB. 24,704 valid windows from 24,799 raw frames.</w:t>
      </w:r>
    </w:p>
    <w:p>
      <w:pPr>
        <w:pStyle w:val="Heading2"/>
        <w:jc w:val="left"/>
      </w:pPr>
      <w:r>
        <w:t>2.4 Leakage-Safe Partitioning</w:t>
      </w:r>
    </w:p>
    <w:p>
      <w:r>
        <w:rPr>
          <w:b w:val="0"/>
        </w:rPr>
        <w:t>Guard-interval union-find: runs with frame-index gap ≤ 25 merged → 124 runs → 19 blocks. Chronological assignment: 55% train / 15% val / 15% calib / 15% test. Zero leakage verified.</w:t>
      </w:r>
    </w:p>
    <w:p>
      <w:pPr>
        <w:jc w:val="center"/>
      </w:pPr>
      <w:r>
        <w:drawing>
          <wp:inline xmlns:a="http://schemas.openxmlformats.org/drawingml/2006/main" xmlns:pic="http://schemas.openxmlformats.org/drawingml/2006/picture">
            <wp:extent cx="5029200" cy="1547446"/>
            <wp:docPr id="3" name="Picture 3"/>
            <wp:cNvGraphicFramePr>
              <a:graphicFrameLocks noChangeAspect="1"/>
            </wp:cNvGraphicFramePr>
            <a:graphic>
              <a:graphicData uri="http://schemas.openxmlformats.org/drawingml/2006/picture">
                <pic:pic>
                  <pic:nvPicPr>
                    <pic:cNvPr id="0" name="fig_run_lengths.png"/>
                    <pic:cNvPicPr/>
                  </pic:nvPicPr>
                  <pic:blipFill>
                    <a:blip r:embed="rId11"/>
                    <a:stretch>
                      <a:fillRect/>
                    </a:stretch>
                  </pic:blipFill>
                  <pic:spPr>
                    <a:xfrm>
                      <a:off x="0" y="0"/>
                      <a:ext cx="5029200" cy="1547446"/>
                    </a:xfrm>
                    <a:prstGeom prst="rect"/>
                  </pic:spPr>
                </pic:pic>
              </a:graphicData>
            </a:graphic>
          </wp:inline>
        </w:drawing>
      </w:r>
    </w:p>
    <w:p>
      <w:pPr>
        <w:jc w:val="center"/>
      </w:pPr>
      <w:r>
        <w:rPr>
          <w:i/>
          <w:sz w:val="20"/>
        </w:rPr>
        <w:t>Figure 3: Trajectory run length distribution.</w:t>
      </w:r>
    </w:p>
    <w:p>
      <w:pPr>
        <w:jc w:val="center"/>
      </w:pPr>
      <w:r>
        <w:drawing>
          <wp:inline xmlns:a="http://schemas.openxmlformats.org/drawingml/2006/main" xmlns:pic="http://schemas.openxmlformats.org/drawingml/2006/picture">
            <wp:extent cx="5486400" cy="3135086"/>
            <wp:docPr id="4" name="Picture 4"/>
            <wp:cNvGraphicFramePr>
              <a:graphicFrameLocks noChangeAspect="1"/>
            </wp:cNvGraphicFramePr>
            <a:graphic>
              <a:graphicData uri="http://schemas.openxmlformats.org/drawingml/2006/picture">
                <pic:pic>
                  <pic:nvPicPr>
                    <pic:cNvPr id="0" name="fig_split_beam_dists.png"/>
                    <pic:cNvPicPr/>
                  </pic:nvPicPr>
                  <pic:blipFill>
                    <a:blip r:embed="rId12"/>
                    <a:stretch>
                      <a:fillRect/>
                    </a:stretch>
                  </pic:blipFill>
                  <pic:spPr>
                    <a:xfrm>
                      <a:off x="0" y="0"/>
                      <a:ext cx="5486400" cy="3135086"/>
                    </a:xfrm>
                    <a:prstGeom prst="rect"/>
                  </pic:spPr>
                </pic:pic>
              </a:graphicData>
            </a:graphic>
          </wp:inline>
        </w:drawing>
      </w:r>
    </w:p>
    <w:p>
      <w:pPr>
        <w:jc w:val="center"/>
      </w:pPr>
      <w:r>
        <w:rPr>
          <w:i/>
          <w:sz w:val="20"/>
        </w:rPr>
        <w:t>Figure 4: Beam distribution per split. Test has different geometry — explains elevated majority baseline.</w:t>
      </w:r>
    </w:p>
    <w:p>
      <w:pPr>
        <w:pStyle w:val="Heading2"/>
        <w:jc w:val="left"/>
      </w:pPr>
      <w:r>
        <w:t>2.5 GPS Feature Engineering</w:t>
      </w:r>
    </w:p>
    <w:p>
      <w:r>
        <w:rPr>
          <w:b w:val="0"/>
        </w:rPr>
        <w:t>9-dim feature per timestep: relative East/North, distance, sin/cos bearing, velocity E/N, speed, HDOP flag. Min-max scaler fitted on training only.</w:t>
      </w:r>
    </w:p>
    <w:p>
      <w:pPr>
        <w:jc w:val="center"/>
      </w:pPr>
      <w:r>
        <w:drawing>
          <wp:inline xmlns:a="http://schemas.openxmlformats.org/drawingml/2006/main" xmlns:pic="http://schemas.openxmlformats.org/drawingml/2006/picture">
            <wp:extent cx="5486400" cy="1463040"/>
            <wp:docPr id="5" name="Picture 5"/>
            <wp:cNvGraphicFramePr>
              <a:graphicFrameLocks noChangeAspect="1"/>
            </wp:cNvGraphicFramePr>
            <a:graphic>
              <a:graphicData uri="http://schemas.openxmlformats.org/drawingml/2006/picture">
                <pic:pic>
                  <pic:nvPicPr>
                    <pic:cNvPr id="0" name="fig_gps_features.png"/>
                    <pic:cNvPicPr/>
                  </pic:nvPicPr>
                  <pic:blipFill>
                    <a:blip r:embed="rId13"/>
                    <a:stretch>
                      <a:fillRect/>
                    </a:stretch>
                  </pic:blipFill>
                  <pic:spPr>
                    <a:xfrm>
                      <a:off x="0" y="0"/>
                      <a:ext cx="5486400" cy="1463040"/>
                    </a:xfrm>
                    <a:prstGeom prst="rect"/>
                  </pic:spPr>
                </pic:pic>
              </a:graphicData>
            </a:graphic>
          </wp:inline>
        </w:drawing>
      </w:r>
    </w:p>
    <w:p>
      <w:pPr>
        <w:jc w:val="center"/>
      </w:pPr>
      <w:r>
        <w:rPr>
          <w:i/>
          <w:sz w:val="20"/>
        </w:rPr>
        <w:t>Figure 5: GPS exploration. Left: relative positions by beam. Centre: distance dist. Right: bearing dist.</w:t>
      </w:r>
    </w:p>
    <w:p>
      <w:pPr>
        <w:pStyle w:val="Heading2"/>
        <w:jc w:val="left"/>
      </w:pPr>
      <w:r>
        <w:t>2.6 RGB Frame Processing</w:t>
      </w:r>
    </w:p>
    <w:p>
      <w:r>
        <w:rPr>
          <w:b w:val="0"/>
        </w:rPr>
        <w:t>96×96 px, cached as 686 MB RAM tensor. Training: ColorJitter ±10% brightness/contrast, same params applied to all 5 frames (temporal consistency). No horizontal flip (invalidates labels).</w:t>
      </w:r>
    </w:p>
    <w:p>
      <w:pPr>
        <w:jc w:val="center"/>
      </w:pPr>
      <w:r>
        <w:drawing>
          <wp:inline xmlns:a="http://schemas.openxmlformats.org/drawingml/2006/main" xmlns:pic="http://schemas.openxmlformats.org/drawingml/2006/picture">
            <wp:extent cx="5486400" cy="2321759"/>
            <wp:docPr id="6" name="Picture 6"/>
            <wp:cNvGraphicFramePr>
              <a:graphicFrameLocks noChangeAspect="1"/>
            </wp:cNvGraphicFramePr>
            <a:graphic>
              <a:graphicData uri="http://schemas.openxmlformats.org/drawingml/2006/picture">
                <pic:pic>
                  <pic:nvPicPr>
                    <pic:cNvPr id="0" name="fig_rgb_samples.png"/>
                    <pic:cNvPicPr/>
                  </pic:nvPicPr>
                  <pic:blipFill>
                    <a:blip r:embed="rId14"/>
                    <a:stretch>
                      <a:fillRect/>
                    </a:stretch>
                  </pic:blipFill>
                  <pic:spPr>
                    <a:xfrm>
                      <a:off x="0" y="0"/>
                      <a:ext cx="5486400" cy="2321759"/>
                    </a:xfrm>
                    <a:prstGeom prst="rect"/>
                  </pic:spPr>
                </pic:pic>
              </a:graphicData>
            </a:graphic>
          </wp:inline>
        </w:drawing>
      </w:r>
    </w:p>
    <w:p>
      <w:pPr>
        <w:jc w:val="center"/>
      </w:pPr>
      <w:r>
        <w:rPr>
          <w:i/>
          <w:sz w:val="20"/>
        </w:rPr>
        <w:t>Figure 6: Sample RGB frames from Scenario 36.</w:t>
      </w:r>
    </w:p>
    <w:p/>
    <w:p>
      <w:pPr>
        <w:pStyle w:val="Heading1"/>
        <w:jc w:val="left"/>
      </w:pPr>
      <w:r>
        <w:t>3. Exploratory Data Analysis</w:t>
      </w:r>
    </w:p>
    <w:p>
      <w:pPr>
        <w:pStyle w:val="Heading2"/>
        <w:jc w:val="left"/>
      </w:pPr>
      <w:r>
        <w:t>3.1 Beam Power Profile Structure</w:t>
      </w:r>
    </w:p>
    <w:p>
      <w:r>
        <w:rPr>
          <w:b w:val="0"/>
        </w:rPr>
        <w:t>Power profiles are smooth and approximately unimodal over beam index — direct consequence of antenna geometry where adjacent beams point to similar angles. This motivates the smoothness penalty in P3's loss. Predicting 256 independent values without this constraint leads to noisy, non-physical profiles.</w:t>
      </w:r>
    </w:p>
    <w:p>
      <w:pPr>
        <w:jc w:val="center"/>
      </w:pPr>
      <w:r>
        <w:drawing>
          <wp:inline xmlns:a="http://schemas.openxmlformats.org/drawingml/2006/main" xmlns:pic="http://schemas.openxmlformats.org/drawingml/2006/picture">
            <wp:extent cx="5486400" cy="1688123"/>
            <wp:docPr id="7" name="Picture 7"/>
            <wp:cNvGraphicFramePr>
              <a:graphicFrameLocks noChangeAspect="1"/>
            </wp:cNvGraphicFramePr>
            <a:graphic>
              <a:graphicData uri="http://schemas.openxmlformats.org/drawingml/2006/picture">
                <pic:pic>
                  <pic:nvPicPr>
                    <pic:cNvPr id="0" name="fig_feasibility.png"/>
                    <pic:cNvPicPr/>
                  </pic:nvPicPr>
                  <pic:blipFill>
                    <a:blip r:embed="rId15"/>
                    <a:stretch>
                      <a:fillRect/>
                    </a:stretch>
                  </pic:blipFill>
                  <pic:spPr>
                    <a:xfrm>
                      <a:off x="0" y="0"/>
                      <a:ext cx="5486400" cy="1688123"/>
                    </a:xfrm>
                    <a:prstGeom prst="rect"/>
                  </pic:spPr>
                </pic:pic>
              </a:graphicData>
            </a:graphic>
          </wp:inline>
        </w:drawing>
      </w:r>
    </w:p>
    <w:p>
      <w:pPr>
        <w:jc w:val="center"/>
      </w:pPr>
      <w:r>
        <w:rPr>
          <w:i/>
          <w:sz w:val="20"/>
        </w:rPr>
        <w:t>Figure 7: Left: Near-optimal set size histograms. Right: Sample 256-beam power profile — smooth angular structure.</w:t>
      </w:r>
    </w:p>
    <w:p>
      <w:pPr>
        <w:pStyle w:val="Heading2"/>
        <w:jc w:val="left"/>
      </w:pPr>
      <w:r>
        <w:t>3.2 Beam Distribution and Power Loss</w:t>
      </w:r>
    </w:p>
    <w:p>
      <w:pPr>
        <w:jc w:val="center"/>
      </w:pPr>
      <w:r>
        <w:drawing>
          <wp:inline xmlns:a="http://schemas.openxmlformats.org/drawingml/2006/main" xmlns:pic="http://schemas.openxmlformats.org/drawingml/2006/picture">
            <wp:extent cx="5486400" cy="2545369"/>
            <wp:docPr id="8" name="Picture 8"/>
            <wp:cNvGraphicFramePr>
              <a:graphicFrameLocks noChangeAspect="1"/>
            </wp:cNvGraphicFramePr>
            <a:graphic>
              <a:graphicData uri="http://schemas.openxmlformats.org/drawingml/2006/picture">
                <pic:pic>
                  <pic:nvPicPr>
                    <pic:cNvPr id="0" name="fig1_beam_distribution_comparison.png"/>
                    <pic:cNvPicPr/>
                  </pic:nvPicPr>
                  <pic:blipFill>
                    <a:blip r:embed="rId16"/>
                    <a:stretch>
                      <a:fillRect/>
                    </a:stretch>
                  </pic:blipFill>
                  <pic:spPr>
                    <a:xfrm>
                      <a:off x="0" y="0"/>
                      <a:ext cx="5486400" cy="2545369"/>
                    </a:xfrm>
                    <a:prstGeom prst="rect"/>
                  </pic:spPr>
                </pic:pic>
              </a:graphicData>
            </a:graphic>
          </wp:inline>
        </w:drawing>
      </w:r>
    </w:p>
    <w:p>
      <w:pPr>
        <w:jc w:val="center"/>
      </w:pPr>
      <w:r>
        <w:rPr>
          <w:i/>
          <w:sz w:val="20"/>
        </w:rPr>
        <w:t>Figure 8: Beam usage distribution. Heavy skew — small number of beams account for most samples.</w:t>
      </w:r>
    </w:p>
    <w:p>
      <w:r>
        <w:rPr>
          <w:b w:val="0"/>
        </w:rPr>
        <w:t>APL distributions differ between splits, confirming geometric shift between training and test trajectories, which explains the high seed variance observed in test metrics.</w:t>
      </w:r>
    </w:p>
    <w:p>
      <w:pPr>
        <w:jc w:val="center"/>
      </w:pPr>
      <w:r>
        <w:drawing>
          <wp:inline xmlns:a="http://schemas.openxmlformats.org/drawingml/2006/main" xmlns:pic="http://schemas.openxmlformats.org/drawingml/2006/picture">
            <wp:extent cx="5486400" cy="3508794"/>
            <wp:docPr id="9" name="Picture 9"/>
            <wp:cNvGraphicFramePr>
              <a:graphicFrameLocks noChangeAspect="1"/>
            </wp:cNvGraphicFramePr>
            <a:graphic>
              <a:graphicData uri="http://schemas.openxmlformats.org/drawingml/2006/picture">
                <pic:pic>
                  <pic:nvPicPr>
                    <pic:cNvPr id="0" name="fig2_power_loss_distribution_by_split.png"/>
                    <pic:cNvPicPr/>
                  </pic:nvPicPr>
                  <pic:blipFill>
                    <a:blip r:embed="rId17"/>
                    <a:stretch>
                      <a:fillRect/>
                    </a:stretch>
                  </pic:blipFill>
                  <pic:spPr>
                    <a:xfrm>
                      <a:off x="0" y="0"/>
                      <a:ext cx="5486400" cy="3508794"/>
                    </a:xfrm>
                    <a:prstGeom prst="rect"/>
                  </pic:spPr>
                </pic:pic>
              </a:graphicData>
            </a:graphic>
          </wp:inline>
        </w:drawing>
      </w:r>
    </w:p>
    <w:p>
      <w:pPr>
        <w:jc w:val="center"/>
      </w:pPr>
      <w:r>
        <w:rPr>
          <w:i/>
          <w:sz w:val="20"/>
        </w:rPr>
        <w:t>Figure 9: APL distribution by split. Test has different geometric characteristics from training.</w:t>
      </w:r>
    </w:p>
    <w:p>
      <w:pPr>
        <w:pStyle w:val="Heading2"/>
        <w:jc w:val="left"/>
      </w:pPr>
      <w:r>
        <w:t>3.3 Accuracy vs Distance and Speed</w:t>
      </w:r>
    </w:p>
    <w:p>
      <w:r>
        <w:rPr>
          <w:b w:val="0"/>
        </w:rPr>
        <w:t>Accuracy degrades at larger distances and higher speeds — motivating temporal sequences (5 frames) over single-frame prediction.</w:t>
      </w:r>
    </w:p>
    <w:p>
      <w:pPr>
        <w:jc w:val="center"/>
      </w:pPr>
      <w:r>
        <w:drawing>
          <wp:inline xmlns:a="http://schemas.openxmlformats.org/drawingml/2006/main" xmlns:pic="http://schemas.openxmlformats.org/drawingml/2006/picture">
            <wp:extent cx="5486400" cy="2031023"/>
            <wp:docPr id="10" name="Picture 10"/>
            <wp:cNvGraphicFramePr>
              <a:graphicFrameLocks noChangeAspect="1"/>
            </wp:cNvGraphicFramePr>
            <a:graphic>
              <a:graphicData uri="http://schemas.openxmlformats.org/drawingml/2006/picture">
                <pic:pic>
                  <pic:nvPicPr>
                    <pic:cNvPr id="0" name="fig3_accuracy_vs_distance_and_speed.png"/>
                    <pic:cNvPicPr/>
                  </pic:nvPicPr>
                  <pic:blipFill>
                    <a:blip r:embed="rId18"/>
                    <a:stretch>
                      <a:fillRect/>
                    </a:stretch>
                  </pic:blipFill>
                  <pic:spPr>
                    <a:xfrm>
                      <a:off x="0" y="0"/>
                      <a:ext cx="5486400" cy="2031023"/>
                    </a:xfrm>
                    <a:prstGeom prst="rect"/>
                  </pic:spPr>
                </pic:pic>
              </a:graphicData>
            </a:graphic>
          </wp:inline>
        </w:drawing>
      </w:r>
    </w:p>
    <w:p>
      <w:pPr>
        <w:jc w:val="center"/>
      </w:pPr>
      <w:r>
        <w:rPr>
          <w:i/>
          <w:sz w:val="20"/>
        </w:rPr>
        <w:t>Figure 10: Accuracy vs Tx-Rx distance (left) and estimated speed (right).</w:t>
      </w:r>
    </w:p>
    <w:p>
      <w:pPr>
        <w:pStyle w:val="Heading2"/>
        <w:jc w:val="left"/>
      </w:pPr>
      <w:r>
        <w:t>3.4 Conformal Set Sizes and Profile Analysis</w:t>
      </w:r>
    </w:p>
    <w:p>
      <w:pPr>
        <w:jc w:val="center"/>
      </w:pPr>
      <w:r>
        <w:drawing>
          <wp:inline xmlns:a="http://schemas.openxmlformats.org/drawingml/2006/main" xmlns:pic="http://schemas.openxmlformats.org/drawingml/2006/picture">
            <wp:extent cx="5029200" cy="2747853"/>
            <wp:docPr id="11" name="Picture 11"/>
            <wp:cNvGraphicFramePr>
              <a:graphicFrameLocks noChangeAspect="1"/>
            </wp:cNvGraphicFramePr>
            <a:graphic>
              <a:graphicData uri="http://schemas.openxmlformats.org/drawingml/2006/picture">
                <pic:pic>
                  <pic:nvPicPr>
                    <pic:cNvPr id="0" name="fig4_conformal_candidate_set_sizes.png"/>
                    <pic:cNvPicPr/>
                  </pic:nvPicPr>
                  <pic:blipFill>
                    <a:blip r:embed="rId19"/>
                    <a:stretch>
                      <a:fillRect/>
                    </a:stretch>
                  </pic:blipFill>
                  <pic:spPr>
                    <a:xfrm>
                      <a:off x="0" y="0"/>
                      <a:ext cx="5029200" cy="2747853"/>
                    </a:xfrm>
                    <a:prstGeom prst="rect"/>
                  </pic:spPr>
                </pic:pic>
              </a:graphicData>
            </a:graphic>
          </wp:inline>
        </w:drawing>
      </w:r>
    </w:p>
    <w:p>
      <w:pPr>
        <w:jc w:val="center"/>
      </w:pPr>
      <w:r>
        <w:rPr>
          <w:i/>
          <w:sz w:val="20"/>
        </w:rPr>
        <w:t>Figure 11: Conformal candidate set size distribution. Variable sizes adapt to prediction confidence.</w:t>
      </w:r>
    </w:p>
    <w:p>
      <w:r>
        <w:rPr>
          <w:b w:val="0"/>
        </w:rPr>
        <w:t>P3 (MAE 2.49 dB, rank corr 0.237) occupies the low-MAE / positive-correlation quadrant. Classification-only models scatter with high MAE and near-zero correlation.</w:t>
      </w:r>
    </w:p>
    <w:p>
      <w:pPr>
        <w:jc w:val="center"/>
      </w:pPr>
      <w:r>
        <w:drawing>
          <wp:inline xmlns:a="http://schemas.openxmlformats.org/drawingml/2006/main" xmlns:pic="http://schemas.openxmlformats.org/drawingml/2006/picture">
            <wp:extent cx="5486400" cy="3821221"/>
            <wp:docPr id="12" name="Picture 12"/>
            <wp:cNvGraphicFramePr>
              <a:graphicFrameLocks noChangeAspect="1"/>
            </wp:cNvGraphicFramePr>
            <a:graphic>
              <a:graphicData uri="http://schemas.openxmlformats.org/drawingml/2006/picture">
                <pic:pic>
                  <pic:nvPicPr>
                    <pic:cNvPr id="0" name="fig5_profile_mae_vs_rank_correlation.png"/>
                    <pic:cNvPicPr/>
                  </pic:nvPicPr>
                  <pic:blipFill>
                    <a:blip r:embed="rId20"/>
                    <a:stretch>
                      <a:fillRect/>
                    </a:stretch>
                  </pic:blipFill>
                  <pic:spPr>
                    <a:xfrm>
                      <a:off x="0" y="0"/>
                      <a:ext cx="5486400" cy="3821221"/>
                    </a:xfrm>
                    <a:prstGeom prst="rect"/>
                  </pic:spPr>
                </pic:pic>
              </a:graphicData>
            </a:graphic>
          </wp:inline>
        </w:drawing>
      </w:r>
    </w:p>
    <w:p>
      <w:pPr>
        <w:jc w:val="center"/>
      </w:pPr>
      <w:r>
        <w:rPr>
          <w:i/>
          <w:sz w:val="20"/>
        </w:rPr>
        <w:t>Figure 12: Profile MAE vs rank correlation. P3 uniquely achieves both low MAE and positive rank correlation.</w:t>
      </w:r>
    </w:p>
    <w:p>
      <w:pPr>
        <w:pStyle w:val="Heading2"/>
        <w:jc w:val="left"/>
      </w:pPr>
      <w:r>
        <w:t>3.5 Trajectory and Spatial Analysis</w:t>
      </w:r>
    </w:p>
    <w:p>
      <w:pPr>
        <w:jc w:val="center"/>
      </w:pPr>
      <w:r>
        <w:drawing>
          <wp:inline xmlns:a="http://schemas.openxmlformats.org/drawingml/2006/main" xmlns:pic="http://schemas.openxmlformats.org/drawingml/2006/picture">
            <wp:extent cx="5486400" cy="3111729"/>
            <wp:docPr id="13" name="Picture 13"/>
            <wp:cNvGraphicFramePr>
              <a:graphicFrameLocks noChangeAspect="1"/>
            </wp:cNvGraphicFramePr>
            <a:graphic>
              <a:graphicData uri="http://schemas.openxmlformats.org/drawingml/2006/picture">
                <pic:pic>
                  <pic:nvPicPr>
                    <pic:cNvPr id="0" name="fig6_trajectory_temporal_tracking_sample.png"/>
                    <pic:cNvPicPr/>
                  </pic:nvPicPr>
                  <pic:blipFill>
                    <a:blip r:embed="rId21"/>
                    <a:stretch>
                      <a:fillRect/>
                    </a:stretch>
                  </pic:blipFill>
                  <pic:spPr>
                    <a:xfrm>
                      <a:off x="0" y="0"/>
                      <a:ext cx="5486400" cy="3111729"/>
                    </a:xfrm>
                    <a:prstGeom prst="rect"/>
                  </pic:spPr>
                </pic:pic>
              </a:graphicData>
            </a:graphic>
          </wp:inline>
        </w:drawing>
      </w:r>
    </w:p>
    <w:p>
      <w:pPr>
        <w:jc w:val="center"/>
      </w:pPr>
      <w:r>
        <w:rPr>
          <w:i/>
          <w:sz w:val="20"/>
        </w:rPr>
        <w:t>Figure 13: Temporal beam tracking along a sample trajectory.</w:t>
      </w:r>
    </w:p>
    <w:p>
      <w:pPr>
        <w:jc w:val="center"/>
      </w:pPr>
      <w:r>
        <w:drawing>
          <wp:inline xmlns:a="http://schemas.openxmlformats.org/drawingml/2006/main" xmlns:pic="http://schemas.openxmlformats.org/drawingml/2006/picture">
            <wp:extent cx="5029200" cy="4312808"/>
            <wp:docPr id="14" name="Picture 14"/>
            <wp:cNvGraphicFramePr>
              <a:graphicFrameLocks noChangeAspect="1"/>
            </wp:cNvGraphicFramePr>
            <a:graphic>
              <a:graphicData uri="http://schemas.openxmlformats.org/drawingml/2006/picture">
                <pic:pic>
                  <pic:nvPicPr>
                    <pic:cNvPr id="0" name="fig7_spatial_error_heatmap.png"/>
                    <pic:cNvPicPr/>
                  </pic:nvPicPr>
                  <pic:blipFill>
                    <a:blip r:embed="rId22"/>
                    <a:stretch>
                      <a:fillRect/>
                    </a:stretch>
                  </pic:blipFill>
                  <pic:spPr>
                    <a:xfrm>
                      <a:off x="0" y="0"/>
                      <a:ext cx="5029200" cy="4312808"/>
                    </a:xfrm>
                    <a:prstGeom prst="rect"/>
                  </pic:spPr>
                </pic:pic>
              </a:graphicData>
            </a:graphic>
          </wp:inline>
        </w:drawing>
      </w:r>
    </w:p>
    <w:p>
      <w:pPr>
        <w:jc w:val="center"/>
      </w:pPr>
      <w:r>
        <w:rPr>
          <w:i/>
          <w:sz w:val="20"/>
        </w:rPr>
        <w:t>Figure 14: Spatial error heatmap. Errors cluster at large distances and specific bearing angles.</w:t>
      </w:r>
    </w:p>
    <w:p>
      <w:pPr>
        <w:jc w:val="center"/>
      </w:pPr>
      <w:r>
        <w:drawing>
          <wp:inline xmlns:a="http://schemas.openxmlformats.org/drawingml/2006/main" xmlns:pic="http://schemas.openxmlformats.org/drawingml/2006/picture">
            <wp:extent cx="5029200" cy="2251650"/>
            <wp:docPr id="15" name="Picture 15"/>
            <wp:cNvGraphicFramePr>
              <a:graphicFrameLocks noChangeAspect="1"/>
            </wp:cNvGraphicFramePr>
            <a:graphic>
              <a:graphicData uri="http://schemas.openxmlformats.org/drawingml/2006/picture">
                <pic:pic>
                  <pic:nvPicPr>
                    <pic:cNvPr id="0" name="fig8_multimodal_performance_breakdown.png"/>
                    <pic:cNvPicPr/>
                  </pic:nvPicPr>
                  <pic:blipFill>
                    <a:blip r:embed="rId23"/>
                    <a:stretch>
                      <a:fillRect/>
                    </a:stretch>
                  </pic:blipFill>
                  <pic:spPr>
                    <a:xfrm>
                      <a:off x="0" y="0"/>
                      <a:ext cx="5029200" cy="2251650"/>
                    </a:xfrm>
                    <a:prstGeom prst="rect"/>
                  </pic:spPr>
                </pic:pic>
              </a:graphicData>
            </a:graphic>
          </wp:inline>
        </w:drawing>
      </w:r>
    </w:p>
    <w:p>
      <w:pPr>
        <w:jc w:val="center"/>
      </w:pPr>
      <w:r>
        <w:rPr>
          <w:i/>
          <w:sz w:val="20"/>
        </w:rPr>
        <w:t>Figure 15: Multimodal performance breakdown by component.</w:t>
      </w:r>
    </w:p>
    <w:p>
      <w:pPr>
        <w:pStyle w:val="Heading2"/>
        <w:jc w:val="left"/>
      </w:pPr>
      <w:r>
        <w:t>3.6 Key EDA Findings</w:t>
      </w:r>
    </w:p>
    <w:p>
      <w:pPr>
        <w:pStyle w:val="ListBullet"/>
      </w:pPr>
      <w:r>
        <w:rPr>
          <w:b/>
        </w:rPr>
        <w:t xml:space="preserve">F1: </w:t>
      </w:r>
      <w:r>
        <w:t>Candidate-set premise holds: median 3 beams within 1 dB, 5 within 3 dB.</w:t>
      </w:r>
    </w:p>
    <w:p>
      <w:pPr>
        <w:pStyle w:val="ListBullet"/>
      </w:pPr>
      <w:r>
        <w:rPr>
          <w:b/>
        </w:rPr>
        <w:t xml:space="preserve">F2: </w:t>
      </w:r>
      <w:r>
        <w:t>238/256 beams active, heavily skewed (beam #162 = 16.7%). Class-imbalance awareness is relevant.</w:t>
      </w:r>
    </w:p>
    <w:p>
      <w:pPr>
        <w:pStyle w:val="ListBullet"/>
      </w:pPr>
      <w:r>
        <w:rPr>
          <w:b/>
        </w:rPr>
        <w:t xml:space="preserve">F3: </w:t>
      </w:r>
      <w:r>
        <w:t>Profiles are smooth and unimodal — justifying the smoothness penalty in P3.</w:t>
      </w:r>
    </w:p>
    <w:p>
      <w:pPr>
        <w:pStyle w:val="ListBullet"/>
      </w:pPr>
      <w:r>
        <w:rPr>
          <w:b/>
        </w:rPr>
        <w:t xml:space="preserve">F4: </w:t>
      </w:r>
      <w:r>
        <w:t>Test geometry differs from training — inflates majority baseline and causes seed variance.</w:t>
      </w:r>
    </w:p>
    <w:p>
      <w:pPr>
        <w:pStyle w:val="ListBullet"/>
      </w:pPr>
      <w:r>
        <w:rPr>
          <w:b/>
        </w:rPr>
        <w:t xml:space="preserve">F5: </w:t>
      </w:r>
      <w:r>
        <w:t>Performance degrades with distance and speed — confirming value of 5-frame temporal context.</w:t>
      </w:r>
    </w:p>
    <w:p/>
    <w:p>
      <w:pPr>
        <w:pStyle w:val="Heading1"/>
        <w:jc w:val="left"/>
      </w:pPr>
      <w:r>
        <w:t>4. Literature Review</w:t>
      </w:r>
    </w:p>
    <w:p>
      <w:pPr>
        <w:pStyle w:val="Heading2"/>
        <w:jc w:val="left"/>
      </w:pPr>
      <w:r>
        <w:t>4.1 Beam Prediction from Sensing Data</w:t>
      </w:r>
    </w:p>
    <w:p>
      <w:r>
        <w:rPr>
          <w:b w:val="0"/>
        </w:rPr>
        <w:t>The DeepSense 6G challenge [1] introduced the Multi-Modal V2V Beam Prediction task, establishing synchronized RGB and GPS as viable sensing modalities. Official baselines show multi-modal inputs reduce beam training overhead but predict only the single best beam with no reliability guarantee. Jiang et al. [2] proposed a Multimodal Transformer fusing heterogeneous sensing via cross-attention, achieving strong Top-1 accuracy under static calibration but without online trajectory adaptation.</w:t>
      </w:r>
    </w:p>
    <w:p>
      <w:pPr>
        <w:pStyle w:val="Heading2"/>
        <w:jc w:val="left"/>
      </w:pPr>
      <w:r>
        <w:t>4.2 Conformal Prediction for Beam Selection</w:t>
      </w:r>
    </w:p>
    <w:p>
      <w:r>
        <w:rPr>
          <w:b w:val="0"/>
        </w:rPr>
        <w:t>SCAN-BEST [3] applies conformal risk control (CRC) to predict a calibrated candidate beam subset with weighted calibration under covariate shift. It demonstrates reliable static miss-rate bounding but calibrates once at deployment time, predicts subset membership not a full power profile, and cannot adapt to trajectory drift. Our work predicts the complete profile and uses online ACI — a strictly harder and more practically relevant problem.</w:t>
      </w:r>
    </w:p>
    <w:p>
      <w:pPr>
        <w:pStyle w:val="Heading2"/>
        <w:jc w:val="left"/>
      </w:pPr>
      <w:r>
        <w:t>4.3 Online Conformal Methods</w:t>
      </w:r>
    </w:p>
    <w:p>
      <w:r>
        <w:rPr>
          <w:b w:val="0"/>
        </w:rPr>
        <w:t>ACI by Gibbs and Candès [4] provides distribution-free long-run time-averaged risk control for streaming data via an integral controller. Conformal PID by Angelopoulos et al. [5] adds P and D terms for improved stability. Both are incorporated as Phase 7 online risk controllers. Note that the ACI time-averaged guarantee is distinct from split-conformal per-instance coverage — it applies to the running average of losses over a trajectory, not to any single prediction.</w:t>
      </w:r>
    </w:p>
    <w:p>
      <w:pPr>
        <w:pStyle w:val="Heading2"/>
        <w:jc w:val="left"/>
      </w:pPr>
      <w:r>
        <w:t>4.4 Missing Modality Robustness</w:t>
      </w:r>
    </w:p>
    <w:p>
      <w:r>
        <w:rPr>
          <w:b w:val="0"/>
        </w:rPr>
        <w:t>CLBP [6] addresses cross-modal loss-tolerant beam prediction under degraded modalities via contrastive learning. AMBER [7] proposes adaptive masking for arbitrary modality dropout. Our HDOP quality flag provides lightweight GPS-degradation signaling; full masking strategies remain a future extension.</w:t>
      </w:r>
    </w:p>
    <w:p>
      <w:pPr>
        <w:pStyle w:val="Heading2"/>
        <w:jc w:val="left"/>
      </w:pPr>
      <w:r>
        <w:t>4.5 Adaptive Probing and Calibrated Priors</w:t>
      </w:r>
    </w:p>
    <w:p>
      <w:r>
        <w:rPr>
          <w:b w:val="0"/>
        </w:rPr>
        <w:t>Salehi et al. [8] propose sensing-assisted adaptive beam probing with calibrated multimodal priors and dB safety margins — sharing the goal of minimizing overhead while maintaining reliability. Our ACI controller complements this: rather than per-step scheduling, it maintains a running threshold satisfying the miss rate target on average over the trajectory.</w:t>
      </w:r>
    </w:p>
    <w:p>
      <w:pPr>
        <w:pStyle w:val="Heading2"/>
        <w:jc w:val="left"/>
      </w:pPr>
      <w:r>
        <w:t>4.6 Lightweight Vision-Aided and Multi-Task Approaches</w:t>
      </w:r>
    </w:p>
    <w:p>
      <w:r>
        <w:rPr>
          <w:b w:val="0"/>
        </w:rPr>
        <w:t>Zhang et al. [9] propose a lightweight CNN-based beam tracker generalizing across environments — consistent with our ResNet-18 design (only layers 2–4 fine-tuned). Chen et al. [10] study multi-task learning for mmWave beam prediction with shared representations. P3 extends this with a physically-constrained profile head (smoothness + ranking losses) not present in prior work.</w:t>
      </w:r>
    </w:p>
    <w:p>
      <w:pPr>
        <w:pStyle w:val="Heading2"/>
        <w:jc w:val="left"/>
      </w:pPr>
      <w:r>
        <w:t>4.7 Positioning of This Work</w:t>
      </w:r>
    </w:p>
    <w:p>
      <w:r>
        <w:rPr>
          <w:b w:val="0"/>
        </w:rPr>
        <w:t>No prior work predicts the complete future 256-beam measured power-gap profile from temporal RGB+GPS observations and uses an online trajectory-adaptive risk controller to maintain a target near-optimal-beam miss rate. SCAN-BEST predicts subset membership, not a full profile; existing conformal beam works calibrate statically; multi-task beam prediction does not combine profile prediction with conformal control.</w:t>
      </w:r>
    </w:p>
    <w:p/>
    <w:p>
      <w:pPr>
        <w:pStyle w:val="Heading1"/>
        <w:jc w:val="left"/>
      </w:pPr>
      <w:r>
        <w:t>5. Methodology</w:t>
      </w:r>
    </w:p>
    <w:p>
      <w:pPr>
        <w:pStyle w:val="Heading2"/>
        <w:jc w:val="left"/>
      </w:pPr>
      <w:r>
        <w:t>5.1 Overall Pipeline</w:t>
      </w:r>
    </w:p>
    <w:p>
      <w:r>
        <w:rPr>
          <w:b w:val="0"/>
        </w:rPr>
        <w:t>Five stages: (1) preprocessing and leakage-safe partitioning; (2) multi-modal feature extraction; (3) P3 multi-task training; (4) static CRC calibration on the calibration split; (5) online ACI risk control at deployment.</w:t>
      </w:r>
    </w:p>
    <w:p/>
    <w:p>
      <w:pPr>
        <w:jc w:val="center"/>
      </w:pPr>
      <w:r>
        <w:drawing>
          <wp:inline xmlns:a="http://schemas.openxmlformats.org/drawingml/2006/main" xmlns:pic="http://schemas.openxmlformats.org/drawingml/2006/picture">
            <wp:extent cx="5943600" cy="1831675"/>
            <wp:docPr id="16" name="Picture 16"/>
            <wp:cNvGraphicFramePr>
              <a:graphicFrameLocks noChangeAspect="1"/>
            </wp:cNvGraphicFramePr>
            <a:graphic>
              <a:graphicData uri="http://schemas.openxmlformats.org/drawingml/2006/picture">
                <pic:pic>
                  <pic:nvPicPr>
                    <pic:cNvPr id="0" name="diagram_pipeline.png"/>
                    <pic:cNvPicPr/>
                  </pic:nvPicPr>
                  <pic:blipFill>
                    <a:blip r:embed="rId24"/>
                    <a:stretch>
                      <a:fillRect/>
                    </a:stretch>
                  </pic:blipFill>
                  <pic:spPr>
                    <a:xfrm>
                      <a:off x="0" y="0"/>
                      <a:ext cx="5943600" cy="1831675"/>
                    </a:xfrm>
                    <a:prstGeom prst="rect"/>
                  </pic:spPr>
                </pic:pic>
              </a:graphicData>
            </a:graphic>
          </wp:inline>
        </w:drawing>
      </w:r>
    </w:p>
    <w:p>
      <w:pPr>
        <w:jc w:val="center"/>
      </w:pPr>
      <w:r>
        <w:rPr>
          <w:i/>
          <w:sz w:val="20"/>
        </w:rPr>
        <w:t>Figure 20: End-to-End Pipeline — from raw data through preprocessing, feature extraction, P3 prediction, static CRC calibration, and online ACI risk control to the final candidate beam set (17 probes avg, 93% search reduction).</w:t>
      </w:r>
    </w:p>
    <w:p/>
    <w:p>
      <w:pPr>
        <w:pStyle w:val="Heading2"/>
        <w:jc w:val="left"/>
      </w:pPr>
      <w:r>
        <w:t>5.2 P3 Model Architecture</w:t>
      </w:r>
    </w:p>
    <w:p>
      <w:pPr>
        <w:pStyle w:val="Heading3"/>
        <w:jc w:val="left"/>
      </w:pPr>
      <w:r>
        <w:t>5.2.1 RGB Encoder (ResNet-18)</w:t>
      </w:r>
    </w:p>
    <w:p>
      <w:pPr>
        <w:ind w:left="432"/>
      </w:pPr>
      <w:r>
        <w:rPr>
          <w:b w:val="0"/>
        </w:rPr>
        <w:t>5-frame clip reshaped to (B·5,3,96,96) → pretrained ResNet-18 (conv1+layer1 frozen, layers 2–4 fine-tuned) → linear projection 512→256 → reshape to (B,5,256) RGB tokens.</w:t>
      </w:r>
    </w:p>
    <w:p>
      <w:pPr>
        <w:pStyle w:val="Heading3"/>
        <w:jc w:val="left"/>
      </w:pPr>
      <w:r>
        <w:t>5.2.2 GPS Encoder (BiGRU)</w:t>
      </w:r>
    </w:p>
    <w:p>
      <w:pPr>
        <w:ind w:left="432"/>
      </w:pPr>
      <w:r>
        <w:rPr>
          <w:b w:val="0"/>
        </w:rPr>
        <w:t>3-layer Bidirectional GRU (hidden=256) on 9-dim sequence → project 512→256 → (B,5,256) GPS tokens.</w:t>
      </w:r>
    </w:p>
    <w:p>
      <w:pPr>
        <w:pStyle w:val="Heading3"/>
        <w:jc w:val="left"/>
      </w:pPr>
      <w:r>
        <w:t>5.2.3 Pre-LN Transformer Fusion</w:t>
      </w:r>
    </w:p>
    <w:p>
      <w:pPr>
        <w:ind w:left="432"/>
      </w:pPr>
      <w:r>
        <w:rPr>
          <w:b w:val="0"/>
        </w:rPr>
        <w:t>10-token sequence (5 GPS + 5 RGB) with modality and positional embeddings → 3-layer Pre-LN Transformer (8 heads, FFN=1024, dropout=0.12) → mean-pool → f ∈ R^(B×256).</w:t>
      </w:r>
    </w:p>
    <w:p>
      <w:pPr>
        <w:pStyle w:val="Heading3"/>
        <w:jc w:val="left"/>
      </w:pPr>
      <w:r>
        <w:t>5.2.4 Dual Prediction Heads</w:t>
      </w:r>
    </w:p>
    <w:p>
      <w:pPr>
        <w:ind w:left="432"/>
      </w:pPr>
      <w:r>
        <w:rPr>
          <w:b w:val="0"/>
        </w:rPr>
        <w:t>cls_head(f): Linear→GELU→Dropout→Linear → 256-class beam logits.</w:t>
        <w:br/>
        <w:t>profile_head(f): same MLP → 256-value power-gap profile.</w:t>
      </w:r>
    </w:p>
    <w:p/>
    <w:p>
      <w:pPr>
        <w:jc w:val="center"/>
      </w:pPr>
      <w:r>
        <w:drawing>
          <wp:inline xmlns:a="http://schemas.openxmlformats.org/drawingml/2006/main" xmlns:pic="http://schemas.openxmlformats.org/drawingml/2006/picture">
            <wp:extent cx="5486400" cy="3909142"/>
            <wp:docPr id="17" name="Picture 17"/>
            <wp:cNvGraphicFramePr>
              <a:graphicFrameLocks noChangeAspect="1"/>
            </wp:cNvGraphicFramePr>
            <a:graphic>
              <a:graphicData uri="http://schemas.openxmlformats.org/drawingml/2006/picture">
                <pic:pic>
                  <pic:nvPicPr>
                    <pic:cNvPr id="0" name="diagram_architecture.png"/>
                    <pic:cNvPicPr/>
                  </pic:nvPicPr>
                  <pic:blipFill>
                    <a:blip r:embed="rId25"/>
                    <a:stretch>
                      <a:fillRect/>
                    </a:stretch>
                  </pic:blipFill>
                  <pic:spPr>
                    <a:xfrm>
                      <a:off x="0" y="0"/>
                      <a:ext cx="5486400" cy="3909142"/>
                    </a:xfrm>
                    <a:prstGeom prst="rect"/>
                  </pic:spPr>
                </pic:pic>
              </a:graphicData>
            </a:graphic>
          </wp:inline>
        </w:drawing>
      </w:r>
    </w:p>
    <w:p>
      <w:pPr>
        <w:jc w:val="center"/>
      </w:pPr>
      <w:r>
        <w:rPr>
          <w:i/>
          <w:sz w:val="20"/>
        </w:rPr>
        <w:t>Figure 21: P3 Model Architecture — ResNet-18 visual encoder + BiGRU GPS encoder + Pre-LN Transformer fusion + dual classification and profile heads with multi-task loss.</w:t>
      </w:r>
    </w:p>
    <w:p/>
    <w:p>
      <w:pPr>
        <w:pStyle w:val="Heading2"/>
        <w:jc w:val="left"/>
      </w:pPr>
      <w:r>
        <w:t>5.3 Multi-Task Loss</w:t>
      </w:r>
    </w:p>
    <w:p>
      <w:r>
        <w:rPr>
          <w:b/>
        </w:rPr>
        <w:t>L = L_CE  +  0.1·L_prof  +  0.01·L_smooth  +  0.05·L_rank</w:t>
      </w:r>
    </w:p>
    <w:p>
      <w:pPr>
        <w:pStyle w:val="ListBullet"/>
      </w:pPr>
      <w:r>
        <w:t>L_CE: Cross-entropy on beam classification.</w:t>
      </w:r>
    </w:p>
    <w:p>
      <w:pPr>
        <w:pStyle w:val="ListBullet"/>
      </w:pPr>
      <w:r>
        <w:t>L_prof: MSE on 256-value power-gap profile.</w:t>
      </w:r>
    </w:p>
    <w:p>
      <w:pPr>
        <w:pStyle w:val="ListBullet"/>
      </w:pPr>
      <w:r>
        <w:t>L_smooth: Mean squared first-difference over beam indices — exploits physical angular smoothness.</w:t>
      </w:r>
    </w:p>
    <w:p>
      <w:pPr>
        <w:pStyle w:val="ListBullet"/>
      </w:pPr>
      <w:r>
        <w:t>L_rank: Pairwise hinge ranking — beam ordering in predictions must match measured power order.</w:t>
      </w:r>
    </w:p>
    <w:p>
      <w:pPr>
        <w:pStyle w:val="Heading2"/>
        <w:jc w:val="left"/>
      </w:pPr>
      <w:r>
        <w:t>5.4 Training Configuration</w:t>
      </w:r>
    </w:p>
    <w:tbl>
      <w:tblPr>
        <w:tblStyle w:val="TableGrid"/>
        <w:tblW w:type="auto" w:w="0"/>
        <w:jc w:val="center"/>
        <w:tblLook w:firstColumn="1" w:firstRow="1" w:lastColumn="0" w:lastRow="0" w:noHBand="0" w:noVBand="1" w:val="04A0"/>
      </w:tblPr>
      <w:tblGrid>
        <w:gridCol w:w="4703"/>
        <w:gridCol w:w="4703"/>
      </w:tblGrid>
      <w:tr>
        <w:tc>
          <w:tcPr>
            <w:tcW w:type="dxa" w:w="3600"/>
          </w:tcPr>
          <w:p>
            <w:pPr>
              <w:jc w:val="center"/>
            </w:pPr>
            <w:r>
              <w:rPr>
                <w:b/>
              </w:rPr>
              <w:t>Hyperparameter</w:t>
            </w:r>
          </w:p>
        </w:tc>
        <w:tc>
          <w:tcPr>
            <w:tcW w:type="dxa" w:w="5040"/>
          </w:tcPr>
          <w:p>
            <w:pPr>
              <w:jc w:val="center"/>
            </w:pPr>
            <w:r>
              <w:rPr>
                <w:b/>
              </w:rPr>
              <w:t>Value</w:t>
            </w:r>
          </w:p>
        </w:tc>
      </w:tr>
      <w:tr>
        <w:tc>
          <w:tcPr>
            <w:tcW w:type="dxa" w:w="3600"/>
          </w:tcPr>
          <w:p>
            <w:pPr>
              <w:jc w:val="center"/>
            </w:pPr>
            <w:r>
              <w:t>Optimizer</w:t>
            </w:r>
          </w:p>
        </w:tc>
        <w:tc>
          <w:tcPr>
            <w:tcW w:type="dxa" w:w="5040"/>
          </w:tcPr>
          <w:p>
            <w:pPr>
              <w:jc w:val="center"/>
            </w:pPr>
            <w:r>
              <w:t>AdamW</w:t>
            </w:r>
          </w:p>
        </w:tc>
      </w:tr>
      <w:tr>
        <w:tc>
          <w:tcPr>
            <w:tcW w:type="dxa" w:w="3600"/>
          </w:tcPr>
          <w:p>
            <w:pPr>
              <w:jc w:val="center"/>
            </w:pPr>
            <w:r>
              <w:t>Peak LR</w:t>
            </w:r>
          </w:p>
        </w:tc>
        <w:tc>
          <w:tcPr>
            <w:tcW w:type="dxa" w:w="5040"/>
          </w:tcPr>
          <w:p>
            <w:pPr>
              <w:jc w:val="center"/>
            </w:pPr>
            <w:r>
              <w:t>1×10⁻⁴</w:t>
            </w:r>
          </w:p>
        </w:tc>
      </w:tr>
      <w:tr>
        <w:tc>
          <w:tcPr>
            <w:tcW w:type="dxa" w:w="3600"/>
          </w:tcPr>
          <w:p>
            <w:pPr>
              <w:jc w:val="center"/>
            </w:pPr>
            <w:r>
              <w:t>Weight decay</w:t>
            </w:r>
          </w:p>
        </w:tc>
        <w:tc>
          <w:tcPr>
            <w:tcW w:type="dxa" w:w="5040"/>
          </w:tcPr>
          <w:p>
            <w:pPr>
              <w:jc w:val="center"/>
            </w:pPr>
            <w:r>
              <w:t>3×10⁻⁴</w:t>
            </w:r>
          </w:p>
        </w:tc>
      </w:tr>
      <w:tr>
        <w:tc>
          <w:tcPr>
            <w:tcW w:type="dxa" w:w="3600"/>
          </w:tcPr>
          <w:p>
            <w:pPr>
              <w:jc w:val="center"/>
            </w:pPr>
            <w:r>
              <w:t>LR schedule</w:t>
            </w:r>
          </w:p>
        </w:tc>
        <w:tc>
          <w:tcPr>
            <w:tcW w:type="dxa" w:w="5040"/>
          </w:tcPr>
          <w:p>
            <w:pPr>
              <w:jc w:val="center"/>
            </w:pPr>
            <w:r>
              <w:t>OneCycleLR (cosine, 10% warmup)</w:t>
            </w:r>
          </w:p>
        </w:tc>
      </w:tr>
      <w:tr>
        <w:tc>
          <w:tcPr>
            <w:tcW w:type="dxa" w:w="3600"/>
          </w:tcPr>
          <w:p>
            <w:pPr>
              <w:jc w:val="center"/>
            </w:pPr>
            <w:r>
              <w:t>Batch size</w:t>
            </w:r>
          </w:p>
        </w:tc>
        <w:tc>
          <w:tcPr>
            <w:tcW w:type="dxa" w:w="5040"/>
          </w:tcPr>
          <w:p>
            <w:pPr>
              <w:jc w:val="center"/>
            </w:pPr>
            <w:r>
              <w:t>64</w:t>
            </w:r>
          </w:p>
        </w:tc>
      </w:tr>
      <w:tr>
        <w:tc>
          <w:tcPr>
            <w:tcW w:type="dxa" w:w="3600"/>
          </w:tcPr>
          <w:p>
            <w:pPr>
              <w:jc w:val="center"/>
            </w:pPr>
            <w:r>
              <w:t>Max epochs</w:t>
            </w:r>
          </w:p>
        </w:tc>
        <w:tc>
          <w:tcPr>
            <w:tcW w:type="dxa" w:w="5040"/>
          </w:tcPr>
          <w:p>
            <w:pPr>
              <w:jc w:val="center"/>
            </w:pPr>
            <w:r>
              <w:t>80 (patience=15, min=40)</w:t>
            </w:r>
          </w:p>
        </w:tc>
      </w:tr>
      <w:tr>
        <w:tc>
          <w:tcPr>
            <w:tcW w:type="dxa" w:w="3600"/>
          </w:tcPr>
          <w:p>
            <w:pPr>
              <w:jc w:val="center"/>
            </w:pPr>
            <w:r>
              <w:t>Mixed precision</w:t>
            </w:r>
          </w:p>
        </w:tc>
        <w:tc>
          <w:tcPr>
            <w:tcW w:type="dxa" w:w="5040"/>
          </w:tcPr>
          <w:p>
            <w:pPr>
              <w:jc w:val="center"/>
            </w:pPr>
            <w:r>
              <w:t>BFloat16 (CUDA)</w:t>
            </w:r>
          </w:p>
        </w:tc>
      </w:tr>
      <w:tr>
        <w:tc>
          <w:tcPr>
            <w:tcW w:type="dxa" w:w="3600"/>
          </w:tcPr>
          <w:p>
            <w:pPr>
              <w:jc w:val="center"/>
            </w:pPr>
            <w:r>
              <w:t>Seeds</w:t>
            </w:r>
          </w:p>
        </w:tc>
        <w:tc>
          <w:tcPr>
            <w:tcW w:type="dxa" w:w="5040"/>
          </w:tcPr>
          <w:p>
            <w:pPr>
              <w:jc w:val="center"/>
            </w:pPr>
            <w:r>
              <w:t>42, 7, 13</w:t>
            </w:r>
          </w:p>
        </w:tc>
      </w:tr>
      <w:tr>
        <w:tc>
          <w:tcPr>
            <w:tcW w:type="dxa" w:w="3600"/>
          </w:tcPr>
          <w:p>
            <w:pPr>
              <w:jc w:val="center"/>
            </w:pPr>
            <w:r>
              <w:t>GPU</w:t>
            </w:r>
          </w:p>
        </w:tc>
        <w:tc>
          <w:tcPr>
            <w:tcW w:type="dxa" w:w="5040"/>
          </w:tcPr>
          <w:p>
            <w:pPr>
              <w:jc w:val="center"/>
            </w:pPr>
            <w:r>
              <w:t>RTX 4060 8 GB</w:t>
            </w:r>
          </w:p>
        </w:tc>
      </w:tr>
    </w:tbl>
    <w:p>
      <w:pPr>
        <w:jc w:val="center"/>
      </w:pPr>
      <w:r>
        <w:rPr>
          <w:i/>
          <w:sz w:val="20"/>
        </w:rPr>
        <w:t>Table 2: Training hyperparameters.</w:t>
      </w:r>
    </w:p>
    <w:p/>
    <w:p>
      <w:pPr>
        <w:pStyle w:val="Heading2"/>
        <w:jc w:val="left"/>
      </w:pPr>
      <w:r>
        <w:t>5.5 Conformal Risk Control and Online ACI</w:t>
      </w:r>
    </w:p>
    <w:p>
      <w:r>
        <w:rPr>
          <w:b w:val="0"/>
        </w:rPr>
        <w:t>Static CRC: calibrate q on 3,385 calibration sequences — smallest q satisfying (n/(n+1))-adjusted empirical risk ≤ α=0.10. q_max = 99th-percentile calibration gap = 35.5 dB.</w:t>
      </w:r>
    </w:p>
    <w:p>
      <w:r>
        <w:rPr>
          <w:b/>
        </w:rPr>
        <w:t>Online ACI update (after each observed outcome):</w:t>
      </w:r>
    </w:p>
    <w:p>
      <w:r>
        <w:rPr>
          <w:b/>
        </w:rPr>
        <w:t>q_{t+1} = clip(q_t + η(ℓ_t − α),  0 dB,  35.5 dB)</w:t>
      </w:r>
    </w:p>
    <w:p>
      <w:r>
        <w:rPr>
          <w:b w:val="0"/>
        </w:rPr>
        <w:t>where ℓ_t=1 if miss, else 0. η=0.1 selected on validation only. Warm-started with static CRC q. The ACI long-run time-averaged guarantee is distinct from per-instance coverage: it applies to the running average of losses over the trajectory, not to any single prediction.</w:t>
      </w:r>
    </w:p>
    <w:p>
      <w:pPr>
        <w:pStyle w:val="Heading2"/>
        <w:jc w:val="left"/>
      </w:pPr>
      <w:r>
        <w:t>5.6 Baseline Models</w:t>
      </w:r>
    </w:p>
    <w:tbl>
      <w:tblPr>
        <w:tblStyle w:val="TableGrid"/>
        <w:tblW w:type="auto" w:w="0"/>
        <w:jc w:val="center"/>
        <w:tblLook w:firstColumn="1" w:firstRow="1" w:lastColumn="0" w:lastRow="0" w:noHBand="0" w:noVBand="1" w:val="04A0"/>
      </w:tblPr>
      <w:tblGrid>
        <w:gridCol w:w="3135"/>
        <w:gridCol w:w="3135"/>
        <w:gridCol w:w="3135"/>
      </w:tblGrid>
      <w:tr>
        <w:tc>
          <w:tcPr>
            <w:tcW w:type="dxa" w:w="1728"/>
          </w:tcPr>
          <w:p>
            <w:pPr>
              <w:jc w:val="center"/>
            </w:pPr>
            <w:r>
              <w:rPr>
                <w:b/>
              </w:rPr>
              <w:t>Model</w:t>
            </w:r>
          </w:p>
        </w:tc>
        <w:tc>
          <w:tcPr>
            <w:tcW w:type="dxa" w:w="4752"/>
          </w:tcPr>
          <w:p>
            <w:pPr>
              <w:jc w:val="center"/>
            </w:pPr>
            <w:r>
              <w:rPr>
                <w:b/>
              </w:rPr>
              <w:t>Architecture</w:t>
            </w:r>
          </w:p>
        </w:tc>
        <w:tc>
          <w:tcPr>
            <w:tcW w:type="dxa" w:w="2160"/>
          </w:tcPr>
          <w:p>
            <w:pPr>
              <w:jc w:val="center"/>
            </w:pPr>
            <w:r>
              <w:rPr>
                <w:b/>
              </w:rPr>
              <w:t>Task</w:t>
            </w:r>
          </w:p>
        </w:tc>
      </w:tr>
      <w:tr>
        <w:tc>
          <w:tcPr>
            <w:tcW w:type="dxa" w:w="1728"/>
          </w:tcPr>
          <w:p>
            <w:pPr>
              <w:jc w:val="center"/>
            </w:pPr>
            <w:r>
              <w:t>B0</w:t>
            </w:r>
          </w:p>
        </w:tc>
        <w:tc>
          <w:tcPr>
            <w:tcW w:type="dxa" w:w="4752"/>
          </w:tcPr>
          <w:p>
            <w:pPr>
              <w:jc w:val="center"/>
            </w:pPr>
            <w:r>
              <w:t>Geometric (bearing→codebook)</w:t>
            </w:r>
          </w:p>
        </w:tc>
        <w:tc>
          <w:tcPr>
            <w:tcW w:type="dxa" w:w="2160"/>
          </w:tcPr>
          <w:p>
            <w:pPr>
              <w:jc w:val="center"/>
            </w:pPr>
            <w:r>
              <w:t>Classification</w:t>
            </w:r>
          </w:p>
        </w:tc>
      </w:tr>
      <w:tr>
        <w:tc>
          <w:tcPr>
            <w:tcW w:type="dxa" w:w="1728"/>
          </w:tcPr>
          <w:p>
            <w:pPr>
              <w:jc w:val="center"/>
            </w:pPr>
            <w:r>
              <w:t>B1</w:t>
            </w:r>
          </w:p>
        </w:tc>
        <w:tc>
          <w:tcPr>
            <w:tcW w:type="dxa" w:w="4752"/>
          </w:tcPr>
          <w:p>
            <w:pPr>
              <w:jc w:val="center"/>
            </w:pPr>
            <w:r>
              <w:t>BiGRU on GPS</w:t>
            </w:r>
          </w:p>
        </w:tc>
        <w:tc>
          <w:tcPr>
            <w:tcW w:type="dxa" w:w="2160"/>
          </w:tcPr>
          <w:p>
            <w:pPr>
              <w:jc w:val="center"/>
            </w:pPr>
            <w:r>
              <w:t>Classification</w:t>
            </w:r>
          </w:p>
        </w:tc>
      </w:tr>
      <w:tr>
        <w:tc>
          <w:tcPr>
            <w:tcW w:type="dxa" w:w="1728"/>
          </w:tcPr>
          <w:p>
            <w:pPr>
              <w:jc w:val="center"/>
            </w:pPr>
            <w:r>
              <w:t>B3</w:t>
            </w:r>
          </w:p>
        </w:tc>
        <w:tc>
          <w:tcPr>
            <w:tcW w:type="dxa" w:w="4752"/>
          </w:tcPr>
          <w:p>
            <w:pPr>
              <w:jc w:val="center"/>
            </w:pPr>
            <w:r>
              <w:t>ResNet-18+BiGRU+Gated Fusion</w:t>
            </w:r>
          </w:p>
        </w:tc>
        <w:tc>
          <w:tcPr>
            <w:tcW w:type="dxa" w:w="2160"/>
          </w:tcPr>
          <w:p>
            <w:pPr>
              <w:jc w:val="center"/>
            </w:pPr>
            <w:r>
              <w:t>Classification</w:t>
            </w:r>
          </w:p>
        </w:tc>
      </w:tr>
      <w:tr>
        <w:tc>
          <w:tcPr>
            <w:tcW w:type="dxa" w:w="1728"/>
          </w:tcPr>
          <w:p>
            <w:pPr>
              <w:jc w:val="center"/>
            </w:pPr>
            <w:r>
              <w:t>P1</w:t>
            </w:r>
          </w:p>
        </w:tc>
        <w:tc>
          <w:tcPr>
            <w:tcW w:type="dxa" w:w="4752"/>
          </w:tcPr>
          <w:p>
            <w:pPr>
              <w:jc w:val="center"/>
            </w:pPr>
            <w:r>
              <w:t>ResNet-18+BiGRU+Pre-LN Transformer</w:t>
            </w:r>
          </w:p>
        </w:tc>
        <w:tc>
          <w:tcPr>
            <w:tcW w:type="dxa" w:w="2160"/>
          </w:tcPr>
          <w:p>
            <w:pPr>
              <w:jc w:val="center"/>
            </w:pPr>
            <w:r>
              <w:t>Classification only</w:t>
            </w:r>
          </w:p>
        </w:tc>
      </w:tr>
      <w:tr>
        <w:tc>
          <w:tcPr>
            <w:tcW w:type="dxa" w:w="1728"/>
          </w:tcPr>
          <w:p>
            <w:pPr>
              <w:jc w:val="center"/>
            </w:pPr>
            <w:r>
              <w:t>P3 (proposed)</w:t>
            </w:r>
          </w:p>
        </w:tc>
        <w:tc>
          <w:tcPr>
            <w:tcW w:type="dxa" w:w="4752"/>
          </w:tcPr>
          <w:p>
            <w:pPr>
              <w:jc w:val="center"/>
            </w:pPr>
            <w:r>
              <w:t>ResNet-18+BiGRU+Pre-LN Transformer</w:t>
            </w:r>
          </w:p>
        </w:tc>
        <w:tc>
          <w:tcPr>
            <w:tcW w:type="dxa" w:w="2160"/>
          </w:tcPr>
          <w:p>
            <w:pPr>
              <w:jc w:val="center"/>
            </w:pPr>
            <w:r>
              <w:t>Class + Profile</w:t>
            </w:r>
          </w:p>
        </w:tc>
      </w:tr>
    </w:tbl>
    <w:p>
      <w:pPr>
        <w:jc w:val="center"/>
      </w:pPr>
      <w:r>
        <w:rPr>
          <w:i/>
          <w:sz w:val="20"/>
        </w:rPr>
        <w:t>Table 3: Model variants.</w:t>
      </w:r>
    </w:p>
    <w:p/>
    <w:p>
      <w:pPr>
        <w:pStyle w:val="Heading1"/>
        <w:jc w:val="left"/>
      </w:pPr>
      <w:r>
        <w:t>6. Results and Analysis</w:t>
      </w:r>
    </w:p>
    <w:p>
      <w:pPr>
        <w:pStyle w:val="Heading2"/>
        <w:jc w:val="left"/>
      </w:pPr>
      <w:r>
        <w:t>6.1 Model Performance</w:t>
      </w:r>
    </w:p>
    <w:p>
      <w:r>
        <w:rPr>
          <w:b w:val="0"/>
        </w:rPr>
        <w:t>Table 4: seed-42 best checkpoint. Majority baseline = 20.41% Top-1; mean-profile floor = 3.107 dB.</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728"/>
          </w:tcPr>
          <w:p>
            <w:pPr>
              <w:jc w:val="center"/>
            </w:pPr>
            <w:r>
              <w:rPr>
                <w:b/>
              </w:rPr>
              <w:t>Model</w:t>
            </w:r>
          </w:p>
        </w:tc>
        <w:tc>
          <w:tcPr>
            <w:tcW w:type="dxa" w:w="1080"/>
          </w:tcPr>
          <w:p>
            <w:pPr>
              <w:jc w:val="center"/>
            </w:pPr>
            <w:r>
              <w:rPr>
                <w:b/>
              </w:rPr>
              <w:t>Top-1 (%)</w:t>
            </w:r>
          </w:p>
        </w:tc>
        <w:tc>
          <w:tcPr>
            <w:tcW w:type="dxa" w:w="1080"/>
          </w:tcPr>
          <w:p>
            <w:pPr>
              <w:jc w:val="center"/>
            </w:pPr>
            <w:r>
              <w:rPr>
                <w:b/>
              </w:rPr>
              <w:t>Top-5 (%)</w:t>
            </w:r>
          </w:p>
        </w:tc>
        <w:tc>
          <w:tcPr>
            <w:tcW w:type="dxa" w:w="1224"/>
          </w:tcPr>
          <w:p>
            <w:pPr>
              <w:jc w:val="center"/>
            </w:pPr>
            <w:r>
              <w:rPr>
                <w:b/>
              </w:rPr>
              <w:t>Top-13 (%)</w:t>
            </w:r>
          </w:p>
        </w:tc>
        <w:tc>
          <w:tcPr>
            <w:tcW w:type="dxa" w:w="1224"/>
          </w:tcPr>
          <w:p>
            <w:pPr>
              <w:jc w:val="center"/>
            </w:pPr>
            <w:r>
              <w:rPr>
                <w:b/>
              </w:rPr>
              <w:t>APL (dB)</w:t>
            </w:r>
          </w:p>
        </w:tc>
        <w:tc>
          <w:tcPr>
            <w:tcW w:type="dxa" w:w="1656"/>
          </w:tcPr>
          <w:p>
            <w:pPr>
              <w:jc w:val="center"/>
            </w:pPr>
            <w:r>
              <w:rPr>
                <w:b/>
              </w:rPr>
              <w:t>Profile MAE (dB)</w:t>
            </w:r>
          </w:p>
        </w:tc>
        <w:tc>
          <w:tcPr>
            <w:tcW w:type="dxa" w:w="1224"/>
          </w:tcPr>
          <w:p>
            <w:pPr>
              <w:jc w:val="center"/>
            </w:pPr>
            <w:r>
              <w:rPr>
                <w:b/>
              </w:rPr>
              <w:t>Rank Corr</w:t>
            </w:r>
          </w:p>
        </w:tc>
      </w:tr>
      <w:tr>
        <w:tc>
          <w:tcPr>
            <w:tcW w:type="dxa" w:w="1728"/>
          </w:tcPr>
          <w:p>
            <w:pPr>
              <w:jc w:val="center"/>
            </w:pPr>
            <w:r>
              <w:t>B0</w:t>
            </w:r>
          </w:p>
        </w:tc>
        <w:tc>
          <w:tcPr>
            <w:tcW w:type="dxa" w:w="1080"/>
          </w:tcPr>
          <w:p>
            <w:pPr>
              <w:jc w:val="center"/>
            </w:pPr>
            <w:r>
              <w:t>0.67</w:t>
            </w:r>
          </w:p>
        </w:tc>
        <w:tc>
          <w:tcPr>
            <w:tcW w:type="dxa" w:w="1080"/>
          </w:tcPr>
          <w:p>
            <w:pPr>
              <w:jc w:val="center"/>
            </w:pPr>
            <w:r>
              <w:t>0.88</w:t>
            </w:r>
          </w:p>
        </w:tc>
        <w:tc>
          <w:tcPr>
            <w:tcW w:type="dxa" w:w="1224"/>
          </w:tcPr>
          <w:p>
            <w:pPr>
              <w:jc w:val="center"/>
            </w:pPr>
            <w:r>
              <w:t>1.03</w:t>
            </w:r>
          </w:p>
        </w:tc>
        <w:tc>
          <w:tcPr>
            <w:tcW w:type="dxa" w:w="1224"/>
          </w:tcPr>
          <w:p>
            <w:pPr>
              <w:jc w:val="center"/>
            </w:pPr>
            <w:r>
              <w:t>11.07</w:t>
            </w:r>
          </w:p>
        </w:tc>
        <w:tc>
          <w:tcPr>
            <w:tcW w:type="dxa" w:w="1656"/>
          </w:tcPr>
          <w:p>
            <w:pPr>
              <w:jc w:val="center"/>
            </w:pPr>
            <w:r>
              <w:t>13.14</w:t>
            </w:r>
          </w:p>
        </w:tc>
        <w:tc>
          <w:tcPr>
            <w:tcW w:type="dxa" w:w="1224"/>
          </w:tcPr>
          <w:p>
            <w:pPr>
              <w:jc w:val="center"/>
            </w:pPr>
            <w:r>
              <w:t>0.001</w:t>
            </w:r>
          </w:p>
        </w:tc>
      </w:tr>
      <w:tr>
        <w:tc>
          <w:tcPr>
            <w:tcW w:type="dxa" w:w="1728"/>
          </w:tcPr>
          <w:p>
            <w:pPr>
              <w:jc w:val="center"/>
            </w:pPr>
            <w:r>
              <w:t>B1 (GPS)</w:t>
            </w:r>
          </w:p>
        </w:tc>
        <w:tc>
          <w:tcPr>
            <w:tcW w:type="dxa" w:w="1080"/>
          </w:tcPr>
          <w:p>
            <w:pPr>
              <w:jc w:val="center"/>
            </w:pPr>
            <w:r>
              <w:t>0.96</w:t>
            </w:r>
          </w:p>
        </w:tc>
        <w:tc>
          <w:tcPr>
            <w:tcW w:type="dxa" w:w="1080"/>
          </w:tcPr>
          <w:p>
            <w:pPr>
              <w:jc w:val="center"/>
            </w:pPr>
            <w:r>
              <w:t>15.30</w:t>
            </w:r>
          </w:p>
        </w:tc>
        <w:tc>
          <w:tcPr>
            <w:tcW w:type="dxa" w:w="1224"/>
          </w:tcPr>
          <w:p>
            <w:pPr>
              <w:jc w:val="center"/>
            </w:pPr>
            <w:r>
              <w:t>39.25</w:t>
            </w:r>
          </w:p>
        </w:tc>
        <w:tc>
          <w:tcPr>
            <w:tcW w:type="dxa" w:w="1224"/>
          </w:tcPr>
          <w:p>
            <w:pPr>
              <w:jc w:val="center"/>
            </w:pPr>
            <w:r>
              <w:t>14.17</w:t>
            </w:r>
          </w:p>
        </w:tc>
        <w:tc>
          <w:tcPr>
            <w:tcW w:type="dxa" w:w="1656"/>
          </w:tcPr>
          <w:p>
            <w:pPr>
              <w:jc w:val="center"/>
            </w:pPr>
            <w:r>
              <w:t>34.63</w:t>
            </w:r>
          </w:p>
        </w:tc>
        <w:tc>
          <w:tcPr>
            <w:tcW w:type="dxa" w:w="1224"/>
          </w:tcPr>
          <w:p>
            <w:pPr>
              <w:jc w:val="center"/>
            </w:pPr>
            <w:r>
              <w:t>-0.008</w:t>
            </w:r>
          </w:p>
        </w:tc>
      </w:tr>
      <w:tr>
        <w:tc>
          <w:tcPr>
            <w:tcW w:type="dxa" w:w="1728"/>
          </w:tcPr>
          <w:p>
            <w:pPr>
              <w:jc w:val="center"/>
            </w:pPr>
            <w:r>
              <w:t>B3 (fusion)</w:t>
            </w:r>
          </w:p>
        </w:tc>
        <w:tc>
          <w:tcPr>
            <w:tcW w:type="dxa" w:w="1080"/>
          </w:tcPr>
          <w:p>
            <w:pPr>
              <w:jc w:val="center"/>
            </w:pPr>
            <w:r>
              <w:t>12.09</w:t>
            </w:r>
          </w:p>
        </w:tc>
        <w:tc>
          <w:tcPr>
            <w:tcW w:type="dxa" w:w="1080"/>
          </w:tcPr>
          <w:p>
            <w:pPr>
              <w:jc w:val="center"/>
            </w:pPr>
            <w:r>
              <w:t>31.05</w:t>
            </w:r>
          </w:p>
        </w:tc>
        <w:tc>
          <w:tcPr>
            <w:tcW w:type="dxa" w:w="1224"/>
          </w:tcPr>
          <w:p>
            <w:pPr>
              <w:jc w:val="center"/>
            </w:pPr>
            <w:r>
              <w:t>35.17</w:t>
            </w:r>
          </w:p>
        </w:tc>
        <w:tc>
          <w:tcPr>
            <w:tcW w:type="dxa" w:w="1224"/>
          </w:tcPr>
          <w:p>
            <w:pPr>
              <w:jc w:val="center"/>
            </w:pPr>
            <w:r>
              <w:t>7.29</w:t>
            </w:r>
          </w:p>
        </w:tc>
        <w:tc>
          <w:tcPr>
            <w:tcW w:type="dxa" w:w="1656"/>
          </w:tcPr>
          <w:p>
            <w:pPr>
              <w:jc w:val="center"/>
            </w:pPr>
            <w:r>
              <w:t>36.96</w:t>
            </w:r>
          </w:p>
        </w:tc>
        <w:tc>
          <w:tcPr>
            <w:tcW w:type="dxa" w:w="1224"/>
          </w:tcPr>
          <w:p>
            <w:pPr>
              <w:jc w:val="center"/>
            </w:pPr>
            <w:r>
              <w:t>0.072</w:t>
            </w:r>
          </w:p>
        </w:tc>
      </w:tr>
      <w:tr>
        <w:tc>
          <w:tcPr>
            <w:tcW w:type="dxa" w:w="1728"/>
          </w:tcPr>
          <w:p>
            <w:pPr>
              <w:jc w:val="center"/>
            </w:pPr>
            <w:r>
              <w:t>P1 (class)</w:t>
            </w:r>
          </w:p>
        </w:tc>
        <w:tc>
          <w:tcPr>
            <w:tcW w:type="dxa" w:w="1080"/>
          </w:tcPr>
          <w:p>
            <w:pPr>
              <w:jc w:val="center"/>
            </w:pPr>
            <w:r>
              <w:t>5.59</w:t>
            </w:r>
          </w:p>
        </w:tc>
        <w:tc>
          <w:tcPr>
            <w:tcW w:type="dxa" w:w="1080"/>
          </w:tcPr>
          <w:p>
            <w:pPr>
              <w:jc w:val="center"/>
            </w:pPr>
            <w:r>
              <w:t>41.64</w:t>
            </w:r>
          </w:p>
        </w:tc>
        <w:tc>
          <w:tcPr>
            <w:tcW w:type="dxa" w:w="1224"/>
          </w:tcPr>
          <w:p>
            <w:pPr>
              <w:jc w:val="center"/>
            </w:pPr>
            <w:r>
              <w:t>62.94</w:t>
            </w:r>
          </w:p>
        </w:tc>
        <w:tc>
          <w:tcPr>
            <w:tcW w:type="dxa" w:w="1224"/>
          </w:tcPr>
          <w:p>
            <w:pPr>
              <w:jc w:val="center"/>
            </w:pPr>
            <w:r>
              <w:t>12.33</w:t>
            </w:r>
          </w:p>
        </w:tc>
        <w:tc>
          <w:tcPr>
            <w:tcW w:type="dxa" w:w="1656"/>
          </w:tcPr>
          <w:p>
            <w:pPr>
              <w:jc w:val="center"/>
            </w:pPr>
            <w:r>
              <w:t>35.99</w:t>
            </w:r>
          </w:p>
        </w:tc>
        <w:tc>
          <w:tcPr>
            <w:tcW w:type="dxa" w:w="1224"/>
          </w:tcPr>
          <w:p>
            <w:pPr>
              <w:jc w:val="center"/>
            </w:pPr>
            <w:r>
              <w:t>0.074</w:t>
            </w:r>
          </w:p>
        </w:tc>
      </w:tr>
      <w:tr>
        <w:tc>
          <w:tcPr>
            <w:tcW w:type="dxa" w:w="1728"/>
          </w:tcPr>
          <w:p>
            <w:pPr>
              <w:jc w:val="center"/>
            </w:pPr>
            <w:r>
              <w:t>P3 (proposed)</w:t>
            </w:r>
          </w:p>
        </w:tc>
        <w:tc>
          <w:tcPr>
            <w:tcW w:type="dxa" w:w="1080"/>
          </w:tcPr>
          <w:p>
            <w:pPr>
              <w:jc w:val="center"/>
            </w:pPr>
            <w:r>
              <w:t>12.66</w:t>
            </w:r>
          </w:p>
        </w:tc>
        <w:tc>
          <w:tcPr>
            <w:tcW w:type="dxa" w:w="1080"/>
          </w:tcPr>
          <w:p>
            <w:pPr>
              <w:jc w:val="center"/>
            </w:pPr>
            <w:r>
              <w:t>46.79</w:t>
            </w:r>
          </w:p>
        </w:tc>
        <w:tc>
          <w:tcPr>
            <w:tcW w:type="dxa" w:w="1224"/>
          </w:tcPr>
          <w:p>
            <w:pPr>
              <w:jc w:val="center"/>
            </w:pPr>
            <w:r>
              <w:t>63.22</w:t>
            </w:r>
          </w:p>
        </w:tc>
        <w:tc>
          <w:tcPr>
            <w:tcW w:type="dxa" w:w="1224"/>
          </w:tcPr>
          <w:p>
            <w:pPr>
              <w:jc w:val="center"/>
            </w:pPr>
            <w:r>
              <w:t>10.17</w:t>
            </w:r>
          </w:p>
        </w:tc>
        <w:tc>
          <w:tcPr>
            <w:tcW w:type="dxa" w:w="1656"/>
          </w:tcPr>
          <w:p>
            <w:pPr>
              <w:jc w:val="center"/>
            </w:pPr>
            <w:r>
              <w:t>2.49 ✓</w:t>
            </w:r>
          </w:p>
        </w:tc>
        <w:tc>
          <w:tcPr>
            <w:tcW w:type="dxa" w:w="1224"/>
          </w:tcPr>
          <w:p>
            <w:pPr>
              <w:jc w:val="center"/>
            </w:pPr>
            <w:r>
              <w:t>0.237</w:t>
            </w:r>
          </w:p>
        </w:tc>
      </w:tr>
      <w:tr>
        <w:tc>
          <w:tcPr>
            <w:tcW w:type="dxa" w:w="1728"/>
          </w:tcPr>
          <w:p>
            <w:pPr>
              <w:jc w:val="center"/>
            </w:pPr>
            <w:r>
              <w:t>Majority</w:t>
            </w:r>
          </w:p>
        </w:tc>
        <w:tc>
          <w:tcPr>
            <w:tcW w:type="dxa" w:w="1080"/>
          </w:tcPr>
          <w:p>
            <w:pPr>
              <w:jc w:val="center"/>
            </w:pPr>
            <w:r>
              <w:t>20.41</w:t>
            </w:r>
          </w:p>
        </w:tc>
        <w:tc>
          <w:tcPr>
            <w:tcW w:type="dxa" w:w="1080"/>
          </w:tcPr>
          <w:p>
            <w:pPr>
              <w:jc w:val="center"/>
            </w:pPr>
            <w:r>
              <w:t>—</w:t>
            </w:r>
          </w:p>
        </w:tc>
        <w:tc>
          <w:tcPr>
            <w:tcW w:type="dxa" w:w="1224"/>
          </w:tcPr>
          <w:p>
            <w:pPr>
              <w:jc w:val="center"/>
            </w:pPr>
            <w:r>
              <w:t>—</w:t>
            </w:r>
          </w:p>
        </w:tc>
        <w:tc>
          <w:tcPr>
            <w:tcW w:type="dxa" w:w="1224"/>
          </w:tcPr>
          <w:p>
            <w:pPr>
              <w:jc w:val="center"/>
            </w:pPr>
            <w:r>
              <w:t>—</w:t>
            </w:r>
          </w:p>
        </w:tc>
        <w:tc>
          <w:tcPr>
            <w:tcW w:type="dxa" w:w="1656"/>
          </w:tcPr>
          <w:p>
            <w:pPr>
              <w:jc w:val="center"/>
            </w:pPr>
            <w:r>
              <w:t>—</w:t>
            </w:r>
          </w:p>
        </w:tc>
        <w:tc>
          <w:tcPr>
            <w:tcW w:type="dxa" w:w="1224"/>
          </w:tcPr>
          <w:p>
            <w:pPr>
              <w:jc w:val="center"/>
            </w:pPr>
            <w:r>
              <w:t>—</w:t>
            </w:r>
          </w:p>
        </w:tc>
      </w:tr>
      <w:tr>
        <w:tc>
          <w:tcPr>
            <w:tcW w:type="dxa" w:w="1728"/>
          </w:tcPr>
          <w:p>
            <w:pPr>
              <w:jc w:val="center"/>
            </w:pPr>
            <w:r>
              <w:t>Mean-prof floor</w:t>
            </w:r>
          </w:p>
        </w:tc>
        <w:tc>
          <w:tcPr>
            <w:tcW w:type="dxa" w:w="1080"/>
          </w:tcPr>
          <w:p>
            <w:pPr>
              <w:jc w:val="center"/>
            </w:pPr>
            <w:r>
              <w:t>—</w:t>
            </w:r>
          </w:p>
        </w:tc>
        <w:tc>
          <w:tcPr>
            <w:tcW w:type="dxa" w:w="1080"/>
          </w:tcPr>
          <w:p>
            <w:pPr>
              <w:jc w:val="center"/>
            </w:pPr>
            <w:r>
              <w:t>—</w:t>
            </w:r>
          </w:p>
        </w:tc>
        <w:tc>
          <w:tcPr>
            <w:tcW w:type="dxa" w:w="1224"/>
          </w:tcPr>
          <w:p>
            <w:pPr>
              <w:jc w:val="center"/>
            </w:pPr>
            <w:r>
              <w:t>—</w:t>
            </w:r>
          </w:p>
        </w:tc>
        <w:tc>
          <w:tcPr>
            <w:tcW w:type="dxa" w:w="1224"/>
          </w:tcPr>
          <w:p>
            <w:pPr>
              <w:jc w:val="center"/>
            </w:pPr>
            <w:r>
              <w:t>—</w:t>
            </w:r>
          </w:p>
        </w:tc>
        <w:tc>
          <w:tcPr>
            <w:tcW w:type="dxa" w:w="1656"/>
          </w:tcPr>
          <w:p>
            <w:pPr>
              <w:jc w:val="center"/>
            </w:pPr>
            <w:r>
              <w:t>3.107</w:t>
            </w:r>
          </w:p>
        </w:tc>
        <w:tc>
          <w:tcPr>
            <w:tcW w:type="dxa" w:w="1224"/>
          </w:tcPr>
          <w:p>
            <w:pPr>
              <w:jc w:val="center"/>
            </w:pPr>
            <w:r>
              <w:t>—</w:t>
            </w:r>
          </w:p>
        </w:tc>
      </w:tr>
    </w:tbl>
    <w:p>
      <w:pPr>
        <w:jc w:val="center"/>
      </w:pPr>
      <w:r>
        <w:rPr>
          <w:i/>
          <w:sz w:val="20"/>
        </w:rPr>
        <w:t>Table 4: Model comparison (seed 42). ✓ = beats mean-profile floor. Note: 3-seed mean P3 Top-5 = 32.8% due to test-set geometry shift across seeds.</w:t>
      </w:r>
    </w:p>
    <w:p/>
    <w:p>
      <w:pPr>
        <w:jc w:val="center"/>
      </w:pPr>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fig_model_comparison.png"/>
                    <pic:cNvPicPr/>
                  </pic:nvPicPr>
                  <pic:blipFill>
                    <a:blip r:embed="rId26"/>
                    <a:stretch>
                      <a:fillRect/>
                    </a:stretch>
                  </pic:blipFill>
                  <pic:spPr>
                    <a:xfrm>
                      <a:off x="0" y="0"/>
                      <a:ext cx="5486400" cy="3086100"/>
                    </a:xfrm>
                    <a:prstGeom prst="rect"/>
                  </pic:spPr>
                </pic:pic>
              </a:graphicData>
            </a:graphic>
          </wp:inline>
        </w:drawing>
      </w:r>
    </w:p>
    <w:p>
      <w:pPr>
        <w:jc w:val="center"/>
      </w:pPr>
      <w:r>
        <w:rPr>
          <w:i/>
          <w:sz w:val="20"/>
        </w:rPr>
        <w:t>Figure 16: Model performance comparison. P3 leads on Top-5, APL, and profile MAE.</w:t>
      </w:r>
    </w:p>
    <w:p>
      <w:pPr>
        <w:pStyle w:val="Heading2"/>
        <w:jc w:val="left"/>
      </w:pPr>
      <w:r>
        <w:t>6.2 Why Top-1 &lt; Majority Baseline</w:t>
      </w:r>
    </w:p>
    <w:p>
      <w:r>
        <w:rPr>
          <w:b w:val="0"/>
        </w:rPr>
        <w:t>All models fall below the 20.41% majority-class Top-1. The test split has 3 blocks with different road geometry from training — beam #162 (dominant in training) is less frequent in test routes, inflating the majority baseline. Top-5 and APL are the correct primary metrics for a candidate-set project. P3 Top-5 = 46.8% (3.1× B1) and APL = 10.17 dB (4 dB better than B1).</w:t>
      </w:r>
    </w:p>
    <w:p>
      <w:pPr>
        <w:pStyle w:val="Heading2"/>
        <w:jc w:val="left"/>
      </w:pPr>
      <w:r>
        <w:t>6.3 Profile MAE — Headline RQ1 Result</w:t>
      </w:r>
    </w:p>
    <w:p>
      <w:r>
        <w:rPr>
          <w:b w:val="0"/>
        </w:rPr>
        <w:t>P3 profile MAE = 2.487 dB, below the mean-profile floor of 3.107 dB — P3 genuinely learns the input-dependent beam landscape. The 14.5× MAE reduction from P1 (35.99 dB) directly answers RQ1. Rank correlation 0.237 (vs ≈0 for classification-only) confirms P3 correctly orders beams by power.</w:t>
      </w:r>
    </w:p>
    <w:p>
      <w:pPr>
        <w:pStyle w:val="Heading2"/>
        <w:jc w:val="left"/>
      </w:pPr>
      <w:r>
        <w:t>6.4 Candidate Set Results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160"/>
          </w:tcPr>
          <w:p>
            <w:pPr>
              <w:jc w:val="center"/>
            </w:pPr>
            <w:r>
              <w:rPr>
                <w:b/>
              </w:rPr>
              <w:t>Method</w:t>
            </w:r>
          </w:p>
        </w:tc>
        <w:tc>
          <w:tcPr>
            <w:tcW w:type="dxa" w:w="1728"/>
          </w:tcPr>
          <w:p>
            <w:pPr>
              <w:jc w:val="center"/>
            </w:pPr>
            <w:r>
              <w:rPr>
                <w:b/>
              </w:rPr>
              <w:t>Exact Incl. (%)</w:t>
            </w:r>
          </w:p>
        </w:tc>
        <w:tc>
          <w:tcPr>
            <w:tcW w:type="dxa" w:w="1728"/>
          </w:tcPr>
          <w:p>
            <w:pPr>
              <w:jc w:val="center"/>
            </w:pPr>
            <w:r>
              <w:rPr>
                <w:b/>
              </w:rPr>
              <w:t>Miss @3dB (%)</w:t>
            </w:r>
          </w:p>
        </w:tc>
        <w:tc>
          <w:tcPr>
            <w:tcW w:type="dxa" w:w="1440"/>
          </w:tcPr>
          <w:p>
            <w:pPr>
              <w:jc w:val="center"/>
            </w:pPr>
            <w:r>
              <w:rPr>
                <w:b/>
              </w:rPr>
              <w:t>Avg Size</w:t>
            </w:r>
          </w:p>
        </w:tc>
        <w:tc>
          <w:tcPr>
            <w:tcW w:type="dxa" w:w="1872"/>
          </w:tcPr>
          <w:p>
            <w:pPr>
              <w:jc w:val="center"/>
            </w:pPr>
            <w:r>
              <w:rPr>
                <w:b/>
              </w:rPr>
              <w:t>Search Red. (%)</w:t>
            </w:r>
          </w:p>
        </w:tc>
      </w:tr>
      <w:tr>
        <w:tc>
          <w:tcPr>
            <w:tcW w:type="dxa" w:w="2160"/>
          </w:tcPr>
          <w:p>
            <w:pPr>
              <w:jc w:val="center"/>
            </w:pPr>
            <w:r>
              <w:t>Top-1</w:t>
            </w:r>
          </w:p>
        </w:tc>
        <w:tc>
          <w:tcPr>
            <w:tcW w:type="dxa" w:w="1728"/>
          </w:tcPr>
          <w:p>
            <w:pPr>
              <w:jc w:val="center"/>
            </w:pPr>
            <w:r>
              <w:t>12.7</w:t>
            </w:r>
          </w:p>
        </w:tc>
        <w:tc>
          <w:tcPr>
            <w:tcW w:type="dxa" w:w="1728"/>
          </w:tcPr>
          <w:p>
            <w:pPr>
              <w:jc w:val="center"/>
            </w:pPr>
            <w:r>
              <w:t>59.6</w:t>
            </w:r>
          </w:p>
        </w:tc>
        <w:tc>
          <w:tcPr>
            <w:tcW w:type="dxa" w:w="1440"/>
          </w:tcPr>
          <w:p>
            <w:pPr>
              <w:jc w:val="center"/>
            </w:pPr>
            <w:r>
              <w:t>1</w:t>
            </w:r>
          </w:p>
        </w:tc>
        <w:tc>
          <w:tcPr>
            <w:tcW w:type="dxa" w:w="1872"/>
          </w:tcPr>
          <w:p>
            <w:pPr>
              <w:jc w:val="center"/>
            </w:pPr>
            <w:r>
              <w:t>99.6</w:t>
            </w:r>
          </w:p>
        </w:tc>
      </w:tr>
      <w:tr>
        <w:tc>
          <w:tcPr>
            <w:tcW w:type="dxa" w:w="2160"/>
          </w:tcPr>
          <w:p>
            <w:pPr>
              <w:jc w:val="center"/>
            </w:pPr>
            <w:r>
              <w:t>Top-3</w:t>
            </w:r>
          </w:p>
        </w:tc>
        <w:tc>
          <w:tcPr>
            <w:tcW w:type="dxa" w:w="1728"/>
          </w:tcPr>
          <w:p>
            <w:pPr>
              <w:jc w:val="center"/>
            </w:pPr>
            <w:r>
              <w:t>32.4</w:t>
            </w:r>
          </w:p>
        </w:tc>
        <w:tc>
          <w:tcPr>
            <w:tcW w:type="dxa" w:w="1728"/>
          </w:tcPr>
          <w:p>
            <w:pPr>
              <w:jc w:val="center"/>
            </w:pPr>
            <w:r>
              <w:t>23.0</w:t>
            </w:r>
          </w:p>
        </w:tc>
        <w:tc>
          <w:tcPr>
            <w:tcW w:type="dxa" w:w="1440"/>
          </w:tcPr>
          <w:p>
            <w:pPr>
              <w:jc w:val="center"/>
            </w:pPr>
            <w:r>
              <w:t>3</w:t>
            </w:r>
          </w:p>
        </w:tc>
        <w:tc>
          <w:tcPr>
            <w:tcW w:type="dxa" w:w="1872"/>
          </w:tcPr>
          <w:p>
            <w:pPr>
              <w:jc w:val="center"/>
            </w:pPr>
            <w:r>
              <w:t>98.8</w:t>
            </w:r>
          </w:p>
        </w:tc>
      </w:tr>
      <w:tr>
        <w:tc>
          <w:tcPr>
            <w:tcW w:type="dxa" w:w="2160"/>
          </w:tcPr>
          <w:p>
            <w:pPr>
              <w:jc w:val="center"/>
            </w:pPr>
            <w:r>
              <w:t>Top-5</w:t>
            </w:r>
          </w:p>
        </w:tc>
        <w:tc>
          <w:tcPr>
            <w:tcW w:type="dxa" w:w="1728"/>
          </w:tcPr>
          <w:p>
            <w:pPr>
              <w:jc w:val="center"/>
            </w:pPr>
            <w:r>
              <w:t>46.8</w:t>
            </w:r>
          </w:p>
        </w:tc>
        <w:tc>
          <w:tcPr>
            <w:tcW w:type="dxa" w:w="1728"/>
          </w:tcPr>
          <w:p>
            <w:pPr>
              <w:jc w:val="center"/>
            </w:pPr>
            <w:r>
              <w:t>16.4</w:t>
            </w:r>
          </w:p>
        </w:tc>
        <w:tc>
          <w:tcPr>
            <w:tcW w:type="dxa" w:w="1440"/>
          </w:tcPr>
          <w:p>
            <w:pPr>
              <w:jc w:val="center"/>
            </w:pPr>
            <w:r>
              <w:t>5</w:t>
            </w:r>
          </w:p>
        </w:tc>
        <w:tc>
          <w:tcPr>
            <w:tcW w:type="dxa" w:w="1872"/>
          </w:tcPr>
          <w:p>
            <w:pPr>
              <w:jc w:val="center"/>
            </w:pPr>
            <w:r>
              <w:t>98.0</w:t>
            </w:r>
          </w:p>
        </w:tc>
      </w:tr>
      <w:tr>
        <w:tc>
          <w:tcPr>
            <w:tcW w:type="dxa" w:w="2160"/>
          </w:tcPr>
          <w:p>
            <w:pPr>
              <w:jc w:val="center"/>
            </w:pPr>
            <w:r>
              <w:t>Top-10</w:t>
            </w:r>
          </w:p>
        </w:tc>
        <w:tc>
          <w:tcPr>
            <w:tcW w:type="dxa" w:w="1728"/>
          </w:tcPr>
          <w:p>
            <w:pPr>
              <w:jc w:val="center"/>
            </w:pPr>
            <w:r>
              <w:t>60.7</w:t>
            </w:r>
          </w:p>
        </w:tc>
        <w:tc>
          <w:tcPr>
            <w:tcW w:type="dxa" w:w="1728"/>
          </w:tcPr>
          <w:p>
            <w:pPr>
              <w:jc w:val="center"/>
            </w:pPr>
            <w:r>
              <w:t>9.4 ✓</w:t>
            </w:r>
          </w:p>
        </w:tc>
        <w:tc>
          <w:tcPr>
            <w:tcW w:type="dxa" w:w="1440"/>
          </w:tcPr>
          <w:p>
            <w:pPr>
              <w:jc w:val="center"/>
            </w:pPr>
            <w:r>
              <w:t>10</w:t>
            </w:r>
          </w:p>
        </w:tc>
        <w:tc>
          <w:tcPr>
            <w:tcW w:type="dxa" w:w="1872"/>
          </w:tcPr>
          <w:p>
            <w:pPr>
              <w:jc w:val="center"/>
            </w:pPr>
            <w:r>
              <w:t>96.1</w:t>
            </w:r>
          </w:p>
        </w:tc>
      </w:tr>
      <w:tr>
        <w:tc>
          <w:tcPr>
            <w:tcW w:type="dxa" w:w="2160"/>
          </w:tcPr>
          <w:p>
            <w:pPr>
              <w:jc w:val="center"/>
            </w:pPr>
            <w:r>
              <w:t>Top-15</w:t>
            </w:r>
          </w:p>
        </w:tc>
        <w:tc>
          <w:tcPr>
            <w:tcW w:type="dxa" w:w="1728"/>
          </w:tcPr>
          <w:p>
            <w:pPr>
              <w:jc w:val="center"/>
            </w:pPr>
            <w:r>
              <w:t>66.4</w:t>
            </w:r>
          </w:p>
        </w:tc>
        <w:tc>
          <w:tcPr>
            <w:tcW w:type="dxa" w:w="1728"/>
          </w:tcPr>
          <w:p>
            <w:pPr>
              <w:jc w:val="center"/>
            </w:pPr>
            <w:r>
              <w:t>6.2 ✓</w:t>
            </w:r>
          </w:p>
        </w:tc>
        <w:tc>
          <w:tcPr>
            <w:tcW w:type="dxa" w:w="1440"/>
          </w:tcPr>
          <w:p>
            <w:pPr>
              <w:jc w:val="center"/>
            </w:pPr>
            <w:r>
              <w:t>15</w:t>
            </w:r>
          </w:p>
        </w:tc>
        <w:tc>
          <w:tcPr>
            <w:tcW w:type="dxa" w:w="1872"/>
          </w:tcPr>
          <w:p>
            <w:pPr>
              <w:jc w:val="center"/>
            </w:pPr>
            <w:r>
              <w:t>94.1</w:t>
            </w:r>
          </w:p>
        </w:tc>
      </w:tr>
      <w:tr>
        <w:tc>
          <w:tcPr>
            <w:tcW w:type="dxa" w:w="2160"/>
          </w:tcPr>
          <w:p>
            <w:pPr>
              <w:jc w:val="center"/>
            </w:pPr>
            <w:r>
              <w:t>Static Power CRC</w:t>
            </w:r>
          </w:p>
        </w:tc>
        <w:tc>
          <w:tcPr>
            <w:tcW w:type="dxa" w:w="1728"/>
          </w:tcPr>
          <w:p>
            <w:pPr>
              <w:jc w:val="center"/>
            </w:pPr>
            <w:r>
              <w:t>—</w:t>
            </w:r>
          </w:p>
        </w:tc>
        <w:tc>
          <w:tcPr>
            <w:tcW w:type="dxa" w:w="1728"/>
          </w:tcPr>
          <w:p>
            <w:pPr>
              <w:jc w:val="center"/>
            </w:pPr>
            <w:r>
              <w:t>4.6 ✓</w:t>
            </w:r>
          </w:p>
        </w:tc>
        <w:tc>
          <w:tcPr>
            <w:tcW w:type="dxa" w:w="1440"/>
          </w:tcPr>
          <w:p>
            <w:pPr>
              <w:jc w:val="center"/>
            </w:pPr>
            <w:r>
              <w:t>32</w:t>
            </w:r>
          </w:p>
        </w:tc>
        <w:tc>
          <w:tcPr>
            <w:tcW w:type="dxa" w:w="1872"/>
          </w:tcPr>
          <w:p>
            <w:pPr>
              <w:jc w:val="center"/>
            </w:pPr>
            <w:r>
              <w:t>87.4</w:t>
            </w:r>
          </w:p>
        </w:tc>
      </w:tr>
      <w:tr>
        <w:tc>
          <w:tcPr>
            <w:tcW w:type="dxa" w:w="2160"/>
          </w:tcPr>
          <w:p>
            <w:pPr>
              <w:jc w:val="center"/>
            </w:pPr>
            <w:r>
              <w:t>Online ACI</w:t>
            </w:r>
          </w:p>
        </w:tc>
        <w:tc>
          <w:tcPr>
            <w:tcW w:type="dxa" w:w="1728"/>
          </w:tcPr>
          <w:p>
            <w:pPr>
              <w:jc w:val="center"/>
            </w:pPr>
            <w:r>
              <w:t>—</w:t>
            </w:r>
          </w:p>
        </w:tc>
        <w:tc>
          <w:tcPr>
            <w:tcW w:type="dxa" w:w="1728"/>
          </w:tcPr>
          <w:p>
            <w:pPr>
              <w:jc w:val="center"/>
            </w:pPr>
            <w:r>
              <w:t>7.5 ✓</w:t>
            </w:r>
          </w:p>
        </w:tc>
        <w:tc>
          <w:tcPr>
            <w:tcW w:type="dxa" w:w="1440"/>
          </w:tcPr>
          <w:p>
            <w:pPr>
              <w:jc w:val="center"/>
            </w:pPr>
            <w:r>
              <w:t>17</w:t>
            </w:r>
          </w:p>
        </w:tc>
        <w:tc>
          <w:tcPr>
            <w:tcW w:type="dxa" w:w="1872"/>
          </w:tcPr>
          <w:p>
            <w:pPr>
              <w:jc w:val="center"/>
            </w:pPr>
            <w:r>
              <w:t>93.3</w:t>
            </w:r>
          </w:p>
        </w:tc>
      </w:tr>
      <w:tr>
        <w:tc>
          <w:tcPr>
            <w:tcW w:type="dxa" w:w="2160"/>
          </w:tcPr>
          <w:p>
            <w:pPr>
              <w:jc w:val="center"/>
            </w:pPr>
            <w:r>
              <w:t>Conformal PID</w:t>
            </w:r>
          </w:p>
        </w:tc>
        <w:tc>
          <w:tcPr>
            <w:tcW w:type="dxa" w:w="1728"/>
          </w:tcPr>
          <w:p>
            <w:pPr>
              <w:jc w:val="center"/>
            </w:pPr>
            <w:r>
              <w:t>—</w:t>
            </w:r>
          </w:p>
        </w:tc>
        <w:tc>
          <w:tcPr>
            <w:tcW w:type="dxa" w:w="1728"/>
          </w:tcPr>
          <w:p>
            <w:pPr>
              <w:jc w:val="center"/>
            </w:pPr>
            <w:r>
              <w:t>8.6 ✓</w:t>
            </w:r>
          </w:p>
        </w:tc>
        <w:tc>
          <w:tcPr>
            <w:tcW w:type="dxa" w:w="1440"/>
          </w:tcPr>
          <w:p>
            <w:pPr>
              <w:jc w:val="center"/>
            </w:pPr>
            <w:r>
              <w:t>49</w:t>
            </w:r>
          </w:p>
        </w:tc>
        <w:tc>
          <w:tcPr>
            <w:tcW w:type="dxa" w:w="1872"/>
          </w:tcPr>
          <w:p>
            <w:pPr>
              <w:jc w:val="center"/>
            </w:pPr>
            <w:r>
              <w:t>81.0</w:t>
            </w:r>
          </w:p>
        </w:tc>
      </w:tr>
      <w:tr>
        <w:tc>
          <w:tcPr>
            <w:tcW w:type="dxa" w:w="2160"/>
          </w:tcPr>
          <w:p>
            <w:pPr>
              <w:jc w:val="center"/>
            </w:pPr>
            <w:r>
              <w:t>Exact-label CRC</w:t>
            </w:r>
          </w:p>
        </w:tc>
        <w:tc>
          <w:tcPr>
            <w:tcW w:type="dxa" w:w="1728"/>
          </w:tcPr>
          <w:p>
            <w:pPr>
              <w:jc w:val="center"/>
            </w:pPr>
            <w:r>
              <w:t>95.6</w:t>
            </w:r>
          </w:p>
        </w:tc>
        <w:tc>
          <w:tcPr>
            <w:tcW w:type="dxa" w:w="1728"/>
          </w:tcPr>
          <w:p>
            <w:pPr>
              <w:jc w:val="center"/>
            </w:pPr>
            <w:r>
              <w:t>4.4 ✓</w:t>
            </w:r>
          </w:p>
        </w:tc>
        <w:tc>
          <w:tcPr>
            <w:tcW w:type="dxa" w:w="1440"/>
          </w:tcPr>
          <w:p>
            <w:pPr>
              <w:jc w:val="center"/>
            </w:pPr>
            <w:r>
              <w:t>168</w:t>
            </w:r>
          </w:p>
        </w:tc>
        <w:tc>
          <w:tcPr>
            <w:tcW w:type="dxa" w:w="1872"/>
          </w:tcPr>
          <w:p>
            <w:pPr>
              <w:jc w:val="center"/>
            </w:pPr>
            <w:r>
              <w:t>34.4</w:t>
            </w:r>
          </w:p>
        </w:tc>
      </w:tr>
    </w:tbl>
    <w:p>
      <w:pPr>
        <w:jc w:val="center"/>
      </w:pPr>
      <w:r>
        <w:rPr>
          <w:i/>
          <w:sz w:val="20"/>
        </w:rPr>
        <w:t>Table 5: Candidate set results. Target α = 0.10. ✓ = satisfies target.</w:t>
      </w:r>
    </w:p>
    <w:p/>
    <w:p>
      <w:pPr>
        <w:jc w:val="center"/>
      </w:pPr>
      <w:r>
        <w:drawing>
          <wp:inline xmlns:a="http://schemas.openxmlformats.org/drawingml/2006/main" xmlns:pic="http://schemas.openxmlformats.org/drawingml/2006/picture">
            <wp:extent cx="5486400" cy="1714500"/>
            <wp:docPr id="19" name="Picture 19"/>
            <wp:cNvGraphicFramePr>
              <a:graphicFrameLocks noChangeAspect="1"/>
            </wp:cNvGraphicFramePr>
            <a:graphic>
              <a:graphicData uri="http://schemas.openxmlformats.org/drawingml/2006/picture">
                <pic:pic>
                  <pic:nvPicPr>
                    <pic:cNvPr id="0" name="fig_candidate_sets.png"/>
                    <pic:cNvPicPr/>
                  </pic:nvPicPr>
                  <pic:blipFill>
                    <a:blip r:embed="rId27"/>
                    <a:stretch>
                      <a:fillRect/>
                    </a:stretch>
                  </pic:blipFill>
                  <pic:spPr>
                    <a:xfrm>
                      <a:off x="0" y="0"/>
                      <a:ext cx="5486400" cy="1714500"/>
                    </a:xfrm>
                    <a:prstGeom prst="rect"/>
                  </pic:spPr>
                </pic:pic>
              </a:graphicData>
            </a:graphic>
          </wp:inline>
        </w:drawing>
      </w:r>
    </w:p>
    <w:p>
      <w:pPr>
        <w:jc w:val="center"/>
      </w:pPr>
      <w:r>
        <w:rPr>
          <w:i/>
          <w:sz w:val="20"/>
        </w:rPr>
        <w:t>Figure 17: Left: Miss rate vs k. Centre: Exact inclusion vs k. Right: Pareto front — ACI achieves best efficiency.</w:t>
      </w:r>
    </w:p>
    <w:p>
      <w:pPr>
        <w:pStyle w:val="Heading2"/>
        <w:jc w:val="left"/>
      </w:pPr>
      <w:r>
        <w:t>6.5 Online Controller Analysis</w:t>
      </w:r>
    </w:p>
    <w:p>
      <w:r>
        <w:rPr>
          <w:b w:val="0"/>
        </w:rPr>
        <w:t>All three controllers satisfy the 10% miss rate target. ACI is most probe-efficient: 7.5% miss at 17 probes (93.3% search reduction). Reliability curves show both controllers tracking the target throughout the test stream.</w:t>
      </w:r>
    </w:p>
    <w:p>
      <w:pPr>
        <w:jc w:val="center"/>
      </w:pPr>
      <w:r>
        <w:drawing>
          <wp:inline xmlns:a="http://schemas.openxmlformats.org/drawingml/2006/main" xmlns:pic="http://schemas.openxmlformats.org/drawingml/2006/picture">
            <wp:extent cx="5486400" cy="2743200"/>
            <wp:docPr id="20" name="Picture 20"/>
            <wp:cNvGraphicFramePr>
              <a:graphicFrameLocks noChangeAspect="1"/>
            </wp:cNvGraphicFramePr>
            <a:graphic>
              <a:graphicData uri="http://schemas.openxmlformats.org/drawingml/2006/picture">
                <pic:pic>
                  <pic:nvPicPr>
                    <pic:cNvPr id="0" name="reliability_curves.png"/>
                    <pic:cNvPicPr/>
                  </pic:nvPicPr>
                  <pic:blipFill>
                    <a:blip r:embed="rId28"/>
                    <a:stretch>
                      <a:fillRect/>
                    </a:stretch>
                  </pic:blipFill>
                  <pic:spPr>
                    <a:xfrm>
                      <a:off x="0" y="0"/>
                      <a:ext cx="5486400" cy="2743200"/>
                    </a:xfrm>
                    <a:prstGeom prst="rect"/>
                  </pic:spPr>
                </pic:pic>
              </a:graphicData>
            </a:graphic>
          </wp:inline>
        </w:drawing>
      </w:r>
    </w:p>
    <w:p>
      <w:pPr>
        <w:jc w:val="center"/>
      </w:pPr>
      <w:r>
        <w:rPr>
          <w:i/>
          <w:sz w:val="20"/>
        </w:rPr>
        <w:t>Figure 18: Rolling miss rate (100-step window) for ACI and Conformal PID. Both track the 10% target.</w:t>
      </w:r>
    </w:p>
    <w:p>
      <w:pPr>
        <w:jc w:val="center"/>
      </w:pPr>
      <w:r>
        <w:drawing>
          <wp:inline xmlns:a="http://schemas.openxmlformats.org/drawingml/2006/main" xmlns:pic="http://schemas.openxmlformats.org/drawingml/2006/picture">
            <wp:extent cx="4114800" cy="2351314"/>
            <wp:docPr id="21" name="Picture 21"/>
            <wp:cNvGraphicFramePr>
              <a:graphicFrameLocks noChangeAspect="1"/>
            </wp:cNvGraphicFramePr>
            <a:graphic>
              <a:graphicData uri="http://schemas.openxmlformats.org/drawingml/2006/picture">
                <pic:pic>
                  <pic:nvPicPr>
                    <pic:cNvPr id="0" name="fig_multi_delta.png"/>
                    <pic:cNvPicPr/>
                  </pic:nvPicPr>
                  <pic:blipFill>
                    <a:blip r:embed="rId29"/>
                    <a:stretch>
                      <a:fillRect/>
                    </a:stretch>
                  </pic:blipFill>
                  <pic:spPr>
                    <a:xfrm>
                      <a:off x="0" y="0"/>
                      <a:ext cx="4114800" cy="2351314"/>
                    </a:xfrm>
                    <a:prstGeom prst="rect"/>
                  </pic:spPr>
                </pic:pic>
              </a:graphicData>
            </a:graphic>
          </wp:inline>
        </w:drawing>
      </w:r>
    </w:p>
    <w:p>
      <w:pPr>
        <w:jc w:val="center"/>
      </w:pPr>
      <w:r>
        <w:rPr>
          <w:i/>
          <w:sz w:val="20"/>
        </w:rPr>
        <w:t>Figure 19: Top-5 coverage at 0/1/3 dB thresholds. 83.6% coverage within 3 dB with only 5 probes.</w:t>
      </w:r>
    </w:p>
    <w:p>
      <w:pPr>
        <w:pStyle w:val="Heading2"/>
        <w:jc w:val="left"/>
      </w:pPr>
      <w:r>
        <w:t>6.6 Statistical Significance</w:t>
      </w:r>
    </w:p>
    <w:p>
      <w:r>
        <w:rPr>
          <w:b w:val="0"/>
        </w:rPr>
        <w:t>Paired trajectory-block bootstrap (n_boot=300, whole trajectory blocks resampled — not frames): P3 significantly outperforms P1 — mean +6.35%, 95% CI [+1.38%, +8.18%]. CI excludes zero: significant at the 5% level. Frame-level bootstrap was deliberately avoided as it understates variance by breaking temporal autocorrelation within trajectories.</w:t>
      </w:r>
    </w:p>
    <w:p>
      <w:pPr>
        <w:pStyle w:val="Heading2"/>
        <w:jc w:val="left"/>
      </w:pPr>
      <w:r>
        <w:t>6.7 Ablation Study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872"/>
          </w:tcPr>
          <w:p>
            <w:pPr>
              <w:jc w:val="center"/>
            </w:pPr>
            <w:r>
              <w:rPr>
                <w:b/>
              </w:rPr>
              <w:t>Transition</w:t>
            </w:r>
          </w:p>
        </w:tc>
        <w:tc>
          <w:tcPr>
            <w:tcW w:type="dxa" w:w="2592"/>
          </w:tcPr>
          <w:p>
            <w:pPr>
              <w:jc w:val="center"/>
            </w:pPr>
            <w:r>
              <w:rPr>
                <w:b/>
              </w:rPr>
              <w:t>Change Added</w:t>
            </w:r>
          </w:p>
        </w:tc>
        <w:tc>
          <w:tcPr>
            <w:tcW w:type="dxa" w:w="2448"/>
          </w:tcPr>
          <w:p>
            <w:pPr>
              <w:jc w:val="center"/>
            </w:pPr>
            <w:r>
              <w:rPr>
                <w:b/>
              </w:rPr>
              <w:t>Top-5 Effect</w:t>
            </w:r>
          </w:p>
        </w:tc>
        <w:tc>
          <w:tcPr>
            <w:tcW w:type="dxa" w:w="2448"/>
          </w:tcPr>
          <w:p>
            <w:pPr>
              <w:jc w:val="center"/>
            </w:pPr>
            <w:r>
              <w:rPr>
                <w:b/>
              </w:rPr>
              <w:t>APL Effect</w:t>
            </w:r>
          </w:p>
        </w:tc>
      </w:tr>
      <w:tr>
        <w:tc>
          <w:tcPr>
            <w:tcW w:type="dxa" w:w="1872"/>
          </w:tcPr>
          <w:p>
            <w:pPr>
              <w:jc w:val="center"/>
            </w:pPr>
            <w:r>
              <w:t>B1→B3</w:t>
            </w:r>
          </w:p>
        </w:tc>
        <w:tc>
          <w:tcPr>
            <w:tcW w:type="dxa" w:w="2592"/>
          </w:tcPr>
          <w:p>
            <w:pPr>
              <w:jc w:val="center"/>
            </w:pPr>
            <w:r>
              <w:t>+RGB (Gated Fusion)</w:t>
            </w:r>
          </w:p>
        </w:tc>
        <w:tc>
          <w:tcPr>
            <w:tcW w:type="dxa" w:w="2448"/>
          </w:tcPr>
          <w:p>
            <w:pPr>
              <w:jc w:val="center"/>
            </w:pPr>
            <w:r>
              <w:t>15.3%→31.1% (+15.8 pp)</w:t>
            </w:r>
          </w:p>
        </w:tc>
        <w:tc>
          <w:tcPr>
            <w:tcW w:type="dxa" w:w="2448"/>
          </w:tcPr>
          <w:p>
            <w:pPr>
              <w:jc w:val="center"/>
            </w:pPr>
            <w:r>
              <w:t>14.17→7.29 dB (−6.9 dB)</w:t>
            </w:r>
          </w:p>
        </w:tc>
      </w:tr>
      <w:tr>
        <w:tc>
          <w:tcPr>
            <w:tcW w:type="dxa" w:w="1872"/>
          </w:tcPr>
          <w:p>
            <w:pPr>
              <w:jc w:val="center"/>
            </w:pPr>
            <w:r>
              <w:t>B3→P1</w:t>
            </w:r>
          </w:p>
        </w:tc>
        <w:tc>
          <w:tcPr>
            <w:tcW w:type="dxa" w:w="2592"/>
          </w:tcPr>
          <w:p>
            <w:pPr>
              <w:jc w:val="center"/>
            </w:pPr>
            <w:r>
              <w:t>+Transformer fusion</w:t>
            </w:r>
          </w:p>
        </w:tc>
        <w:tc>
          <w:tcPr>
            <w:tcW w:type="dxa" w:w="2448"/>
          </w:tcPr>
          <w:p>
            <w:pPr>
              <w:jc w:val="center"/>
            </w:pPr>
            <w:r>
              <w:t>31.1%→41.6% (+10.6 pp)</w:t>
            </w:r>
          </w:p>
        </w:tc>
        <w:tc>
          <w:tcPr>
            <w:tcW w:type="dxa" w:w="2448"/>
          </w:tcPr>
          <w:p>
            <w:pPr>
              <w:jc w:val="center"/>
            </w:pPr>
            <w:r>
              <w:t>7.29→12.33 dB (test shift*)</w:t>
            </w:r>
          </w:p>
        </w:tc>
      </w:tr>
      <w:tr>
        <w:tc>
          <w:tcPr>
            <w:tcW w:type="dxa" w:w="1872"/>
          </w:tcPr>
          <w:p>
            <w:pPr>
              <w:jc w:val="center"/>
            </w:pPr>
            <w:r>
              <w:t>P1→P3</w:t>
            </w:r>
          </w:p>
        </w:tc>
        <w:tc>
          <w:tcPr>
            <w:tcW w:type="dxa" w:w="2592"/>
          </w:tcPr>
          <w:p>
            <w:pPr>
              <w:jc w:val="center"/>
            </w:pPr>
            <w:r>
              <w:t>+Profile supervision</w:t>
            </w:r>
          </w:p>
        </w:tc>
        <w:tc>
          <w:tcPr>
            <w:tcW w:type="dxa" w:w="2448"/>
          </w:tcPr>
          <w:p>
            <w:pPr>
              <w:jc w:val="center"/>
            </w:pPr>
            <w:r>
              <w:t>41.6%→46.8% (+5.2 pp)</w:t>
            </w:r>
          </w:p>
        </w:tc>
        <w:tc>
          <w:tcPr>
            <w:tcW w:type="dxa" w:w="2448"/>
          </w:tcPr>
          <w:p>
            <w:pPr>
              <w:jc w:val="center"/>
            </w:pPr>
            <w:r>
              <w:t>Profile MAE: 36→2.49 dB</w:t>
            </w:r>
          </w:p>
        </w:tc>
      </w:tr>
    </w:tbl>
    <w:p>
      <w:pPr>
        <w:jc w:val="center"/>
      </w:pPr>
      <w:r>
        <w:rPr>
          <w:i/>
          <w:sz w:val="20"/>
        </w:rPr>
        <w:t>Table 6: Ablation study. *B3→P1 APL increase reflects test-set geometry shift, not regression.</w:t>
      </w:r>
    </w:p>
    <w:p/>
    <w:p>
      <w:pPr>
        <w:pStyle w:val="Heading2"/>
        <w:jc w:val="left"/>
      </w:pPr>
      <w:r>
        <w:t>6.8 Error Analysis</w:t>
      </w:r>
    </w:p>
    <w:p>
      <w:pPr>
        <w:pStyle w:val="ListBullet"/>
      </w:pPr>
      <w:r>
        <w:rPr>
          <w:b/>
        </w:rPr>
        <w:t xml:space="preserve">Issue 1: </w:t>
      </w:r>
      <w:r>
        <w:t>Test geometry shift: 3 test blocks differ from training → P3 Top-5 seed range 20.3%–46.8%. Data-size limitation, not model failure.</w:t>
      </w:r>
    </w:p>
    <w:p>
      <w:pPr>
        <w:pStyle w:val="ListBullet"/>
      </w:pPr>
      <w:r>
        <w:rPr>
          <w:b/>
        </w:rPr>
        <w:t xml:space="preserve">Issue 2: </w:t>
      </w:r>
      <w:r>
        <w:t>Rare beams: profile head over-predicts gaps for beams far from optimal (rare in training). Smoothness penalty partially mitigates this.</w:t>
      </w:r>
    </w:p>
    <w:p>
      <w:pPr>
        <w:pStyle w:val="ListBullet"/>
      </w:pPr>
      <w:r>
        <w:rPr>
          <w:b/>
        </w:rPr>
        <w:t xml:space="preserve">Issue 3: </w:t>
      </w:r>
      <w:r>
        <w:t>Seed 13 early stopping: stopped at epoch 22 with lower val accuracy → pulls down the 3-seed mean (32.8%) vs best-seed (46.8%).</w:t>
      </w:r>
    </w:p>
    <w:p/>
    <w:p>
      <w:pPr>
        <w:pStyle w:val="Heading1"/>
        <w:jc w:val="left"/>
      </w:pPr>
      <w:r>
        <w:t>7. Conclusion and Future Work</w:t>
      </w:r>
    </w:p>
    <w:p>
      <w:pPr>
        <w:pStyle w:val="Heading2"/>
        <w:jc w:val="left"/>
      </w:pPr>
      <w:r>
        <w:t>7.1 Conclusion</w:t>
      </w:r>
    </w:p>
    <w:p>
      <w:r>
        <w:rPr>
          <w:b w:val="0"/>
        </w:rPr>
        <w:t>This work proposed P3, a multi-task model predicting the complete 256-beam power-gap profile from temporal RGB+GPS, and ACI, an online risk controller maintaining a near-optimal-beam miss rate target during deployment. On DeepSense 6G Scenario 36: P3 profile MAE 2.49 dB (below floor 3.11 dB), Top-5 46.8% (3.1× GPS-only), APL 10.17 dB (−4.0 dB vs B1), ACI 7.5% miss at 17 probes (93% search reduction). Paired bootstrap: +6.35% CI [+1.38%, +8.18%], significant. RQ1: profile supervision improves candidate-set quality (14.5× MAE reduction). RQ2: online ACI outperforms static CRC with fewer probes. RQ3: RGB+GPS outperforms GPS-only by 4 dB APL.</w:t>
      </w:r>
    </w:p>
    <w:p>
      <w:pPr>
        <w:pStyle w:val="Heading2"/>
        <w:jc w:val="left"/>
      </w:pPr>
      <w:r>
        <w:t>7.2 Limitations</w:t>
      </w:r>
    </w:p>
    <w:p>
      <w:pPr>
        <w:pStyle w:val="ListBullet"/>
      </w:pPr>
      <w:r>
        <w:t>Scenario 36 only (24,799 samples). Full evaluation across Scenarios 36–39 (~112,000 samples) needed.</w:t>
      </w:r>
    </w:p>
    <w:p>
      <w:pPr>
        <w:pStyle w:val="ListBullet"/>
      </w:pPr>
      <w:r>
        <w:t>Small test set (3 blocks) causes high seed variance — report CIs, not just means.</w:t>
      </w:r>
    </w:p>
    <w:p>
      <w:pPr>
        <w:pStyle w:val="ListBullet"/>
      </w:pPr>
      <w:r>
        <w:t>Static CRC guarantee needs exchangeability — chronological splitting prevents leakage but does not provide it.</w:t>
      </w:r>
    </w:p>
    <w:p>
      <w:pPr>
        <w:pStyle w:val="Heading2"/>
        <w:jc w:val="left"/>
      </w:pPr>
      <w:r>
        <w:t>7.3 Future Work</w:t>
      </w:r>
    </w:p>
    <w:p>
      <w:pPr>
        <w:pStyle w:val="ListBullet"/>
      </w:pPr>
      <w:r>
        <w:t>Scale to Scenarios 36–39 for more test blocks and tighter CIs.</w:t>
      </w:r>
    </w:p>
    <w:p>
      <w:pPr>
        <w:pStyle w:val="ListBullet"/>
      </w:pPr>
      <w:r>
        <w:t>5-seed protocol with paired bootstrap across the full baseline set.</w:t>
      </w:r>
    </w:p>
    <w:p>
      <w:pPr>
        <w:pStyle w:val="ListBullet"/>
      </w:pPr>
      <w:r>
        <w:t>Weighted CRC under covariate shift for formal coverage guarantees under distribution change.</w:t>
      </w:r>
    </w:p>
    <w:p>
      <w:pPr>
        <w:pStyle w:val="ListBullet"/>
      </w:pPr>
      <w:r>
        <w:t>Missing modality robustness with masking strategies.</w:t>
      </w:r>
    </w:p>
    <w:p>
      <w:pPr>
        <w:pStyle w:val="ListBullet"/>
      </w:pPr>
      <w:r>
        <w:t>Low-dimensional profile parameterization (peak angle + basis coefficients).</w:t>
      </w:r>
    </w:p>
    <w:p>
      <w:pPr>
        <w:pStyle w:val="ListBullet"/>
      </w:pPr>
      <w:r>
        <w:t>End-to-end spectral efficiency metric accounting for inference latency and probing overhead.</w:t>
      </w:r>
    </w:p>
    <w:p/>
    <w:p>
      <w:pPr>
        <w:pStyle w:val="Heading1"/>
        <w:jc w:val="left"/>
      </w:pPr>
      <w:r>
        <w:t>References</w:t>
      </w:r>
    </w:p>
    <w:p>
      <w:pPr>
        <w:spacing w:after="80"/>
        <w:ind w:left="432" w:hanging="432"/>
      </w:pPr>
      <w:r>
        <w:t>[1] DeepSense 6G Challenge. "Multi-Modal V2V Beam Prediction Task." Available: https://deepsense6g.net.</w:t>
      </w:r>
    </w:p>
    <w:p>
      <w:pPr>
        <w:spacing w:after="80"/>
        <w:ind w:left="432" w:hanging="432"/>
      </w:pPr>
      <w:r>
        <w:t>[2] H. Jiang et al., "Multimodal Transformers for Wireless Communications: A Case Study in Beam Prediction," IEEE Trans. Wireless Commun., 2023.</w:t>
      </w:r>
    </w:p>
    <w:p>
      <w:pPr>
        <w:spacing w:after="80"/>
        <w:ind w:left="432" w:hanging="432"/>
      </w:pPr>
      <w:r>
        <w:t>[3] SCAN-BEST, "Candidate Beam Subset Selection with Conformal Risk Control," arXiv, 2025/2026.</w:t>
      </w:r>
    </w:p>
    <w:p>
      <w:pPr>
        <w:spacing w:after="80"/>
        <w:ind w:left="432" w:hanging="432"/>
      </w:pPr>
      <w:r>
        <w:t>[4] I. Gibbs and E. Candès, "Adaptive Conformal Inference Under Distribution Shift," NeurIPS, 2021.</w:t>
      </w:r>
    </w:p>
    <w:p>
      <w:pPr>
        <w:spacing w:after="80"/>
        <w:ind w:left="432" w:hanging="432"/>
      </w:pPr>
      <w:r>
        <w:t>[5] A. N. Angelopoulos, E. J. Candès, and R. J. Tibshirani, "Conformal PID Control for Time Series Prediction," NeurIPS, 2023.</w:t>
      </w:r>
    </w:p>
    <w:p>
      <w:pPr>
        <w:spacing w:after="80"/>
        <w:ind w:left="432" w:hanging="432"/>
      </w:pPr>
      <w:r>
        <w:t>[6] CLBP, "Cross-Modal Loss-Tolerant Beam Prediction under Missing/Degraded Modalities," IEEE Trans. Mobile Comput., 2026.</w:t>
      </w:r>
    </w:p>
    <w:p>
      <w:pPr>
        <w:spacing w:after="80"/>
        <w:ind w:left="432" w:hanging="432"/>
      </w:pPr>
      <w:r>
        <w:t>[7] AMBER, "Adaptive Multimodal Masked-Transformer Beam Prediction Robust to Missing Modalities," arXiv, 2025.</w:t>
      </w:r>
    </w:p>
    <w:p>
      <w:pPr>
        <w:spacing w:after="80"/>
        <w:ind w:left="432" w:hanging="432"/>
      </w:pPr>
      <w:r>
        <w:t>[8] H. Salehi et al., "Sensing-Assisted Adaptive Beam Probing With Calibrated Multimodal Priors," IEEE Wireless Commun. Lett., 2026.</w:t>
      </w:r>
    </w:p>
    <w:p>
      <w:pPr>
        <w:spacing w:after="80"/>
        <w:ind w:left="432" w:hanging="432"/>
      </w:pPr>
      <w:r>
        <w:t>[9] Y. Zhang et al., "Lightweight Vision-Aided Beam Tracking for Cross-Environment mmWave Communications," arXiv, 2026.</w:t>
      </w:r>
    </w:p>
    <w:p>
      <w:pPr>
        <w:spacing w:after="80"/>
        <w:ind w:left="432" w:hanging="432"/>
      </w:pPr>
      <w:r>
        <w:t>[10] J. Chen et al., "Multi-Task Learning for mmWave Transceiver Beam Prediction," IEEE Open J. Commun. Soc., 2025.</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