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Trajectory-Adaptive Power-Profile Conformal Beam Tracking</w:t>
        <w:br/>
        <w:t>from Synchronized RGB and GPS for Reliable V2V mmWave Communications</w:t>
      </w:r>
    </w:p>
    <w:p/>
    <w:p>
      <w:pPr>
        <w:jc w:val="center"/>
      </w:pPr>
      <w:r>
        <w:rPr>
          <w:sz w:val="24"/>
        </w:rPr>
        <w:t>Course Project Report</w:t>
        <w:br/>
        <w:t>Department of Computer Science and Engineering</w:t>
      </w:r>
    </w:p>
    <w:p/>
    <w:p>
      <w:pPr>
        <w:jc w:val="center"/>
      </w:pPr>
      <w:r>
        <w:rPr>
          <w:b/>
        </w:rPr>
        <w:t>Moazzem Hossain Majumder</w:t>
      </w:r>
    </w:p>
    <w:p>
      <w:r>
        <w:br w:type="page"/>
      </w:r>
    </w:p>
    <w:p>
      <w:pPr>
        <w:pStyle w:val="Heading1"/>
        <w:jc w:val="left"/>
      </w:pPr>
      <w:r>
        <w:t>Abstract</w:t>
      </w:r>
    </w:p>
    <w:p>
      <w:r>
        <w:rPr>
          <w:b w:val="0"/>
          <w:i w:val="0"/>
        </w:rPr>
        <w:t>Exhaustive beam training over 256 receive beams creates significant overhead and latency in high-mobility 60 GHz Vehicle-to-Vehicle (V2V) millimeter-wave (mmWave) communications. Existing approaches predict either the single best beam or a static calibrated subset, but none predict the complete future beam-power landscape while simultaneously adapting the candidate-set threshold online as vehicle trajectories evolve. This work proposes a multi-task deep learning architecture, P3, that jointly predicts a 256-class beam classification head and a 256-value power-gap profile head from five synchronized historical RGB camera frames and GPS measurements using a ResNet-18 encoder, a Bidirectional GRU GPS encoder, and a Pre-Layer-Normalization Transformer fusion module. The predicted profile feeds an Adaptive Conformal Inference (ACI) online risk controller that maintains a near-optimal-beam miss rate target adaptively during deployment. Evaluated on DeepSense 6G Scenario 36 (24,799 V2V samples, US testbed), P3 achieves a profile Mean Absolute Error (MAE) of 2.49 dB, beating the theoretical mean-profile floor of 3.11 dB, and a Top-5 accuracy of 46.8%, which is 2.3x the GPS-only baseline. The ACI controller maintains a 7.5% miss rate at only 17 average probes, achieving 93% search reduction versus full 256-beam scanning. A paired trajectory-block bootstrap significance test confirms P3 significantly outperforms the classification-only baseline P1 (+6.35%, 95% CI: [+1.38%, +8.18%]).</w:t>
      </w:r>
    </w:p>
    <w:p/>
    <w:p>
      <w:pPr>
        <w:pStyle w:val="Heading1"/>
        <w:jc w:val="left"/>
      </w:pPr>
      <w:r>
        <w:t>1. Introduction</w:t>
      </w:r>
    </w:p>
    <w:p>
      <w:r>
        <w:rPr>
          <w:b w:val="0"/>
          <w:i w:val="0"/>
        </w:rPr>
        <w:t>The deployment of 5G and emerging 6G networks increasingly relies on millimeter-wave (mmWave) frequencies to deliver the high data rates required for applications such as autonomous vehicles, augmented reality, and dense urban broadband. In Vehicle-to-Vehicle (V2V) mmWave communication at 60 GHz, highly directional antenna arrays with hundreds of beams must be periodically aligned between transmitter and receiver. The standard approach—exhaustive beam sweeping over all 256 beams—introduces unacceptable overhead and latency in high-mobility scenarios where vehicles travel at highway speeds and the optimal beam changes rapidly.</w:t>
      </w:r>
    </w:p>
    <w:p>
      <w:r>
        <w:rPr>
          <w:b w:val="0"/>
          <w:i w:val="0"/>
        </w:rPr>
        <w:t>The core problem this work addresses is: given five historical synchronized RGB camera frames and GPS positions from both vehicles, can we accurately predict the full future 256-beam receive-power landscape, and can we use that prediction to construct a small candidate set of beams that is guaranteed—with high probability—to contain a near-optimal beam? Moreover, can we maintain that guarantee online, as the vehicle's trajectory, lighting, and motion regime change continuously during a trip?</w:t>
      </w:r>
    </w:p>
    <w:p>
      <w:r>
        <w:rPr>
          <w:b w:val="0"/>
          <w:i w:val="0"/>
        </w:rPr>
        <w:t>Prior work has addressed parts of this problem: predicting the single best beam from multi-modal sensing data, applying conformal risk control to select calibrated beam subsets, and building models robust to missing modalities. However, to the best of our literature review, no prior work simultaneously: (1) predicts the complete future 256-beam measured power-gap profile rather than a single beam or subset, and (2) pairs that profile prediction with an online trajectory-adaptive utility-risk controller that updates its threshold sequentially as new observations arrive.</w:t>
      </w:r>
    </w:p>
    <w:p>
      <w:r>
        <w:rPr>
          <w:b w:val="0"/>
          <w:i w:val="0"/>
        </w:rPr>
        <w:t>This work makes the following contributions:</w:t>
      </w:r>
    </w:p>
    <w:p>
      <w:pPr>
        <w:pStyle w:val="ListBullet"/>
      </w:pPr>
      <w:r>
        <w:t>A multi-task deep learning model (P3) that predicts both beam classification logits and a 256-value power-gap profile from temporal RGB+GPS inputs, using a smoothness loss and pairwise ranking loss to exploit the physical angular structure of the beam space.</w:t>
      </w:r>
    </w:p>
    <w:p>
      <w:pPr>
        <w:pStyle w:val="ListBullet"/>
      </w:pPr>
      <w:r>
        <w:t>An online Adaptive Conformal Inference (ACI) risk controller, implemented per Gibbs &amp; Candès (2021), that maintains a target near-optimal-beam miss rate adaptively during deployment without retraining.</w:t>
      </w:r>
    </w:p>
    <w:p>
      <w:pPr>
        <w:pStyle w:val="ListBullet"/>
      </w:pPr>
      <w:r>
        <w:t>A rigorous evaluation protocol with chronological trajectory-block splitting to prevent leakage, trajectory-block bootstrap confidence intervals, and a paired significance test—all on the real-world DeepSense 6G V2V dataset.</w:t>
      </w:r>
    </w:p>
    <w:p>
      <w:pPr>
        <w:pStyle w:val="ListBullet"/>
      </w:pPr>
      <w:r>
        <w:t>An ablation study comparing five model variants (B0, B1, B3, P1, P3) and three candidate-set controllers (Static CRC, ACI, Conformal PID) to isolate the contribution of each component.</w:t>
      </w:r>
    </w:p>
    <w:p>
      <w:r>
        <w:rPr>
          <w:b w:val="0"/>
          <w:i w:val="0"/>
        </w:rPr>
        <w:t>The rest of this report is organized as follows: Section 2 describes the dataset and preprocessing; Section 3 reviews related work; Section 4 presents the methodology; Section 5 reports results and analysis; Section 6 concludes with future directions.</w:t>
      </w:r>
    </w:p>
    <w:p/>
    <w:p>
      <w:pPr>
        <w:pStyle w:val="Heading1"/>
        <w:jc w:val="left"/>
      </w:pPr>
      <w:r>
        <w:t>2. Dataset</w:t>
      </w:r>
    </w:p>
    <w:p>
      <w:pPr>
        <w:pStyle w:val="Heading2"/>
        <w:jc w:val="left"/>
      </w:pPr>
      <w:r>
        <w:t>2.1 DeepSense 6G V2V Beam Prediction Dataset</w:t>
      </w:r>
    </w:p>
    <w:p>
      <w:r>
        <w:rPr>
          <w:b w:val="0"/>
          <w:i w:val="0"/>
        </w:rPr>
        <w:t>All experiments use the DeepSense 6G Multi-Modal V2V Beam Prediction dataset, Scenario 36, collected at a real 60 GHz V2V testbed across Tempe, Phoenix, Scottsdale, and Chandler, Arizona, USA, in both day and night conditions. The dataset is publicly available at deepsense6g.net upon registration.</w:t>
      </w:r>
    </w:p>
    <w:p>
      <w:r>
        <w:rPr>
          <w:b w:val="0"/>
          <w:i w:val="0"/>
        </w:rPr>
        <w:t>The raw dataset contains 24,799 timestamped samples. Each sample comprises synchronized observations from two moving vehicles: front-facing RGB camera frames from both vehicles, GPS positions with HDOP quality indicators, and four 64-beam receive-power measurement vectors—one per subarray—yielding a 256-beam ground-truth power profile per sample. The official best-beam label (unit1_overall-beam) identifies the index of the maximum-power beam.</w:t>
      </w:r>
    </w:p>
    <w:p>
      <w:pPr>
        <w:pStyle w:val="Heading2"/>
        <w:jc w:val="left"/>
      </w:pPr>
      <w:r>
        <w:t>2.2 Dataset Statistics</w:t>
      </w:r>
    </w:p>
    <w:p>
      <w:r>
        <w:rPr>
          <w:b w:val="0"/>
          <w:i w:val="0"/>
        </w:rPr>
        <w:t>The 24,799 raw frames span 124 trajectory runs across 19 trajectory blocks (after guard-interval merging). The beam-power reconstruction verification confirms a 100% argmax match rate: the reconstructed 256-vector argmax equals the official best-beam label for every sample. 238 of 256 beams are active (appear at least once). The majority beam (beam #162) accounts for 16.7% of raw frames.</w:t>
      </w:r>
    </w:p>
    <w:p>
      <w:r>
        <w:rPr>
          <w:b w:val="0"/>
          <w:i w:val="0"/>
        </w:rPr>
        <w:t>A critical feasibility check establishes whether candidate sets are useful: on average, 11.7 beams lie within 1 dB of the best beam (median: 3), and 29.7 beams lie within 3 dB (median: 5). This confirms that near-optimal candidate sets of size 5–15 provide substantial power efficiency while dramatically reducing probing overhead.</w:t>
      </w:r>
    </w:p>
    <w:tbl>
      <w:tblPr>
        <w:tblStyle w:val="TableGrid"/>
        <w:tblW w:type="auto" w:w="0"/>
        <w:jc w:val="center"/>
        <w:tblLook w:firstColumn="1" w:firstRow="1" w:lastColumn="0" w:lastRow="0" w:noHBand="0" w:noVBand="1" w:val="04A0"/>
      </w:tblPr>
      <w:tblGrid>
        <w:gridCol w:w="4703"/>
        <w:gridCol w:w="4703"/>
      </w:tblGrid>
      <w:tr>
        <w:tc>
          <w:tcPr>
            <w:tcW w:type="dxa" w:w="4032"/>
          </w:tcPr>
          <w:p>
            <w:pPr>
              <w:jc w:val="center"/>
            </w:pPr>
            <w:r>
              <w:rPr>
                <w:b/>
              </w:rPr>
              <w:t>Statistic</w:t>
            </w:r>
          </w:p>
        </w:tc>
        <w:tc>
          <w:tcPr>
            <w:tcW w:type="dxa" w:w="3168"/>
          </w:tcPr>
          <w:p>
            <w:pPr>
              <w:jc w:val="center"/>
            </w:pPr>
            <w:r>
              <w:rPr>
                <w:b/>
              </w:rPr>
              <w:t>Value</w:t>
            </w:r>
          </w:p>
        </w:tc>
      </w:tr>
      <w:tr>
        <w:tc>
          <w:tcPr>
            <w:tcW w:type="dxa" w:w="4032"/>
          </w:tcPr>
          <w:p>
            <w:pPr>
              <w:jc w:val="center"/>
            </w:pPr>
            <w:r>
              <w:t>Total samples</w:t>
            </w:r>
          </w:p>
        </w:tc>
        <w:tc>
          <w:tcPr>
            <w:tcW w:type="dxa" w:w="3168"/>
          </w:tcPr>
          <w:p>
            <w:pPr>
              <w:jc w:val="center"/>
            </w:pPr>
            <w:r>
              <w:t>24,799</w:t>
            </w:r>
          </w:p>
        </w:tc>
      </w:tr>
      <w:tr>
        <w:tc>
          <w:tcPr>
            <w:tcW w:type="dxa" w:w="4032"/>
          </w:tcPr>
          <w:p>
            <w:pPr>
              <w:jc w:val="center"/>
            </w:pPr>
            <w:r>
              <w:t>Trajectory runs</w:t>
            </w:r>
          </w:p>
        </w:tc>
        <w:tc>
          <w:tcPr>
            <w:tcW w:type="dxa" w:w="3168"/>
          </w:tcPr>
          <w:p>
            <w:pPr>
              <w:jc w:val="center"/>
            </w:pPr>
            <w:r>
              <w:t>124</w:t>
            </w:r>
          </w:p>
        </w:tc>
      </w:tr>
      <w:tr>
        <w:tc>
          <w:tcPr>
            <w:tcW w:type="dxa" w:w="4032"/>
          </w:tcPr>
          <w:p>
            <w:pPr>
              <w:jc w:val="center"/>
            </w:pPr>
            <w:r>
              <w:t>Trajectory blocks (after merge)</w:t>
            </w:r>
          </w:p>
        </w:tc>
        <w:tc>
          <w:tcPr>
            <w:tcW w:type="dxa" w:w="3168"/>
          </w:tcPr>
          <w:p>
            <w:pPr>
              <w:jc w:val="center"/>
            </w:pPr>
            <w:r>
              <w:t>19</w:t>
            </w:r>
          </w:p>
        </w:tc>
      </w:tr>
      <w:tr>
        <w:tc>
          <w:tcPr>
            <w:tcW w:type="dxa" w:w="4032"/>
          </w:tcPr>
          <w:p>
            <w:pPr>
              <w:jc w:val="center"/>
            </w:pPr>
            <w:r>
              <w:t>Active beam classes</w:t>
            </w:r>
          </w:p>
        </w:tc>
        <w:tc>
          <w:tcPr>
            <w:tcW w:type="dxa" w:w="3168"/>
          </w:tcPr>
          <w:p>
            <w:pPr>
              <w:jc w:val="center"/>
            </w:pPr>
            <w:r>
              <w:t>238 / 256</w:t>
            </w:r>
          </w:p>
        </w:tc>
      </w:tr>
      <w:tr>
        <w:tc>
          <w:tcPr>
            <w:tcW w:type="dxa" w:w="4032"/>
          </w:tcPr>
          <w:p>
            <w:pPr>
              <w:jc w:val="center"/>
            </w:pPr>
            <w:r>
              <w:t>Majority beam (beam #162)</w:t>
            </w:r>
          </w:p>
        </w:tc>
        <w:tc>
          <w:tcPr>
            <w:tcW w:type="dxa" w:w="3168"/>
          </w:tcPr>
          <w:p>
            <w:pPr>
              <w:jc w:val="center"/>
            </w:pPr>
            <w:r>
              <w:t>16.7% of raw frames</w:t>
            </w:r>
          </w:p>
        </w:tc>
      </w:tr>
      <w:tr>
        <w:tc>
          <w:tcPr>
            <w:tcW w:type="dxa" w:w="4032"/>
          </w:tcPr>
          <w:p>
            <w:pPr>
              <w:jc w:val="center"/>
            </w:pPr>
            <w:r>
              <w:t>Beams within 1 dB (mean / median)</w:t>
            </w:r>
          </w:p>
        </w:tc>
        <w:tc>
          <w:tcPr>
            <w:tcW w:type="dxa" w:w="3168"/>
          </w:tcPr>
          <w:p>
            <w:pPr>
              <w:jc w:val="center"/>
            </w:pPr>
            <w:r>
              <w:t>11.7 / 3</w:t>
            </w:r>
          </w:p>
        </w:tc>
      </w:tr>
      <w:tr>
        <w:tc>
          <w:tcPr>
            <w:tcW w:type="dxa" w:w="4032"/>
          </w:tcPr>
          <w:p>
            <w:pPr>
              <w:jc w:val="center"/>
            </w:pPr>
            <w:r>
              <w:t>Beams within 3 dB (mean / median)</w:t>
            </w:r>
          </w:p>
        </w:tc>
        <w:tc>
          <w:tcPr>
            <w:tcW w:type="dxa" w:w="3168"/>
          </w:tcPr>
          <w:p>
            <w:pPr>
              <w:jc w:val="center"/>
            </w:pPr>
            <w:r>
              <w:t>29.7 / 5</w:t>
            </w:r>
          </w:p>
        </w:tc>
      </w:tr>
      <w:tr>
        <w:tc>
          <w:tcPr>
            <w:tcW w:type="dxa" w:w="4032"/>
          </w:tcPr>
          <w:p>
            <w:pPr>
              <w:jc w:val="center"/>
            </w:pPr>
            <w:r>
              <w:t>Argmax reconstruction match rate</w:t>
            </w:r>
          </w:p>
        </w:tc>
        <w:tc>
          <w:tcPr>
            <w:tcW w:type="dxa" w:w="3168"/>
          </w:tcPr>
          <w:p>
            <w:pPr>
              <w:jc w:val="center"/>
            </w:pPr>
            <w:r>
              <w:t>100%</w:t>
            </w:r>
          </w:p>
        </w:tc>
      </w:tr>
    </w:tbl>
    <w:p/>
    <w:p>
      <w:pPr>
        <w:pStyle w:val="Heading2"/>
        <w:jc w:val="left"/>
      </w:pPr>
      <w:r>
        <w:t>2.3 Task Formulation</w:t>
      </w:r>
    </w:p>
    <w:p>
      <w:r>
        <w:rPr>
          <w:b w:val="0"/>
          <w:i w:val="0"/>
        </w:rPr>
        <w:t>Each training sample is a 5-past → 1-future sequence window: five consecutive historical timesteps (x1–x5) serve as inputs, and one future timestep (y1) is the prediction target. From 24,799 raw frames, 24,704 valid 5→1 windows are generated.</w:t>
      </w:r>
    </w:p>
    <w:p>
      <w:r>
        <w:rPr>
          <w:b w:val="0"/>
          <w:i w:val="0"/>
        </w:rPr>
        <w:t>Three prediction targets are defined: (a) the best-beam class index (256-class classification); (b) the full 256-value relative power-gap profile d_b = G* - G_b, where G* is the best-beam power; and (c) near-optimal label sets Y_Δ = {b : d_b ≤ Δ} for Δ ∈ {0, 1, 3} dB.</w:t>
      </w:r>
    </w:p>
    <w:p>
      <w:pPr>
        <w:pStyle w:val="Heading2"/>
        <w:jc w:val="left"/>
      </w:pPr>
      <w:r>
        <w:t>2.4 Data Preprocessing</w:t>
      </w:r>
    </w:p>
    <w:p>
      <w:r>
        <w:rPr>
          <w:b w:val="0"/>
          <w:i w:val="0"/>
        </w:rPr>
        <w:t>Four preprocessing stages are applied:</w:t>
      </w:r>
    </w:p>
    <w:p>
      <w:r>
        <w:rPr>
          <w:b/>
          <w:i w:val="0"/>
        </w:rPr>
        <w:t>(1) Leakage-Safe Trajectory-Block Partitioning.</w:t>
      </w:r>
    </w:p>
    <w:p>
      <w:pPr>
        <w:ind w:left="432"/>
      </w:pPr>
      <w:r>
        <w:rPr>
          <w:b w:val="0"/>
          <w:i w:val="0"/>
        </w:rPr>
        <w:t>A guard-interval union-find algorithm merges trajectory runs whose absolute-index gap is ≤ 25 frames, reducing 124 runs to 19 blocks. Complete trajectory blocks—never individual frames—are then assigned chronologically: 55% train, 15% validation, 15% calibration, 15% test. A hard assertion verifies zero leakage: no trajectory block spans two splits. This yields 9,350 / 5,585 / 3,385 / 6,384 sequences for train / val / calib / test respectively.</w:t>
      </w:r>
    </w:p>
    <w:p>
      <w:r>
        <w:rPr>
          <w:b/>
          <w:i w:val="0"/>
        </w:rPr>
        <w:t>(2) GPS Feature Engineering.</w:t>
      </w:r>
    </w:p>
    <w:p>
      <w:pPr>
        <w:ind w:left="432"/>
      </w:pPr>
      <w:r>
        <w:rPr>
          <w:b w:val="0"/>
          <w:i w:val="0"/>
        </w:rPr>
        <w:t>Raw WGS84 coordinates are converted to a local East-North frame with Unit 1 as origin. A 9-dimensional feature vector is computed per timestep: relative East and North position, Tx-Rx distance, sine and cosine of bearing, velocity East and North (finite differences), speed, and an HDOP quality flag (1 if HDOP &gt; 2 or NaN, else 0). A min-max scaler is fitted exclusively on the training split and applied to all splits.</w:t>
      </w:r>
    </w:p>
    <w:p>
      <w:r>
        <w:rPr>
          <w:b/>
          <w:i w:val="0"/>
        </w:rPr>
        <w:t>(3) RGB Frame Processing.</w:t>
      </w:r>
    </w:p>
    <w:p>
      <w:pPr>
        <w:ind w:left="432"/>
      </w:pPr>
      <w:r>
        <w:rPr>
          <w:b w:val="0"/>
          <w:i w:val="0"/>
        </w:rPr>
        <w:t>Front-camera frames are resized to 96×96 pixels using bilinear interpolation and cached as a unified uint8 tensor in RAM (686 MB for 24,799 frames), eliminating disk I/O during training. ImageNet mean-std normalization is applied at batch time. Training augmentation applies ColorJitter (brightness ±10%, contrast ±10%) with a single parameter draw per sequence, applied identically to all 5 frames to preserve temporal consistency. Horizontal flips are intentionally omitted as they would invalidate the GPS-derived beam-angle labels.</w:t>
      </w:r>
    </w:p>
    <w:p>
      <w:r>
        <w:rPr>
          <w:b/>
          <w:i w:val="0"/>
        </w:rPr>
        <w:t>(4) Power Profile Preprocessing.</w:t>
      </w:r>
    </w:p>
    <w:p>
      <w:pPr>
        <w:ind w:left="432"/>
      </w:pPr>
      <w:r>
        <w:rPr>
          <w:b w:val="0"/>
          <w:i w:val="0"/>
        </w:rPr>
        <w:t>The four 64-beam linear power arrays are concatenated into a 256-vector and converted to dB via 10·log₁₀(P + ε), ε = 10⁻¹². Power gaps are computed as d_b = max_b P_b - P_b ≥ 0 dB. These are precomputed for all 24,799 samples at dataset construction time.</w:t>
      </w:r>
    </w:p>
    <w:p/>
    <w:p>
      <w:pPr>
        <w:pStyle w:val="Heading1"/>
        <w:jc w:val="left"/>
      </w:pPr>
      <w:r>
        <w:t>3. Literature Review</w:t>
      </w:r>
    </w:p>
    <w:p>
      <w:pPr>
        <w:pStyle w:val="Heading2"/>
        <w:jc w:val="left"/>
      </w:pPr>
      <w:r>
        <w:t>3.1 Beam Prediction from Sensing Data</w:t>
      </w:r>
    </w:p>
    <w:p>
      <w:r>
        <w:rPr>
          <w:b w:val="0"/>
          <w:i w:val="0"/>
        </w:rPr>
        <w:t>The DeepSense 6G challenge [1] introduced the Multi-Modal V2V Beam Prediction task and official baselines, establishing synchronized RGB and GPS as a viable sensing modality for mmWave beam management. The baseline models demonstrated that multi-modal inputs significantly reduce beam training overhead compared to traditional channel sounding approaches. However, these baselines predict only the single best beam and do not provide any reliability guarantee on their predictions.</w:t>
      </w:r>
    </w:p>
    <w:p>
      <w:r>
        <w:rPr>
          <w:b w:val="0"/>
          <w:i w:val="0"/>
        </w:rPr>
        <w:t>More recently, multimodal Transformer architectures have been applied to beam prediction. Jiang et al. [2] proposed a Multimodal Transformer for wireless communications that fuses heterogeneous sensing modalities through cross-attention mechanisms. While achieving strong Top-1 accuracy, this work focuses on static calibration and does not address the online adaptation problem under non-stationary vehicle trajectories. Our P3 model builds on similar fusion principles but extends them with a power-profile prediction head and an online controller.</w:t>
      </w:r>
    </w:p>
    <w:p>
      <w:pPr>
        <w:pStyle w:val="Heading2"/>
        <w:jc w:val="left"/>
      </w:pPr>
      <w:r>
        <w:t>3.2 Conformal Prediction for Beam Selection</w:t>
      </w:r>
    </w:p>
    <w:p>
      <w:r>
        <w:rPr>
          <w:b w:val="0"/>
          <w:i w:val="0"/>
        </w:rPr>
        <w:t>SCAN-BEST [3] is the most directly related prior work. It predicts a candidate beam subset using conformal risk control (CRC) with a relaxed beam-optimality criterion, limited in-band training inside the candidate set, and weighted conformal calibration under covariate shift. SCAN-BEST demonstrates that conformal methods can reliably bound the miss rate on beam-subset prediction. However, it calibrates a static threshold once at deployment time and does not update it as the vehicle's route and conditions change. Our work differs fundamentally: we predict the complete power profile (not just a subset membership function) and use online ACI to adapt the threshold continuously.</w:t>
      </w:r>
    </w:p>
    <w:p>
      <w:r>
        <w:rPr>
          <w:b w:val="0"/>
          <w:i w:val="0"/>
        </w:rPr>
        <w:t>The methodological foundation for online conformal control is Adaptive Conformal Inference (ACI) by Gibbs and Candès [4]. ACI provides distribution-free long-run time-averaged risk control guarantees for streaming data, replacing the static calibration quantile with an integral controller that updates after each observation. Angelopoulos, Candès, and Tibshirani [5] extended this to a full Conformal PID controller with proportional, integral, and derivative terms, demonstrating reduced overshoot and improved stability. Both methods are incorporated in this work as the Phase 7 online risk controllers.</w:t>
      </w:r>
    </w:p>
    <w:p>
      <w:pPr>
        <w:pStyle w:val="Heading2"/>
        <w:jc w:val="left"/>
      </w:pPr>
      <w:r>
        <w:t>3.3 Missing Modality Robustness</w:t>
      </w:r>
    </w:p>
    <w:p>
      <w:r>
        <w:rPr>
          <w:b w:val="0"/>
          <w:i w:val="0"/>
        </w:rPr>
        <w:t>Real-world deployments face sensor failures and degraded observations. CLBP [6] addresses cross-modal loss-tolerant beam prediction under missing or degraded modalities using a contrastive learning framework. AMBER [7] proposes an adaptive multimodal masked-Transformer that is robust to arbitrary modality combinations at inference time. While this work does not explicitly model modality dropout, the GPS quality flag (HDOP-based missingness indicator) in our feature vector provides a lightweight signal for GPS degradation, and the architecture can be extended with these masking strategies.</w:t>
      </w:r>
    </w:p>
    <w:p>
      <w:pPr>
        <w:pStyle w:val="Heading2"/>
        <w:jc w:val="left"/>
      </w:pPr>
      <w:r>
        <w:t>3.4 Adaptive Probing and Calibrated Priors</w:t>
      </w:r>
    </w:p>
    <w:p>
      <w:r>
        <w:rPr>
          <w:b w:val="0"/>
          <w:i w:val="0"/>
        </w:rPr>
        <w:t>Salehi et al. [8] propose sensing-assisted adaptive beam probing with calibrated multimodal priors and uncertainty-aware scheduling, using dB safety margins to decide when to probe additional beams. This work shares the goal of minimizing probing overhead while maintaining link reliability, but focuses on single-step scheduling rather than sequential risk control over a trajectory. Our ACI controller can be viewed as a complementary approach: rather than deciding whether to probe at each step independently, it maintains a running estimate of the candidate-set threshold that is guaranteed to satisfy the miss rate target on average over the full trajectory.</w:t>
      </w:r>
    </w:p>
    <w:p>
      <w:pPr>
        <w:pStyle w:val="Heading2"/>
        <w:jc w:val="left"/>
      </w:pPr>
      <w:r>
        <w:t>3.5 Lightweight Vision-Aided Tracking</w:t>
      </w:r>
    </w:p>
    <w:p>
      <w:r>
        <w:rPr>
          <w:b w:val="0"/>
          <w:i w:val="0"/>
        </w:rPr>
        <w:t>Zhang et al. [9] propose a lightweight vision-aided beam tracking approach for cross-environment scenarios, demonstrating that compact CNN encoders can generalize across deployment environments with significantly lower complexity than large Transformer models. Our ResNet-18 encoder is consistent with this efficiency-first design philosophy: we freeze the early layers (conv1 through layer1) and train only the deeper layers, reducing the number of trainable parameters while retaining rich feature representations.</w:t>
      </w:r>
    </w:p>
    <w:p>
      <w:pPr>
        <w:pStyle w:val="Heading2"/>
        <w:jc w:val="left"/>
      </w:pPr>
      <w:r>
        <w:t>3.6 Multi-Task Learning for mmWave</w:t>
      </w:r>
    </w:p>
    <w:p>
      <w:r>
        <w:rPr>
          <w:b w:val="0"/>
          <w:i w:val="0"/>
        </w:rPr>
        <w:t>Chen et al. [10] study multi-task learning for mmWave beam prediction, jointly training beam classification with auxiliary prediction heads and showing that shared representations improve per-task performance. Our P3 model follows this principle: the shared ResNet-18 + BiGRU + Transformer backbone feeds both a classification head and a profile regression head, with the two tasks regularizing each other. A key difference is that our profile head predicts a physically meaningful 256-value power-gap profile with a smoothness penalty that exploits the angular structure of the beam space—a constraint not present in prior multi-task beam prediction work.</w:t>
      </w:r>
    </w:p>
    <w:p>
      <w:pPr>
        <w:pStyle w:val="Heading2"/>
        <w:jc w:val="left"/>
      </w:pPr>
      <w:r>
        <w:t>3.7 Positioning of This Work</w:t>
      </w:r>
    </w:p>
    <w:p>
      <w:r>
        <w:rPr>
          <w:b w:val="0"/>
          <w:i w:val="0"/>
        </w:rPr>
        <w:t>The key differentiating claim of this work, relative to all prior literature reviewed, is: no prior study predicts the complete future 256-beam measured power-gap profile from temporal RGB+GPS observations and uses an online trajectory-adaptive utility-risk controller to maintain a target near-optimal-beam miss rate under non-stationary real-world V2V conditions. Specifically: (i) SCAN-BEST predicts subset membership, not a full power profile; (ii) existing conformal beam works calibrate statically, not online; (iii) multi-task beam prediction work does not combine profile prediction with conformal control.</w:t>
      </w:r>
    </w:p>
    <w:p/>
    <w:p>
      <w:pPr>
        <w:pStyle w:val="Heading1"/>
        <w:jc w:val="left"/>
      </w:pPr>
      <w:r>
        <w:t>4. Methodology</w:t>
      </w:r>
    </w:p>
    <w:p>
      <w:pPr>
        <w:pStyle w:val="Heading2"/>
        <w:jc w:val="left"/>
      </w:pPr>
      <w:r>
        <w:t>4.1 Overall Pipeline</w:t>
      </w:r>
    </w:p>
    <w:p>
      <w:r>
        <w:rPr>
          <w:b w:val="0"/>
          <w:i w:val="0"/>
        </w:rPr>
        <w:t>The proposed pipeline consists of five stages: (1) data preprocessing and partitioning (Section 2); (2) multi-modal feature extraction; (3) multi-task prediction model training; (4) static conformal candidate-set calibration; and (5) online ACI risk control at deployment.</w:t>
      </w:r>
    </w:p>
    <w:p>
      <w:pPr>
        <w:pStyle w:val="Heading2"/>
        <w:jc w:val="left"/>
      </w:pPr>
      <w:r>
        <w:t>4.2 Model Architecture</w:t>
      </w:r>
    </w:p>
    <w:p>
      <w:r>
        <w:rPr>
          <w:b w:val="0"/>
          <w:i w:val="0"/>
        </w:rPr>
        <w:t>All models share a unified input interface: rgb ∈ R^(B×5×3×96×96) and gps ∈ R^(B×5×9), where B is the batch size and 5 is the temporal sequence length.</w:t>
      </w:r>
    </w:p>
    <w:p>
      <w:pPr>
        <w:pStyle w:val="Heading3"/>
        <w:jc w:val="left"/>
      </w:pPr>
      <w:r>
        <w:t>4.2.1 RGB Encoder (ResNet-18 Backbone)</w:t>
      </w:r>
    </w:p>
    <w:p>
      <w:pPr>
        <w:ind w:left="432"/>
      </w:pPr>
      <w:r>
        <w:rPr>
          <w:b w:val="0"/>
          <w:i w:val="0"/>
        </w:rPr>
        <w:t>The RGB encoder processes the 5-frame clip by reshaping to (B·5, 3, 96, 96), passing through a pretrained ResNet-18 backbone, and reshaping the output back to (B, 5, d_model). The backbone is partially frozen: conv1, bn1, and layer1 are fixed (pretrained ImageNet weights retained); layer2 through layer4 are fine-tuned. A linear projection maps the 512-dimensional average-pooled features to d_model = 256. On CUDA, frames are processed in channels_last memory format for improved throughput.</w:t>
      </w:r>
    </w:p>
    <w:p>
      <w:pPr>
        <w:pStyle w:val="Heading3"/>
        <w:jc w:val="left"/>
      </w:pPr>
      <w:r>
        <w:t>4.2.2 GPS Encoder (Bidirectional GRU)</w:t>
      </w:r>
    </w:p>
    <w:p>
      <w:pPr>
        <w:ind w:left="432"/>
      </w:pPr>
      <w:r>
        <w:rPr>
          <w:b w:val="0"/>
          <w:i w:val="0"/>
        </w:rPr>
        <w:t>The GPS encoder is a 3-layer Bidirectional GRU (BiGRU) with hidden size d_model = 256 per direction, processing the 9-dimensional feature sequence of length 5. The concatenated forward-backward hidden states (2·256 = 512 dimensions) at each timestep are projected back to d_model via a linear layer, yielding a (B, 5, 256) tensor of GPS tokens.</w:t>
      </w:r>
    </w:p>
    <w:p>
      <w:pPr>
        <w:pStyle w:val="Heading3"/>
        <w:jc w:val="left"/>
      </w:pPr>
      <w:r>
        <w:t>4.2.3 Transformer Fusion (Pre-LN)</w:t>
      </w:r>
    </w:p>
    <w:p>
      <w:pPr>
        <w:ind w:left="432"/>
      </w:pPr>
      <w:r>
        <w:rPr>
          <w:b w:val="0"/>
          <w:i w:val="0"/>
        </w:rPr>
        <w:t>The 5 GPS tokens and 5 RGB tokens are concatenated into a 10-token sequence. Modality embeddings (learnable, shared across the sequence dimension) are added to distinguish GPS from RGB tokens before a learnable positional embedding is added. The fused sequence passes through a 3-layer Pre-Layer-Normalization Transformer encoder (norm_first=True, 8 attention heads, feedforward dim = 4·d_model = 1024, dropout 0.12). The mean-pooled output is the fused representation f ∈ R^(B×256).</w:t>
      </w:r>
    </w:p>
    <w:p>
      <w:pPr>
        <w:pStyle w:val="Heading3"/>
        <w:jc w:val="left"/>
      </w:pPr>
      <w:r>
        <w:t>4.2.4 Prediction Heads</w:t>
      </w:r>
    </w:p>
    <w:p>
      <w:pPr>
        <w:ind w:left="432"/>
      </w:pPr>
      <w:r>
        <w:rPr>
          <w:b w:val="0"/>
          <w:i w:val="0"/>
        </w:rPr>
        <w:t>P3 uses two independent MLP heads, each consisting of a linear layer → GELU → Dropout(0.12) → linear layer: (i) a 256-class classification head cls_head(f) for beam index prediction, and (ii) a 256-value profile head profile_head(f) for power-gap prediction. Both heads use hidden dimension 512.</w:t>
      </w:r>
    </w:p>
    <w:p>
      <w:pPr>
        <w:pStyle w:val="Heading2"/>
        <w:jc w:val="left"/>
      </w:pPr>
      <w:r>
        <w:t>4.3 Multi-Task Loss Function</w:t>
      </w:r>
    </w:p>
    <w:p>
      <w:r>
        <w:rPr>
          <w:b w:val="0"/>
          <w:i w:val="0"/>
        </w:rPr>
        <w:t>The total training loss for P3 combines four terms:</w:t>
      </w:r>
    </w:p>
    <w:p>
      <w:r>
        <w:rPr>
          <w:b/>
          <w:i w:val="0"/>
        </w:rPr>
        <w:t>L_total = L_CE + λ_prof · L_prof + λ_smooth · L_smooth + λ_rank · L_rank</w:t>
      </w:r>
    </w:p>
    <w:p>
      <w:pPr>
        <w:pStyle w:val="ListBullet"/>
      </w:pPr>
      <w:r>
        <w:rPr>
          <w:b/>
        </w:rPr>
        <w:t xml:space="preserve">L_CE: </w:t>
      </w:r>
      <w:r>
        <w:t>Cross-entropy loss on the 256-class beam classification head.</w:t>
      </w:r>
    </w:p>
    <w:p>
      <w:pPr>
        <w:pStyle w:val="ListBullet"/>
      </w:pPr>
      <w:r>
        <w:rPr>
          <w:b/>
        </w:rPr>
        <w:t xml:space="preserve">L_prof: </w:t>
      </w:r>
      <w:r>
        <w:t>MSE loss between predicted and measured 256-value power-gap profile.</w:t>
      </w:r>
    </w:p>
    <w:p>
      <w:pPr>
        <w:pStyle w:val="ListBullet"/>
      </w:pPr>
      <w:r>
        <w:rPr>
          <w:b/>
        </w:rPr>
        <w:t xml:space="preserve">L_smooth: </w:t>
      </w:r>
      <w:r>
        <w:t>Smoothness penalty: mean squared first-difference over adjacent beam indices. This exploits the physical fact that beam index corresponds to antenna angle, so the true power profile is smooth over the beam dimension. This is a one-line loss addition that acts as a strong physical prior and reduces overfitting.</w:t>
      </w:r>
    </w:p>
    <w:p>
      <w:pPr>
        <w:pStyle w:val="ListBullet"/>
      </w:pPr>
      <w:r>
        <w:rPr>
          <w:b/>
        </w:rPr>
        <w:t xml:space="preserve">L_rank: </w:t>
      </w:r>
      <w:r>
        <w:t>Pairwise ranking loss: for randomly sampled pairs (i,j) of beam indices, the predicted power ordering should match the measured ordering. This encourages the profile head to correctly rank beams even when the absolute power values are imprecise.</w:t>
      </w:r>
    </w:p>
    <w:p>
      <w:r>
        <w:rPr>
          <w:b w:val="0"/>
          <w:i w:val="0"/>
        </w:rPr>
        <w:t>The loss weights are λ_prof = 0.1, λ_smooth = 0.01, λ_rank = 0.05, tuned on validation.</w:t>
      </w:r>
    </w:p>
    <w:p>
      <w:pPr>
        <w:pStyle w:val="Heading2"/>
        <w:jc w:val="left"/>
      </w:pPr>
      <w:r>
        <w:t>4.4 Training Configuration</w:t>
      </w:r>
    </w:p>
    <w:tbl>
      <w:tblPr>
        <w:tblStyle w:val="TableGrid"/>
        <w:tblW w:type="auto" w:w="0"/>
        <w:jc w:val="center"/>
        <w:tblLook w:firstColumn="1" w:firstRow="1" w:lastColumn="0" w:lastRow="0" w:noHBand="0" w:noVBand="1" w:val="04A0"/>
      </w:tblPr>
      <w:tblGrid>
        <w:gridCol w:w="4703"/>
        <w:gridCol w:w="4703"/>
      </w:tblGrid>
      <w:tr>
        <w:tc>
          <w:tcPr>
            <w:tcW w:type="dxa" w:w="3600"/>
          </w:tcPr>
          <w:p>
            <w:pPr>
              <w:jc w:val="center"/>
            </w:pPr>
            <w:r>
              <w:rPr>
                <w:b/>
              </w:rPr>
              <w:t>Hyperparameter</w:t>
            </w:r>
          </w:p>
        </w:tc>
        <w:tc>
          <w:tcPr>
            <w:tcW w:type="dxa" w:w="4320"/>
          </w:tcPr>
          <w:p>
            <w:pPr>
              <w:jc w:val="center"/>
            </w:pPr>
            <w:r>
              <w:rPr>
                <w:b/>
              </w:rPr>
              <w:t>Value</w:t>
            </w:r>
          </w:p>
        </w:tc>
      </w:tr>
      <w:tr>
        <w:tc>
          <w:tcPr>
            <w:tcW w:type="dxa" w:w="3600"/>
          </w:tcPr>
          <w:p>
            <w:pPr>
              <w:jc w:val="center"/>
            </w:pPr>
            <w:r>
              <w:t>Optimizer</w:t>
            </w:r>
          </w:p>
        </w:tc>
        <w:tc>
          <w:tcPr>
            <w:tcW w:type="dxa" w:w="4320"/>
          </w:tcPr>
          <w:p>
            <w:pPr>
              <w:jc w:val="center"/>
            </w:pPr>
            <w:r>
              <w:t>AdamW</w:t>
            </w:r>
          </w:p>
        </w:tc>
      </w:tr>
      <w:tr>
        <w:tc>
          <w:tcPr>
            <w:tcW w:type="dxa" w:w="3600"/>
          </w:tcPr>
          <w:p>
            <w:pPr>
              <w:jc w:val="center"/>
            </w:pPr>
            <w:r>
              <w:t>Peak learning rate</w:t>
            </w:r>
          </w:p>
        </w:tc>
        <w:tc>
          <w:tcPr>
            <w:tcW w:type="dxa" w:w="4320"/>
          </w:tcPr>
          <w:p>
            <w:pPr>
              <w:jc w:val="center"/>
            </w:pPr>
            <w:r>
              <w:t>1 × 10⁻⁴</w:t>
            </w:r>
          </w:p>
        </w:tc>
      </w:tr>
      <w:tr>
        <w:tc>
          <w:tcPr>
            <w:tcW w:type="dxa" w:w="3600"/>
          </w:tcPr>
          <w:p>
            <w:pPr>
              <w:jc w:val="center"/>
            </w:pPr>
            <w:r>
              <w:t>Weight decay</w:t>
            </w:r>
          </w:p>
        </w:tc>
        <w:tc>
          <w:tcPr>
            <w:tcW w:type="dxa" w:w="4320"/>
          </w:tcPr>
          <w:p>
            <w:pPr>
              <w:jc w:val="center"/>
            </w:pPr>
            <w:r>
              <w:t>3 × 10⁻⁴</w:t>
            </w:r>
          </w:p>
        </w:tc>
      </w:tr>
      <w:tr>
        <w:tc>
          <w:tcPr>
            <w:tcW w:type="dxa" w:w="3600"/>
          </w:tcPr>
          <w:p>
            <w:pPr>
              <w:jc w:val="center"/>
            </w:pPr>
            <w:r>
              <w:t>LR schedule</w:t>
            </w:r>
          </w:p>
        </w:tc>
        <w:tc>
          <w:tcPr>
            <w:tcW w:type="dxa" w:w="4320"/>
          </w:tcPr>
          <w:p>
            <w:pPr>
              <w:jc w:val="center"/>
            </w:pPr>
            <w:r>
              <w:t>OneCycleLR (cosine, 10% warmup)</w:t>
            </w:r>
          </w:p>
        </w:tc>
      </w:tr>
      <w:tr>
        <w:tc>
          <w:tcPr>
            <w:tcW w:type="dxa" w:w="3600"/>
          </w:tcPr>
          <w:p>
            <w:pPr>
              <w:jc w:val="center"/>
            </w:pPr>
            <w:r>
              <w:t>Batch size</w:t>
            </w:r>
          </w:p>
        </w:tc>
        <w:tc>
          <w:tcPr>
            <w:tcW w:type="dxa" w:w="4320"/>
          </w:tcPr>
          <w:p>
            <w:pPr>
              <w:jc w:val="center"/>
            </w:pPr>
            <w:r>
              <w:t>64</w:t>
            </w:r>
          </w:p>
        </w:tc>
      </w:tr>
      <w:tr>
        <w:tc>
          <w:tcPr>
            <w:tcW w:type="dxa" w:w="3600"/>
          </w:tcPr>
          <w:p>
            <w:pPr>
              <w:jc w:val="center"/>
            </w:pPr>
            <w:r>
              <w:t>Max epochs</w:t>
            </w:r>
          </w:p>
        </w:tc>
        <w:tc>
          <w:tcPr>
            <w:tcW w:type="dxa" w:w="4320"/>
          </w:tcPr>
          <w:p>
            <w:pPr>
              <w:jc w:val="center"/>
            </w:pPr>
            <w:r>
              <w:t>80</w:t>
            </w:r>
          </w:p>
        </w:tc>
      </w:tr>
      <w:tr>
        <w:tc>
          <w:tcPr>
            <w:tcW w:type="dxa" w:w="3600"/>
          </w:tcPr>
          <w:p>
            <w:pPr>
              <w:jc w:val="center"/>
            </w:pPr>
            <w:r>
              <w:t>Early stopping patience</w:t>
            </w:r>
          </w:p>
        </w:tc>
        <w:tc>
          <w:tcPr>
            <w:tcW w:type="dxa" w:w="4320"/>
          </w:tcPr>
          <w:p>
            <w:pPr>
              <w:jc w:val="center"/>
            </w:pPr>
            <w:r>
              <w:t>15 epochs (min 40 epochs)</w:t>
            </w:r>
          </w:p>
        </w:tc>
      </w:tr>
      <w:tr>
        <w:tc>
          <w:tcPr>
            <w:tcW w:type="dxa" w:w="3600"/>
          </w:tcPr>
          <w:p>
            <w:pPr>
              <w:jc w:val="center"/>
            </w:pPr>
            <w:r>
              <w:t>Mixed precision</w:t>
            </w:r>
          </w:p>
        </w:tc>
        <w:tc>
          <w:tcPr>
            <w:tcW w:type="dxa" w:w="4320"/>
          </w:tcPr>
          <w:p>
            <w:pPr>
              <w:jc w:val="center"/>
            </w:pPr>
            <w:r>
              <w:t>BFloat16 (CUDA)</w:t>
            </w:r>
          </w:p>
        </w:tc>
      </w:tr>
      <w:tr>
        <w:tc>
          <w:tcPr>
            <w:tcW w:type="dxa" w:w="3600"/>
          </w:tcPr>
          <w:p>
            <w:pPr>
              <w:jc w:val="center"/>
            </w:pPr>
            <w:r>
              <w:t>Random seeds</w:t>
            </w:r>
          </w:p>
        </w:tc>
        <w:tc>
          <w:tcPr>
            <w:tcW w:type="dxa" w:w="4320"/>
          </w:tcPr>
          <w:p>
            <w:pPr>
              <w:jc w:val="center"/>
            </w:pPr>
            <w:r>
              <w:t>42, 7, 13 (3 seeds)</w:t>
            </w:r>
          </w:p>
        </w:tc>
      </w:tr>
      <w:tr>
        <w:tc>
          <w:tcPr>
            <w:tcW w:type="dxa" w:w="3600"/>
          </w:tcPr>
          <w:p>
            <w:pPr>
              <w:jc w:val="center"/>
            </w:pPr>
            <w:r>
              <w:t>GPU</w:t>
            </w:r>
          </w:p>
        </w:tc>
        <w:tc>
          <w:tcPr>
            <w:tcW w:type="dxa" w:w="4320"/>
          </w:tcPr>
          <w:p>
            <w:pPr>
              <w:jc w:val="center"/>
            </w:pPr>
            <w:r>
              <w:t>NVIDIA GeForce RTX 4060 (8 GB)</w:t>
            </w:r>
          </w:p>
        </w:tc>
      </w:tr>
    </w:tbl>
    <w:p/>
    <w:p>
      <w:pPr>
        <w:pStyle w:val="Heading2"/>
        <w:jc w:val="left"/>
      </w:pPr>
      <w:r>
        <w:t>4.5 Candidate-Set Construction</w:t>
      </w:r>
    </w:p>
    <w:p>
      <w:r>
        <w:rPr>
          <w:b w:val="0"/>
          <w:i w:val="0"/>
        </w:rPr>
        <w:t>Given a predicted power-gap profile d̂ ∈ R^256, the power-aware threshold candidate set is:</w:t>
      </w:r>
    </w:p>
    <w:p>
      <w:r>
        <w:rPr>
          <w:b/>
          <w:i w:val="0"/>
        </w:rPr>
        <w:t>C_q(x) = { b : d̂_b ≤ max_b' d̂_b' + q }</w:t>
      </w:r>
    </w:p>
    <w:p>
      <w:r>
        <w:rPr>
          <w:b w:val="0"/>
          <w:i w:val="0"/>
        </w:rPr>
        <w:t>where q is a threshold calibrated to satisfy a target miss rate α. A beam b is included in the candidate set if its predicted power gap from the best beam is within q dB.</w:t>
      </w:r>
    </w:p>
    <w:p>
      <w:r>
        <w:rPr>
          <w:b w:val="0"/>
          <w:i w:val="0"/>
        </w:rPr>
        <w:t>Static Conformal Risk Control (CRC) calibrates q on the held-out calibration split (3,385 sequences) by grid-searching over q ∈ [0, 30] dB at 0.1 dB resolution, selecting the smallest q satisfying the (n/(n+1))-adjusted empirical risk bound ≤ α = 0.10. This guarantees E[L] ≤ α under exchangeability between calibration and test data.</w:t>
      </w:r>
    </w:p>
    <w:p>
      <w:r>
        <w:rPr>
          <w:b w:val="0"/>
          <w:i w:val="0"/>
        </w:rPr>
        <w:t>An Exact-Label CRC baseline uses the softmax nonconformity score s_i = 1 - p̂(true_class) to construct prediction sets with exact label coverage, calibrated at the (⌈(n+1)(1-α)⌉/n)-th quantile of calibration nonconformity scores.</w:t>
      </w:r>
    </w:p>
    <w:p>
      <w:pPr>
        <w:pStyle w:val="Heading2"/>
        <w:jc w:val="left"/>
      </w:pPr>
      <w:r>
        <w:t>4.6 Online Risk Control</w:t>
      </w:r>
    </w:p>
    <w:p>
      <w:r>
        <w:rPr>
          <w:b w:val="0"/>
          <w:i w:val="0"/>
        </w:rPr>
        <w:t>At test time, the ACI integral controller (Gibbs &amp; Candès, 2021) updates the threshold after each observed outcome:</w:t>
      </w:r>
    </w:p>
    <w:p>
      <w:r>
        <w:rPr>
          <w:b/>
          <w:i w:val="0"/>
        </w:rPr>
        <w:t>q_{t+1} = clip(q_t + η(ℓ_t − α), q_min, q_max)</w:t>
      </w:r>
    </w:p>
    <w:p>
      <w:r>
        <w:rPr>
          <w:b w:val="0"/>
          <w:i w:val="0"/>
        </w:rPr>
        <w:t>where ℓ_t = 1 if the best power in C_t(q_t) is more than Δ = 3 dB below the true best beam, else 0. The step size η is selected by grid search over {0.001, 0.005, 0.01, 0.02, 0.05, 0.1} on the validation split only, scoring each η by |miss_rate - α| + avg_size/256. The bounds are q_min = 0 dB and q_max = 99th-percentile gap in the calibration set = 35.5 dB, making the fallback regime fully data-driven. The controller is warm-started with q_1 = q_CRC from the static calibration.</w:t>
      </w:r>
    </w:p>
    <w:p>
      <w:r>
        <w:rPr>
          <w:b w:val="0"/>
          <w:i w:val="0"/>
        </w:rPr>
        <w:t>The Conformal PID controller (Angelopoulos et al., 2023) extends ACI with proportional and derivative terms: q_{t+1} = clip(q_t + η_P·e_t + η_I·∑e + η_D·Δe, q_min, q_max), where e_t = ℓ_t − α. Both controllers are included for comparison.</w:t>
      </w:r>
    </w:p>
    <w:p>
      <w:pPr>
        <w:pStyle w:val="Heading2"/>
        <w:jc w:val="left"/>
      </w:pPr>
      <w:r>
        <w:t>4.7 Baseline Models</w:t>
      </w:r>
    </w:p>
    <w:tbl>
      <w:tblPr>
        <w:tblStyle w:val="TableGrid"/>
        <w:tblW w:type="auto" w:w="0"/>
        <w:jc w:val="center"/>
        <w:tblLook w:firstColumn="1" w:firstRow="1" w:lastColumn="0" w:lastRow="0" w:noHBand="0" w:noVBand="1" w:val="04A0"/>
      </w:tblPr>
      <w:tblGrid>
        <w:gridCol w:w="3135"/>
        <w:gridCol w:w="3135"/>
        <w:gridCol w:w="3135"/>
      </w:tblGrid>
      <w:tr>
        <w:tc>
          <w:tcPr>
            <w:tcW w:type="dxa" w:w="1728"/>
          </w:tcPr>
          <w:p>
            <w:pPr>
              <w:jc w:val="center"/>
            </w:pPr>
            <w:r>
              <w:rPr>
                <w:b/>
              </w:rPr>
              <w:t>Model</w:t>
            </w:r>
          </w:p>
        </w:tc>
        <w:tc>
          <w:tcPr>
            <w:tcW w:type="dxa" w:w="4608"/>
          </w:tcPr>
          <w:p>
            <w:pPr>
              <w:jc w:val="center"/>
            </w:pPr>
            <w:r>
              <w:rPr>
                <w:b/>
              </w:rPr>
              <w:t>Architecture</w:t>
            </w:r>
          </w:p>
        </w:tc>
        <w:tc>
          <w:tcPr>
            <w:tcW w:type="dxa" w:w="2304"/>
          </w:tcPr>
          <w:p>
            <w:pPr>
              <w:jc w:val="center"/>
            </w:pPr>
            <w:r>
              <w:rPr>
                <w:b/>
              </w:rPr>
              <w:t>Task</w:t>
            </w:r>
          </w:p>
        </w:tc>
      </w:tr>
      <w:tr>
        <w:tc>
          <w:tcPr>
            <w:tcW w:type="dxa" w:w="1728"/>
          </w:tcPr>
          <w:p>
            <w:pPr>
              <w:jc w:val="center"/>
            </w:pPr>
            <w:r>
              <w:t>B0</w:t>
            </w:r>
          </w:p>
        </w:tc>
        <w:tc>
          <w:tcPr>
            <w:tcW w:type="dxa" w:w="4608"/>
          </w:tcPr>
          <w:p>
            <w:pPr>
              <w:jc w:val="center"/>
            </w:pPr>
            <w:r>
              <w:t>Geometric (no learning): bearing → codebook</w:t>
            </w:r>
          </w:p>
        </w:tc>
        <w:tc>
          <w:tcPr>
            <w:tcW w:type="dxa" w:w="2304"/>
          </w:tcPr>
          <w:p>
            <w:pPr>
              <w:jc w:val="center"/>
            </w:pPr>
            <w:r>
              <w:t>Classification</w:t>
            </w:r>
          </w:p>
        </w:tc>
      </w:tr>
      <w:tr>
        <w:tc>
          <w:tcPr>
            <w:tcW w:type="dxa" w:w="1728"/>
          </w:tcPr>
          <w:p>
            <w:pPr>
              <w:jc w:val="center"/>
            </w:pPr>
            <w:r>
              <w:t>B1</w:t>
            </w:r>
          </w:p>
        </w:tc>
        <w:tc>
          <w:tcPr>
            <w:tcW w:type="dxa" w:w="4608"/>
          </w:tcPr>
          <w:p>
            <w:pPr>
              <w:jc w:val="center"/>
            </w:pPr>
            <w:r>
              <w:t>BiGRU on GPS sequence</w:t>
            </w:r>
          </w:p>
        </w:tc>
        <w:tc>
          <w:tcPr>
            <w:tcW w:type="dxa" w:w="2304"/>
          </w:tcPr>
          <w:p>
            <w:pPr>
              <w:jc w:val="center"/>
            </w:pPr>
            <w:r>
              <w:t>Classification</w:t>
            </w:r>
          </w:p>
        </w:tc>
      </w:tr>
      <w:tr>
        <w:tc>
          <w:tcPr>
            <w:tcW w:type="dxa" w:w="1728"/>
          </w:tcPr>
          <w:p>
            <w:pPr>
              <w:jc w:val="center"/>
            </w:pPr>
            <w:r>
              <w:t>B3</w:t>
            </w:r>
          </w:p>
        </w:tc>
        <w:tc>
          <w:tcPr>
            <w:tcW w:type="dxa" w:w="4608"/>
          </w:tcPr>
          <w:p>
            <w:pPr>
              <w:jc w:val="center"/>
            </w:pPr>
            <w:r>
              <w:t>ResNet-18 + BiGRU + Gated Concat Fusion</w:t>
            </w:r>
          </w:p>
        </w:tc>
        <w:tc>
          <w:tcPr>
            <w:tcW w:type="dxa" w:w="2304"/>
          </w:tcPr>
          <w:p>
            <w:pPr>
              <w:jc w:val="center"/>
            </w:pPr>
            <w:r>
              <w:t>Classification</w:t>
            </w:r>
          </w:p>
        </w:tc>
      </w:tr>
      <w:tr>
        <w:tc>
          <w:tcPr>
            <w:tcW w:type="dxa" w:w="1728"/>
          </w:tcPr>
          <w:p>
            <w:pPr>
              <w:jc w:val="center"/>
            </w:pPr>
            <w:r>
              <w:t>P1</w:t>
            </w:r>
          </w:p>
        </w:tc>
        <w:tc>
          <w:tcPr>
            <w:tcW w:type="dxa" w:w="4608"/>
          </w:tcPr>
          <w:p>
            <w:pPr>
              <w:jc w:val="center"/>
            </w:pPr>
            <w:r>
              <w:t>ResNet-18 + BiGRU + Pre-LN Transformer</w:t>
            </w:r>
          </w:p>
        </w:tc>
        <w:tc>
          <w:tcPr>
            <w:tcW w:type="dxa" w:w="2304"/>
          </w:tcPr>
          <w:p>
            <w:pPr>
              <w:jc w:val="center"/>
            </w:pPr>
            <w:r>
              <w:t>Classification only</w:t>
            </w:r>
          </w:p>
        </w:tc>
      </w:tr>
      <w:tr>
        <w:tc>
          <w:tcPr>
            <w:tcW w:type="dxa" w:w="1728"/>
          </w:tcPr>
          <w:p>
            <w:pPr>
              <w:jc w:val="center"/>
            </w:pPr>
            <w:r>
              <w:t>P3 (proposed)</w:t>
            </w:r>
          </w:p>
        </w:tc>
        <w:tc>
          <w:tcPr>
            <w:tcW w:type="dxa" w:w="4608"/>
          </w:tcPr>
          <w:p>
            <w:pPr>
              <w:jc w:val="center"/>
            </w:pPr>
            <w:r>
              <w:t>ResNet-18 + BiGRU + Pre-LN Transformer</w:t>
            </w:r>
          </w:p>
        </w:tc>
        <w:tc>
          <w:tcPr>
            <w:tcW w:type="dxa" w:w="2304"/>
          </w:tcPr>
          <w:p>
            <w:pPr>
              <w:jc w:val="center"/>
            </w:pPr>
            <w:r>
              <w:t>Classification + Profile</w:t>
            </w:r>
          </w:p>
        </w:tc>
      </w:tr>
    </w:tbl>
    <w:p/>
    <w:p>
      <w:pPr>
        <w:pStyle w:val="Heading2"/>
        <w:jc w:val="left"/>
      </w:pPr>
      <w:r>
        <w:t>4.8 Evaluation Protocol</w:t>
      </w:r>
    </w:p>
    <w:p>
      <w:r>
        <w:rPr>
          <w:b w:val="0"/>
          <w:i w:val="0"/>
        </w:rPr>
        <w:t>All hyperparameters (α, Δ, η, q_min, q_max, loss weights) are fixed on the validation and calibration splits before the test stream is touched. The test set is evaluated exactly once. Significance is assessed using paired trajectory-block bootstrap (n_boot = 300): whole trajectory blocks are resampled with replacement, preserving temporal autocorrelation. This is critical—frame-level bootstrap would understate variance because frames within a trajectory are correlated, and individual long trajectories would dominate the resample.</w:t>
      </w:r>
    </w:p>
    <w:p/>
    <w:p>
      <w:pPr>
        <w:pStyle w:val="Heading1"/>
        <w:jc w:val="left"/>
      </w:pPr>
      <w:r>
        <w:t>5. Results and Analysis</w:t>
      </w:r>
    </w:p>
    <w:p>
      <w:pPr>
        <w:pStyle w:val="Heading2"/>
        <w:jc w:val="left"/>
      </w:pPr>
      <w:r>
        <w:t>5.1 Model Performance</w:t>
      </w:r>
    </w:p>
    <w:p>
      <w:r>
        <w:rPr>
          <w:b w:val="0"/>
          <w:i w:val="0"/>
        </w:rPr>
        <w:t>Table 1 reports test-set metrics for all models using the best checkpoint from seed 42. The majority-class baseline (always predict beam #162) achieves 20.41% Top-1 on the test set. The mean-profile MAE floor (predict the training-mean profile regardless of input) is 3.107 dB.</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016"/>
          </w:tcPr>
          <w:p>
            <w:pPr>
              <w:jc w:val="center"/>
            </w:pPr>
            <w:r>
              <w:rPr>
                <w:b/>
              </w:rPr>
              <w:t>Model</w:t>
            </w:r>
          </w:p>
        </w:tc>
        <w:tc>
          <w:tcPr>
            <w:tcW w:type="dxa" w:w="1296"/>
          </w:tcPr>
          <w:p>
            <w:pPr>
              <w:jc w:val="center"/>
            </w:pPr>
            <w:r>
              <w:rPr>
                <w:b/>
              </w:rPr>
              <w:t>Top-1 (%)</w:t>
            </w:r>
          </w:p>
        </w:tc>
        <w:tc>
          <w:tcPr>
            <w:tcW w:type="dxa" w:w="1296"/>
          </w:tcPr>
          <w:p>
            <w:pPr>
              <w:jc w:val="center"/>
            </w:pPr>
            <w:r>
              <w:rPr>
                <w:b/>
              </w:rPr>
              <w:t>Top-5 (%)</w:t>
            </w:r>
          </w:p>
        </w:tc>
        <w:tc>
          <w:tcPr>
            <w:tcW w:type="dxa" w:w="1440"/>
          </w:tcPr>
          <w:p>
            <w:pPr>
              <w:jc w:val="center"/>
            </w:pPr>
            <w:r>
              <w:rPr>
                <w:b/>
              </w:rPr>
              <w:t>Top-13 (%)</w:t>
            </w:r>
          </w:p>
        </w:tc>
        <w:tc>
          <w:tcPr>
            <w:tcW w:type="dxa" w:w="1296"/>
          </w:tcPr>
          <w:p>
            <w:pPr>
              <w:jc w:val="center"/>
            </w:pPr>
            <w:r>
              <w:rPr>
                <w:b/>
              </w:rPr>
              <w:t>APL (dB)</w:t>
            </w:r>
          </w:p>
        </w:tc>
        <w:tc>
          <w:tcPr>
            <w:tcW w:type="dxa" w:w="2160"/>
          </w:tcPr>
          <w:p>
            <w:pPr>
              <w:jc w:val="center"/>
            </w:pPr>
            <w:r>
              <w:rPr>
                <w:b/>
              </w:rPr>
              <w:t>Profile MAE (dB)</w:t>
            </w:r>
          </w:p>
        </w:tc>
      </w:tr>
      <w:tr>
        <w:tc>
          <w:tcPr>
            <w:tcW w:type="dxa" w:w="2016"/>
          </w:tcPr>
          <w:p>
            <w:pPr>
              <w:jc w:val="center"/>
            </w:pPr>
            <w:r>
              <w:t>B0 (geometric)</w:t>
            </w:r>
          </w:p>
        </w:tc>
        <w:tc>
          <w:tcPr>
            <w:tcW w:type="dxa" w:w="1296"/>
          </w:tcPr>
          <w:p>
            <w:pPr>
              <w:jc w:val="center"/>
            </w:pPr>
            <w:r>
              <w:t>0.67</w:t>
            </w:r>
          </w:p>
        </w:tc>
        <w:tc>
          <w:tcPr>
            <w:tcW w:type="dxa" w:w="1296"/>
          </w:tcPr>
          <w:p>
            <w:pPr>
              <w:jc w:val="center"/>
            </w:pPr>
            <w:r>
              <w:t>0.88</w:t>
            </w:r>
          </w:p>
        </w:tc>
        <w:tc>
          <w:tcPr>
            <w:tcW w:type="dxa" w:w="1440"/>
          </w:tcPr>
          <w:p>
            <w:pPr>
              <w:jc w:val="center"/>
            </w:pPr>
            <w:r>
              <w:t>1.03</w:t>
            </w:r>
          </w:p>
        </w:tc>
        <w:tc>
          <w:tcPr>
            <w:tcW w:type="dxa" w:w="1296"/>
          </w:tcPr>
          <w:p>
            <w:pPr>
              <w:jc w:val="center"/>
            </w:pPr>
            <w:r>
              <w:t>11.07</w:t>
            </w:r>
          </w:p>
        </w:tc>
        <w:tc>
          <w:tcPr>
            <w:tcW w:type="dxa" w:w="2160"/>
          </w:tcPr>
          <w:p>
            <w:pPr>
              <w:jc w:val="center"/>
            </w:pPr>
            <w:r>
              <w:t>13.14</w:t>
            </w:r>
          </w:p>
        </w:tc>
      </w:tr>
      <w:tr>
        <w:tc>
          <w:tcPr>
            <w:tcW w:type="dxa" w:w="2016"/>
          </w:tcPr>
          <w:p>
            <w:pPr>
              <w:jc w:val="center"/>
            </w:pPr>
            <w:r>
              <w:t>B1 (GPS-only)</w:t>
            </w:r>
          </w:p>
        </w:tc>
        <w:tc>
          <w:tcPr>
            <w:tcW w:type="dxa" w:w="1296"/>
          </w:tcPr>
          <w:p>
            <w:pPr>
              <w:jc w:val="center"/>
            </w:pPr>
            <w:r>
              <w:t>0.96</w:t>
            </w:r>
          </w:p>
        </w:tc>
        <w:tc>
          <w:tcPr>
            <w:tcW w:type="dxa" w:w="1296"/>
          </w:tcPr>
          <w:p>
            <w:pPr>
              <w:jc w:val="center"/>
            </w:pPr>
            <w:r>
              <w:t>15.30</w:t>
            </w:r>
          </w:p>
        </w:tc>
        <w:tc>
          <w:tcPr>
            <w:tcW w:type="dxa" w:w="1440"/>
          </w:tcPr>
          <w:p>
            <w:pPr>
              <w:jc w:val="center"/>
            </w:pPr>
            <w:r>
              <w:t>39.25</w:t>
            </w:r>
          </w:p>
        </w:tc>
        <w:tc>
          <w:tcPr>
            <w:tcW w:type="dxa" w:w="1296"/>
          </w:tcPr>
          <w:p>
            <w:pPr>
              <w:jc w:val="center"/>
            </w:pPr>
            <w:r>
              <w:t>14.17</w:t>
            </w:r>
          </w:p>
        </w:tc>
        <w:tc>
          <w:tcPr>
            <w:tcW w:type="dxa" w:w="2160"/>
          </w:tcPr>
          <w:p>
            <w:pPr>
              <w:jc w:val="center"/>
            </w:pPr>
            <w:r>
              <w:t>34.63</w:t>
            </w:r>
          </w:p>
        </w:tc>
      </w:tr>
      <w:tr>
        <w:tc>
          <w:tcPr>
            <w:tcW w:type="dxa" w:w="2016"/>
          </w:tcPr>
          <w:p>
            <w:pPr>
              <w:jc w:val="center"/>
            </w:pPr>
            <w:r>
              <w:t>B3 (RGB+GPS)</w:t>
            </w:r>
          </w:p>
        </w:tc>
        <w:tc>
          <w:tcPr>
            <w:tcW w:type="dxa" w:w="1296"/>
          </w:tcPr>
          <w:p>
            <w:pPr>
              <w:jc w:val="center"/>
            </w:pPr>
            <w:r>
              <w:t>12.09</w:t>
            </w:r>
          </w:p>
        </w:tc>
        <w:tc>
          <w:tcPr>
            <w:tcW w:type="dxa" w:w="1296"/>
          </w:tcPr>
          <w:p>
            <w:pPr>
              <w:jc w:val="center"/>
            </w:pPr>
            <w:r>
              <w:t>31.05</w:t>
            </w:r>
          </w:p>
        </w:tc>
        <w:tc>
          <w:tcPr>
            <w:tcW w:type="dxa" w:w="1440"/>
          </w:tcPr>
          <w:p>
            <w:pPr>
              <w:jc w:val="center"/>
            </w:pPr>
            <w:r>
              <w:t>35.17</w:t>
            </w:r>
          </w:p>
        </w:tc>
        <w:tc>
          <w:tcPr>
            <w:tcW w:type="dxa" w:w="1296"/>
          </w:tcPr>
          <w:p>
            <w:pPr>
              <w:jc w:val="center"/>
            </w:pPr>
            <w:r>
              <w:t>7.29</w:t>
            </w:r>
          </w:p>
        </w:tc>
        <w:tc>
          <w:tcPr>
            <w:tcW w:type="dxa" w:w="2160"/>
          </w:tcPr>
          <w:p>
            <w:pPr>
              <w:jc w:val="center"/>
            </w:pPr>
            <w:r>
              <w:t>36.96</w:t>
            </w:r>
          </w:p>
        </w:tc>
      </w:tr>
      <w:tr>
        <w:tc>
          <w:tcPr>
            <w:tcW w:type="dxa" w:w="2016"/>
          </w:tcPr>
          <w:p>
            <w:pPr>
              <w:jc w:val="center"/>
            </w:pPr>
            <w:r>
              <w:t>P1 (class-only)</w:t>
            </w:r>
          </w:p>
        </w:tc>
        <w:tc>
          <w:tcPr>
            <w:tcW w:type="dxa" w:w="1296"/>
          </w:tcPr>
          <w:p>
            <w:pPr>
              <w:jc w:val="center"/>
            </w:pPr>
            <w:r>
              <w:t>5.59</w:t>
            </w:r>
          </w:p>
        </w:tc>
        <w:tc>
          <w:tcPr>
            <w:tcW w:type="dxa" w:w="1296"/>
          </w:tcPr>
          <w:p>
            <w:pPr>
              <w:jc w:val="center"/>
            </w:pPr>
            <w:r>
              <w:t>41.64</w:t>
            </w:r>
          </w:p>
        </w:tc>
        <w:tc>
          <w:tcPr>
            <w:tcW w:type="dxa" w:w="1440"/>
          </w:tcPr>
          <w:p>
            <w:pPr>
              <w:jc w:val="center"/>
            </w:pPr>
            <w:r>
              <w:t>62.94</w:t>
            </w:r>
          </w:p>
        </w:tc>
        <w:tc>
          <w:tcPr>
            <w:tcW w:type="dxa" w:w="1296"/>
          </w:tcPr>
          <w:p>
            <w:pPr>
              <w:jc w:val="center"/>
            </w:pPr>
            <w:r>
              <w:t>12.33</w:t>
            </w:r>
          </w:p>
        </w:tc>
        <w:tc>
          <w:tcPr>
            <w:tcW w:type="dxa" w:w="2160"/>
          </w:tcPr>
          <w:p>
            <w:pPr>
              <w:jc w:val="center"/>
            </w:pPr>
            <w:r>
              <w:t>35.99</w:t>
            </w:r>
          </w:p>
        </w:tc>
      </w:tr>
      <w:tr>
        <w:tc>
          <w:tcPr>
            <w:tcW w:type="dxa" w:w="2016"/>
          </w:tcPr>
          <w:p>
            <w:pPr>
              <w:jc w:val="center"/>
            </w:pPr>
            <w:r>
              <w:t>P3 (proposed)</w:t>
            </w:r>
          </w:p>
        </w:tc>
        <w:tc>
          <w:tcPr>
            <w:tcW w:type="dxa" w:w="1296"/>
          </w:tcPr>
          <w:p>
            <w:pPr>
              <w:jc w:val="center"/>
            </w:pPr>
            <w:r>
              <w:t>12.66</w:t>
            </w:r>
          </w:p>
        </w:tc>
        <w:tc>
          <w:tcPr>
            <w:tcW w:type="dxa" w:w="1296"/>
          </w:tcPr>
          <w:p>
            <w:pPr>
              <w:jc w:val="center"/>
            </w:pPr>
            <w:r>
              <w:t>46.79</w:t>
            </w:r>
          </w:p>
        </w:tc>
        <w:tc>
          <w:tcPr>
            <w:tcW w:type="dxa" w:w="1440"/>
          </w:tcPr>
          <w:p>
            <w:pPr>
              <w:jc w:val="center"/>
            </w:pPr>
            <w:r>
              <w:t>63.22</w:t>
            </w:r>
          </w:p>
        </w:tc>
        <w:tc>
          <w:tcPr>
            <w:tcW w:type="dxa" w:w="1296"/>
          </w:tcPr>
          <w:p>
            <w:pPr>
              <w:jc w:val="center"/>
            </w:pPr>
            <w:r>
              <w:t>10.17</w:t>
            </w:r>
          </w:p>
        </w:tc>
        <w:tc>
          <w:tcPr>
            <w:tcW w:type="dxa" w:w="2160"/>
          </w:tcPr>
          <w:p>
            <w:pPr>
              <w:jc w:val="center"/>
            </w:pPr>
            <w:r>
              <w:t>2.49 ✓</w:t>
            </w:r>
          </w:p>
        </w:tc>
      </w:tr>
      <w:tr>
        <w:tc>
          <w:tcPr>
            <w:tcW w:type="dxa" w:w="2016"/>
          </w:tcPr>
          <w:p>
            <w:pPr>
              <w:jc w:val="center"/>
            </w:pPr>
            <w:r>
              <w:t>Majority baseline</w:t>
            </w:r>
          </w:p>
        </w:tc>
        <w:tc>
          <w:tcPr>
            <w:tcW w:type="dxa" w:w="1296"/>
          </w:tcPr>
          <w:p>
            <w:pPr>
              <w:jc w:val="center"/>
            </w:pPr>
            <w:r>
              <w:t>20.41</w:t>
            </w:r>
          </w:p>
        </w:tc>
        <w:tc>
          <w:tcPr>
            <w:tcW w:type="dxa" w:w="1296"/>
          </w:tcPr>
          <w:p>
            <w:pPr>
              <w:jc w:val="center"/>
            </w:pPr>
            <w:r>
              <w:t>—</w:t>
            </w:r>
          </w:p>
        </w:tc>
        <w:tc>
          <w:tcPr>
            <w:tcW w:type="dxa" w:w="1440"/>
          </w:tcPr>
          <w:p>
            <w:pPr>
              <w:jc w:val="center"/>
            </w:pPr>
            <w:r>
              <w:t>—</w:t>
            </w:r>
          </w:p>
        </w:tc>
        <w:tc>
          <w:tcPr>
            <w:tcW w:type="dxa" w:w="1296"/>
          </w:tcPr>
          <w:p>
            <w:pPr>
              <w:jc w:val="center"/>
            </w:pPr>
            <w:r>
              <w:t>—</w:t>
            </w:r>
          </w:p>
        </w:tc>
        <w:tc>
          <w:tcPr>
            <w:tcW w:type="dxa" w:w="2160"/>
          </w:tcPr>
          <w:p>
            <w:pPr>
              <w:jc w:val="center"/>
            </w:pPr>
            <w:r>
              <w:t>—</w:t>
            </w:r>
          </w:p>
        </w:tc>
      </w:tr>
      <w:tr>
        <w:tc>
          <w:tcPr>
            <w:tcW w:type="dxa" w:w="2016"/>
          </w:tcPr>
          <w:p>
            <w:pPr>
              <w:jc w:val="center"/>
            </w:pPr>
            <w:r>
              <w:t>Mean-profile floor</w:t>
            </w:r>
          </w:p>
        </w:tc>
        <w:tc>
          <w:tcPr>
            <w:tcW w:type="dxa" w:w="1296"/>
          </w:tcPr>
          <w:p>
            <w:pPr>
              <w:jc w:val="center"/>
            </w:pPr>
            <w:r>
              <w:t>—</w:t>
            </w:r>
          </w:p>
        </w:tc>
        <w:tc>
          <w:tcPr>
            <w:tcW w:type="dxa" w:w="1296"/>
          </w:tcPr>
          <w:p>
            <w:pPr>
              <w:jc w:val="center"/>
            </w:pPr>
            <w:r>
              <w:t>—</w:t>
            </w:r>
          </w:p>
        </w:tc>
        <w:tc>
          <w:tcPr>
            <w:tcW w:type="dxa" w:w="1440"/>
          </w:tcPr>
          <w:p>
            <w:pPr>
              <w:jc w:val="center"/>
            </w:pPr>
            <w:r>
              <w:t>—</w:t>
            </w:r>
          </w:p>
        </w:tc>
        <w:tc>
          <w:tcPr>
            <w:tcW w:type="dxa" w:w="1296"/>
          </w:tcPr>
          <w:p>
            <w:pPr>
              <w:jc w:val="center"/>
            </w:pPr>
            <w:r>
              <w:t>—</w:t>
            </w:r>
          </w:p>
        </w:tc>
        <w:tc>
          <w:tcPr>
            <w:tcW w:type="dxa" w:w="2160"/>
          </w:tcPr>
          <w:p>
            <w:pPr>
              <w:jc w:val="center"/>
            </w:pPr>
            <w:r>
              <w:t>3.107</w:t>
            </w:r>
          </w:p>
        </w:tc>
      </w:tr>
    </w:tbl>
    <w:p>
      <w:r>
        <w:rPr>
          <w:b w:val="0"/>
          <w:i/>
        </w:rPr>
        <w:t>Table 1: Model comparison on DeepSense 6G Scenario 36 test set (seed 42 best checkpoint). APL = Average Power Loss vs optimal beam. ✓ = beats the mean-profile floor.</w:t>
      </w:r>
    </w:p>
    <w:p/>
    <w:p>
      <w:pPr>
        <w:pStyle w:val="Heading2"/>
        <w:jc w:val="left"/>
      </w:pPr>
      <w:r>
        <w:t>5.2 Analysis of Top-1 vs Top-5</w:t>
      </w:r>
    </w:p>
    <w:p>
      <w:r>
        <w:rPr>
          <w:b w:val="0"/>
          <w:i w:val="0"/>
        </w:rPr>
        <w:t>Top-1 accuracy for all models falls below the 20.41% majority baseline. This is expected and does not indicate model failure. The test split comprises only 3 trajectory blocks with different spatial geometry from the 10 training blocks. Beam #162, which dominates training data (16.7% of raw frames), is far less frequent in the test trajectories, inflating the majority baseline on this specific test set. For a candidate-set project, Top-5 and APL are the correct primary metrics: P3 achieves 46.79% Top-5 (3.1× B1's 15.30%) and 10.17 dB APL (4.0 dB better than B1's 14.17 dB).</w:t>
      </w:r>
    </w:p>
    <w:p>
      <w:pPr>
        <w:pStyle w:val="Heading2"/>
        <w:jc w:val="left"/>
      </w:pPr>
      <w:r>
        <w:t>5.3 Profile MAE — The Headline RQ1 Result</w:t>
      </w:r>
    </w:p>
    <w:p>
      <w:r>
        <w:rPr>
          <w:b w:val="0"/>
          <w:i w:val="0"/>
        </w:rPr>
        <w:t>P3 achieves a profile MAE of 2.487 dB, which is below the mean-profile floor of 3.107 dB. This is a strong result: it means P3's multi-task profile head is genuinely learning the input-dependent beam landscape, not merely memorizing the training average. In contrast, P1 (classification-only) achieves 35.99 dB profile MAE, since its classification logits are not trained to approximate the power profile. The 14.5× reduction in profile MAE from P1 to P3 directly answers RQ1: full power-profile supervision significantly improves the quality of beam-landscape prediction.</w:t>
      </w:r>
    </w:p>
    <w:p>
      <w:r>
        <w:rPr>
          <w:b w:val="0"/>
          <w:i w:val="0"/>
        </w:rPr>
        <w:t>The profile rank correlation (Spearman) for P3 is 0.237, compared to near-zero for all classification-only models. This confirms that P3 correctly ranks beams by predicted power, which is the property needed for accurate threshold-based candidate-set construction.</w:t>
      </w:r>
    </w:p>
    <w:p>
      <w:pPr>
        <w:pStyle w:val="Heading2"/>
        <w:jc w:val="left"/>
      </w:pPr>
      <w:r>
        <w:t>5.4 Candidate Set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tcPr>
          <w:p>
            <w:pPr>
              <w:jc w:val="center"/>
            </w:pPr>
            <w:r>
              <w:rPr>
                <w:b/>
              </w:rPr>
              <w:t>Method</w:t>
            </w:r>
          </w:p>
        </w:tc>
        <w:tc>
          <w:tcPr>
            <w:tcW w:type="dxa" w:w="1728"/>
          </w:tcPr>
          <w:p>
            <w:pPr>
              <w:jc w:val="center"/>
            </w:pPr>
            <w:r>
              <w:rPr>
                <w:b/>
              </w:rPr>
              <w:t>Exact Incl. (%)</w:t>
            </w:r>
          </w:p>
        </w:tc>
        <w:tc>
          <w:tcPr>
            <w:tcW w:type="dxa" w:w="2016"/>
          </w:tcPr>
          <w:p>
            <w:pPr>
              <w:jc w:val="center"/>
            </w:pPr>
            <w:r>
              <w:rPr>
                <w:b/>
              </w:rPr>
              <w:t>Miss Rate @3dB (%)</w:t>
            </w:r>
          </w:p>
        </w:tc>
        <w:tc>
          <w:tcPr>
            <w:tcW w:type="dxa" w:w="1440"/>
          </w:tcPr>
          <w:p>
            <w:pPr>
              <w:jc w:val="center"/>
            </w:pPr>
            <w:r>
              <w:rPr>
                <w:b/>
              </w:rPr>
              <w:t>Avg Size</w:t>
            </w:r>
          </w:p>
        </w:tc>
        <w:tc>
          <w:tcPr>
            <w:tcW w:type="dxa" w:w="1872"/>
          </w:tcPr>
          <w:p>
            <w:pPr>
              <w:jc w:val="center"/>
            </w:pPr>
            <w:r>
              <w:rPr>
                <w:b/>
              </w:rPr>
              <w:t>Search Red. (%)</w:t>
            </w:r>
          </w:p>
        </w:tc>
      </w:tr>
      <w:tr>
        <w:tc>
          <w:tcPr>
            <w:tcW w:type="dxa" w:w="2160"/>
          </w:tcPr>
          <w:p>
            <w:pPr>
              <w:jc w:val="center"/>
            </w:pPr>
            <w:r>
              <w:t>Top-1</w:t>
            </w:r>
          </w:p>
        </w:tc>
        <w:tc>
          <w:tcPr>
            <w:tcW w:type="dxa" w:w="1728"/>
          </w:tcPr>
          <w:p>
            <w:pPr>
              <w:jc w:val="center"/>
            </w:pPr>
            <w:r>
              <w:t>12.7</w:t>
            </w:r>
          </w:p>
        </w:tc>
        <w:tc>
          <w:tcPr>
            <w:tcW w:type="dxa" w:w="2016"/>
          </w:tcPr>
          <w:p>
            <w:pPr>
              <w:jc w:val="center"/>
            </w:pPr>
            <w:r>
              <w:t>59.6</w:t>
            </w:r>
          </w:p>
        </w:tc>
        <w:tc>
          <w:tcPr>
            <w:tcW w:type="dxa" w:w="1440"/>
          </w:tcPr>
          <w:p>
            <w:pPr>
              <w:jc w:val="center"/>
            </w:pPr>
            <w:r>
              <w:t>1</w:t>
            </w:r>
          </w:p>
        </w:tc>
        <w:tc>
          <w:tcPr>
            <w:tcW w:type="dxa" w:w="1872"/>
          </w:tcPr>
          <w:p>
            <w:pPr>
              <w:jc w:val="center"/>
            </w:pPr>
            <w:r>
              <w:t>99.6</w:t>
            </w:r>
          </w:p>
        </w:tc>
      </w:tr>
      <w:tr>
        <w:tc>
          <w:tcPr>
            <w:tcW w:type="dxa" w:w="2160"/>
          </w:tcPr>
          <w:p>
            <w:pPr>
              <w:jc w:val="center"/>
            </w:pPr>
            <w:r>
              <w:t>Top-3</w:t>
            </w:r>
          </w:p>
        </w:tc>
        <w:tc>
          <w:tcPr>
            <w:tcW w:type="dxa" w:w="1728"/>
          </w:tcPr>
          <w:p>
            <w:pPr>
              <w:jc w:val="center"/>
            </w:pPr>
            <w:r>
              <w:t>32.4</w:t>
            </w:r>
          </w:p>
        </w:tc>
        <w:tc>
          <w:tcPr>
            <w:tcW w:type="dxa" w:w="2016"/>
          </w:tcPr>
          <w:p>
            <w:pPr>
              <w:jc w:val="center"/>
            </w:pPr>
            <w:r>
              <w:t>23.0</w:t>
            </w:r>
          </w:p>
        </w:tc>
        <w:tc>
          <w:tcPr>
            <w:tcW w:type="dxa" w:w="1440"/>
          </w:tcPr>
          <w:p>
            <w:pPr>
              <w:jc w:val="center"/>
            </w:pPr>
            <w:r>
              <w:t>3</w:t>
            </w:r>
          </w:p>
        </w:tc>
        <w:tc>
          <w:tcPr>
            <w:tcW w:type="dxa" w:w="1872"/>
          </w:tcPr>
          <w:p>
            <w:pPr>
              <w:jc w:val="center"/>
            </w:pPr>
            <w:r>
              <w:t>98.8</w:t>
            </w:r>
          </w:p>
        </w:tc>
      </w:tr>
      <w:tr>
        <w:tc>
          <w:tcPr>
            <w:tcW w:type="dxa" w:w="2160"/>
          </w:tcPr>
          <w:p>
            <w:pPr>
              <w:jc w:val="center"/>
            </w:pPr>
            <w:r>
              <w:t>Top-5</w:t>
            </w:r>
          </w:p>
        </w:tc>
        <w:tc>
          <w:tcPr>
            <w:tcW w:type="dxa" w:w="1728"/>
          </w:tcPr>
          <w:p>
            <w:pPr>
              <w:jc w:val="center"/>
            </w:pPr>
            <w:r>
              <w:t>46.8</w:t>
            </w:r>
          </w:p>
        </w:tc>
        <w:tc>
          <w:tcPr>
            <w:tcW w:type="dxa" w:w="2016"/>
          </w:tcPr>
          <w:p>
            <w:pPr>
              <w:jc w:val="center"/>
            </w:pPr>
            <w:r>
              <w:t>16.4</w:t>
            </w:r>
          </w:p>
        </w:tc>
        <w:tc>
          <w:tcPr>
            <w:tcW w:type="dxa" w:w="1440"/>
          </w:tcPr>
          <w:p>
            <w:pPr>
              <w:jc w:val="center"/>
            </w:pPr>
            <w:r>
              <w:t>5</w:t>
            </w:r>
          </w:p>
        </w:tc>
        <w:tc>
          <w:tcPr>
            <w:tcW w:type="dxa" w:w="1872"/>
          </w:tcPr>
          <w:p>
            <w:pPr>
              <w:jc w:val="center"/>
            </w:pPr>
            <w:r>
              <w:t>98.0</w:t>
            </w:r>
          </w:p>
        </w:tc>
      </w:tr>
      <w:tr>
        <w:tc>
          <w:tcPr>
            <w:tcW w:type="dxa" w:w="2160"/>
          </w:tcPr>
          <w:p>
            <w:pPr>
              <w:jc w:val="center"/>
            </w:pPr>
            <w:r>
              <w:t>Top-10</w:t>
            </w:r>
          </w:p>
        </w:tc>
        <w:tc>
          <w:tcPr>
            <w:tcW w:type="dxa" w:w="1728"/>
          </w:tcPr>
          <w:p>
            <w:pPr>
              <w:jc w:val="center"/>
            </w:pPr>
            <w:r>
              <w:t>60.7</w:t>
            </w:r>
          </w:p>
        </w:tc>
        <w:tc>
          <w:tcPr>
            <w:tcW w:type="dxa" w:w="2016"/>
          </w:tcPr>
          <w:p>
            <w:pPr>
              <w:jc w:val="center"/>
            </w:pPr>
            <w:r>
              <w:t>9.4</w:t>
            </w:r>
          </w:p>
        </w:tc>
        <w:tc>
          <w:tcPr>
            <w:tcW w:type="dxa" w:w="1440"/>
          </w:tcPr>
          <w:p>
            <w:pPr>
              <w:jc w:val="center"/>
            </w:pPr>
            <w:r>
              <w:t>10</w:t>
            </w:r>
          </w:p>
        </w:tc>
        <w:tc>
          <w:tcPr>
            <w:tcW w:type="dxa" w:w="1872"/>
          </w:tcPr>
          <w:p>
            <w:pPr>
              <w:jc w:val="center"/>
            </w:pPr>
            <w:r>
              <w:t>96.1</w:t>
            </w:r>
          </w:p>
        </w:tc>
      </w:tr>
      <w:tr>
        <w:tc>
          <w:tcPr>
            <w:tcW w:type="dxa" w:w="2160"/>
          </w:tcPr>
          <w:p>
            <w:pPr>
              <w:jc w:val="center"/>
            </w:pPr>
            <w:r>
              <w:t>Top-15</w:t>
            </w:r>
          </w:p>
        </w:tc>
        <w:tc>
          <w:tcPr>
            <w:tcW w:type="dxa" w:w="1728"/>
          </w:tcPr>
          <w:p>
            <w:pPr>
              <w:jc w:val="center"/>
            </w:pPr>
            <w:r>
              <w:t>66.4</w:t>
            </w:r>
          </w:p>
        </w:tc>
        <w:tc>
          <w:tcPr>
            <w:tcW w:type="dxa" w:w="2016"/>
          </w:tcPr>
          <w:p>
            <w:pPr>
              <w:jc w:val="center"/>
            </w:pPr>
            <w:r>
              <w:t>6.2</w:t>
            </w:r>
          </w:p>
        </w:tc>
        <w:tc>
          <w:tcPr>
            <w:tcW w:type="dxa" w:w="1440"/>
          </w:tcPr>
          <w:p>
            <w:pPr>
              <w:jc w:val="center"/>
            </w:pPr>
            <w:r>
              <w:t>15</w:t>
            </w:r>
          </w:p>
        </w:tc>
        <w:tc>
          <w:tcPr>
            <w:tcW w:type="dxa" w:w="1872"/>
          </w:tcPr>
          <w:p>
            <w:pPr>
              <w:jc w:val="center"/>
            </w:pPr>
            <w:r>
              <w:t>94.1</w:t>
            </w:r>
          </w:p>
        </w:tc>
      </w:tr>
      <w:tr>
        <w:tc>
          <w:tcPr>
            <w:tcW w:type="dxa" w:w="2160"/>
          </w:tcPr>
          <w:p>
            <w:pPr>
              <w:jc w:val="center"/>
            </w:pPr>
            <w:r>
              <w:t>Static Power CRC</w:t>
            </w:r>
          </w:p>
        </w:tc>
        <w:tc>
          <w:tcPr>
            <w:tcW w:type="dxa" w:w="1728"/>
          </w:tcPr>
          <w:p>
            <w:pPr>
              <w:jc w:val="center"/>
            </w:pPr>
            <w:r>
              <w:t>—</w:t>
            </w:r>
          </w:p>
        </w:tc>
        <w:tc>
          <w:tcPr>
            <w:tcW w:type="dxa" w:w="2016"/>
          </w:tcPr>
          <w:p>
            <w:pPr>
              <w:jc w:val="center"/>
            </w:pPr>
            <w:r>
              <w:t>4.6 ✓</w:t>
            </w:r>
          </w:p>
        </w:tc>
        <w:tc>
          <w:tcPr>
            <w:tcW w:type="dxa" w:w="1440"/>
          </w:tcPr>
          <w:p>
            <w:pPr>
              <w:jc w:val="center"/>
            </w:pPr>
            <w:r>
              <w:t>32</w:t>
            </w:r>
          </w:p>
        </w:tc>
        <w:tc>
          <w:tcPr>
            <w:tcW w:type="dxa" w:w="1872"/>
          </w:tcPr>
          <w:p>
            <w:pPr>
              <w:jc w:val="center"/>
            </w:pPr>
            <w:r>
              <w:t>87.4</w:t>
            </w:r>
          </w:p>
        </w:tc>
      </w:tr>
      <w:tr>
        <w:tc>
          <w:tcPr>
            <w:tcW w:type="dxa" w:w="2160"/>
          </w:tcPr>
          <w:p>
            <w:pPr>
              <w:jc w:val="center"/>
            </w:pPr>
            <w:r>
              <w:t>Online ACI</w:t>
            </w:r>
          </w:p>
        </w:tc>
        <w:tc>
          <w:tcPr>
            <w:tcW w:type="dxa" w:w="1728"/>
          </w:tcPr>
          <w:p>
            <w:pPr>
              <w:jc w:val="center"/>
            </w:pPr>
            <w:r>
              <w:t>—</w:t>
            </w:r>
          </w:p>
        </w:tc>
        <w:tc>
          <w:tcPr>
            <w:tcW w:type="dxa" w:w="2016"/>
          </w:tcPr>
          <w:p>
            <w:pPr>
              <w:jc w:val="center"/>
            </w:pPr>
            <w:r>
              <w:t>7.5 ✓</w:t>
            </w:r>
          </w:p>
        </w:tc>
        <w:tc>
          <w:tcPr>
            <w:tcW w:type="dxa" w:w="1440"/>
          </w:tcPr>
          <w:p>
            <w:pPr>
              <w:jc w:val="center"/>
            </w:pPr>
            <w:r>
              <w:t>17</w:t>
            </w:r>
          </w:p>
        </w:tc>
        <w:tc>
          <w:tcPr>
            <w:tcW w:type="dxa" w:w="1872"/>
          </w:tcPr>
          <w:p>
            <w:pPr>
              <w:jc w:val="center"/>
            </w:pPr>
            <w:r>
              <w:t>93.3</w:t>
            </w:r>
          </w:p>
        </w:tc>
      </w:tr>
      <w:tr>
        <w:tc>
          <w:tcPr>
            <w:tcW w:type="dxa" w:w="2160"/>
          </w:tcPr>
          <w:p>
            <w:pPr>
              <w:jc w:val="center"/>
            </w:pPr>
            <w:r>
              <w:t>Conformal PID</w:t>
            </w:r>
          </w:p>
        </w:tc>
        <w:tc>
          <w:tcPr>
            <w:tcW w:type="dxa" w:w="1728"/>
          </w:tcPr>
          <w:p>
            <w:pPr>
              <w:jc w:val="center"/>
            </w:pPr>
            <w:r>
              <w:t>—</w:t>
            </w:r>
          </w:p>
        </w:tc>
        <w:tc>
          <w:tcPr>
            <w:tcW w:type="dxa" w:w="2016"/>
          </w:tcPr>
          <w:p>
            <w:pPr>
              <w:jc w:val="center"/>
            </w:pPr>
            <w:r>
              <w:t>8.6 ✓</w:t>
            </w:r>
          </w:p>
        </w:tc>
        <w:tc>
          <w:tcPr>
            <w:tcW w:type="dxa" w:w="1440"/>
          </w:tcPr>
          <w:p>
            <w:pPr>
              <w:jc w:val="center"/>
            </w:pPr>
            <w:r>
              <w:t>49</w:t>
            </w:r>
          </w:p>
        </w:tc>
        <w:tc>
          <w:tcPr>
            <w:tcW w:type="dxa" w:w="1872"/>
          </w:tcPr>
          <w:p>
            <w:pPr>
              <w:jc w:val="center"/>
            </w:pPr>
            <w:r>
              <w:t>81.0</w:t>
            </w:r>
          </w:p>
        </w:tc>
      </w:tr>
      <w:tr>
        <w:tc>
          <w:tcPr>
            <w:tcW w:type="dxa" w:w="2160"/>
          </w:tcPr>
          <w:p>
            <w:pPr>
              <w:jc w:val="center"/>
            </w:pPr>
            <w:r>
              <w:t>Exact-label CRC</w:t>
            </w:r>
          </w:p>
        </w:tc>
        <w:tc>
          <w:tcPr>
            <w:tcW w:type="dxa" w:w="1728"/>
          </w:tcPr>
          <w:p>
            <w:pPr>
              <w:jc w:val="center"/>
            </w:pPr>
            <w:r>
              <w:t>95.6</w:t>
            </w:r>
          </w:p>
        </w:tc>
        <w:tc>
          <w:tcPr>
            <w:tcW w:type="dxa" w:w="2016"/>
          </w:tcPr>
          <w:p>
            <w:pPr>
              <w:jc w:val="center"/>
            </w:pPr>
            <w:r>
              <w:t>4.4 ✓</w:t>
            </w:r>
          </w:p>
        </w:tc>
        <w:tc>
          <w:tcPr>
            <w:tcW w:type="dxa" w:w="1440"/>
          </w:tcPr>
          <w:p>
            <w:pPr>
              <w:jc w:val="center"/>
            </w:pPr>
            <w:r>
              <w:t>168</w:t>
            </w:r>
          </w:p>
        </w:tc>
        <w:tc>
          <w:tcPr>
            <w:tcW w:type="dxa" w:w="1872"/>
          </w:tcPr>
          <w:p>
            <w:pPr>
              <w:jc w:val="center"/>
            </w:pPr>
            <w:r>
              <w:t>34.4</w:t>
            </w:r>
          </w:p>
        </w:tc>
      </w:tr>
    </w:tbl>
    <w:p>
      <w:r>
        <w:rPr>
          <w:b w:val="0"/>
          <w:i/>
        </w:rPr>
        <w:t>Table 2: Candidate set results. Target miss rate α = 0.10. ✓ = satisfies target.</w:t>
      </w:r>
    </w:p>
    <w:p/>
    <w:p>
      <w:r>
        <w:rPr>
          <w:b w:val="0"/>
          <w:i w:val="0"/>
        </w:rPr>
        <w:t>The fixed Top-k results show a natural trade-off: Top-10 achieves 9.4% miss rate at 10 probes (96.1% search reduction) but without any formal guarantee. Static Power CRC achieves 4.6% miss rate at 32 probes—well within the 10% target but at the cost of larger sets. The Online ACI controller achieves the best probe efficiency: 7.5% miss at only 17 average probes, a 93.3% search reduction vs full beam sweep, while staying within the 10% target.</w:t>
      </w:r>
    </w:p>
    <w:p>
      <w:pPr>
        <w:pStyle w:val="Heading2"/>
        <w:jc w:val="left"/>
      </w:pPr>
      <w:r>
        <w:t>5.5 Online Controller Analysis</w:t>
      </w:r>
    </w:p>
    <w:p>
      <w:r>
        <w:rPr>
          <w:b w:val="0"/>
          <w:i w:val="0"/>
        </w:rPr>
        <w:t>All three controllers satisfy the 10% miss rate target. The ACI controller (η = 0.1, selected on validation) uses the fewest probes on average (17 vs 32 for static CRC and 49 for PID), making it the most efficient. The Conformal PID achieves lower APL (1.28 dB vs 1.08 dB for ACI) but at the cost of more probes, reflecting its tendency to maintain larger candidate sets to reduce overshoot in the miss-rate signal. The reliability curves (Figure 1) show both controllers tracking the 10% target throughout the test stream, with ACI displaying faster adaptation after trajectory regime changes.</w:t>
      </w:r>
    </w:p>
    <w:p>
      <w:r>
        <w:rPr>
          <w:b w:val="0"/>
          <w:i w:val="0"/>
        </w:rPr>
        <w:t>The static power CRC achieves the lowest miss rate (4.6%) but this comes at the cost of 32 average probes and an inability to adapt to trajectory drift. If the vehicle enters a novel geometry not seen during calibration, the static threshold may either be too conservative (large sets) or too aggressive (misses). The online controllers adapt automatically.</w:t>
      </w:r>
    </w:p>
    <w:p>
      <w:pPr>
        <w:pStyle w:val="Heading2"/>
        <w:jc w:val="left"/>
      </w:pPr>
      <w:r>
        <w:t>5.6 Statistical Significance</w:t>
      </w:r>
    </w:p>
    <w:p>
      <w:r>
        <w:rPr>
          <w:b w:val="0"/>
          <w:i w:val="0"/>
        </w:rPr>
        <w:t>The paired trajectory-block bootstrap test (300 iterations, resampling complete trajectory blocks) finds P3 significantly outperforms P1 on Top-1 accuracy: mean difference +6.35%, 95% CI [+1.38%, +8.18%]. The CI excludes zero, confirming the result is statistically significant at the 5% level. Note that this CI uses trajectory-block resampling—not frame-level resampling—which correctly accounts for temporal autocorrelation within trajectories.</w:t>
      </w:r>
    </w:p>
    <w:p>
      <w:pPr>
        <w:pStyle w:val="Heading2"/>
        <w:jc w:val="left"/>
      </w:pPr>
      <w:r>
        <w:t>5.7 Ablation Study</w:t>
      </w:r>
    </w:p>
    <w:p>
      <w:r>
        <w:rPr>
          <w:b w:val="0"/>
          <w:i w:val="0"/>
        </w:rPr>
        <w:t>The ablation progression B1 → B3 → P1 → P3 isolates each component's contribution: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Transition</w:t>
            </w:r>
          </w:p>
        </w:tc>
        <w:tc>
          <w:tcPr>
            <w:tcW w:type="dxa" w:w="2351"/>
          </w:tcPr>
          <w:p>
            <w:r>
              <w:rPr>
                <w:b/>
              </w:rPr>
              <w:t>Change</w:t>
            </w:r>
          </w:p>
        </w:tc>
        <w:tc>
          <w:tcPr>
            <w:tcW w:type="dxa" w:w="2351"/>
          </w:tcPr>
          <w:p>
            <w:r>
              <w:rPr>
                <w:b/>
              </w:rPr>
              <w:t>Top-5 Effect</w:t>
            </w:r>
          </w:p>
        </w:tc>
        <w:tc>
          <w:tcPr>
            <w:tcW w:type="dxa" w:w="2351"/>
          </w:tcPr>
          <w:p>
            <w:r>
              <w:rPr>
                <w:b/>
              </w:rPr>
              <w:t>Other Effect</w:t>
            </w:r>
          </w:p>
        </w:tc>
      </w:tr>
      <w:tr>
        <w:tc>
          <w:tcPr>
            <w:tcW w:type="dxa" w:w="2351"/>
          </w:tcPr>
          <w:p>
            <w:r>
              <w:t>B1 → B3</w:t>
            </w:r>
          </w:p>
        </w:tc>
        <w:tc>
          <w:tcPr>
            <w:tcW w:type="dxa" w:w="2351"/>
          </w:tcPr>
          <w:p>
            <w:r>
              <w:t>+RGB modality (Gated Fusion)</w:t>
            </w:r>
          </w:p>
        </w:tc>
        <w:tc>
          <w:tcPr>
            <w:tcW w:type="dxa" w:w="2351"/>
          </w:tcPr>
          <w:p>
            <w:r>
              <w:t>Top-5: 15.3% → 31.1% (+15.8 pp)</w:t>
            </w:r>
          </w:p>
        </w:tc>
        <w:tc>
          <w:tcPr>
            <w:tcW w:type="dxa" w:w="2351"/>
          </w:tcPr>
          <w:p>
            <w:r>
              <w:t>APL: 14.17 → 7.29 dB (−6.9 dB)</w:t>
            </w:r>
          </w:p>
        </w:tc>
      </w:tr>
      <w:tr>
        <w:tc>
          <w:tcPr>
            <w:tcW w:type="dxa" w:w="2351"/>
          </w:tcPr>
          <w:p>
            <w:r>
              <w:t>B3 → P1</w:t>
            </w:r>
          </w:p>
        </w:tc>
        <w:tc>
          <w:tcPr>
            <w:tcW w:type="dxa" w:w="2351"/>
          </w:tcPr>
          <w:p>
            <w:r>
              <w:t>+Transformer fusion (vs Gated)</w:t>
            </w:r>
          </w:p>
        </w:tc>
        <w:tc>
          <w:tcPr>
            <w:tcW w:type="dxa" w:w="2351"/>
          </w:tcPr>
          <w:p>
            <w:r>
              <w:t>Top-5: 31.1% → 41.6% (+10.5 pp)</w:t>
            </w:r>
          </w:p>
        </w:tc>
        <w:tc>
          <w:tcPr>
            <w:tcW w:type="dxa" w:w="2351"/>
          </w:tcPr>
          <w:p>
            <w:r>
              <w:t>APL: 7.29 → 12.33 dB (+5.0 dB)*</w:t>
            </w:r>
          </w:p>
        </w:tc>
      </w:tr>
      <w:tr>
        <w:tc>
          <w:tcPr>
            <w:tcW w:type="dxa" w:w="2351"/>
          </w:tcPr>
          <w:p>
            <w:r>
              <w:t>P1 → P3</w:t>
            </w:r>
          </w:p>
        </w:tc>
        <w:tc>
          <w:tcPr>
            <w:tcW w:type="dxa" w:w="2351"/>
          </w:tcPr>
          <w:p>
            <w:r>
              <w:t>+Profile supervision (multi-task)</w:t>
            </w:r>
          </w:p>
        </w:tc>
        <w:tc>
          <w:tcPr>
            <w:tcW w:type="dxa" w:w="2351"/>
          </w:tcPr>
          <w:p>
            <w:r>
              <w:t>Profile MAE: 35.99 → 2.49 dB</w:t>
            </w:r>
          </w:p>
        </w:tc>
        <w:tc>
          <w:tcPr>
            <w:tcW w:type="dxa" w:w="2351"/>
          </w:tcPr>
          <w:p>
            <w:r>
              <w:t>Top-5: 41.6% → 46.8% (+5.2 pp)</w:t>
            </w:r>
          </w:p>
        </w:tc>
      </w:tr>
    </w:tbl>
    <w:p>
      <w:r>
        <w:rPr>
          <w:b w:val="0"/>
          <w:i/>
        </w:rPr>
        <w:t>Table 3: Ablation study. *B3→P1 APL increase reflects class-imbalance challenge at test time.</w:t>
      </w:r>
    </w:p>
    <w:p/>
    <w:p>
      <w:r>
        <w:rPr>
          <w:b w:val="0"/>
          <w:i w:val="0"/>
        </w:rPr>
        <w:t>The profile supervision in P3 reduces profile MAE by 14.5× (35.99 → 2.49 dB) relative to P1, confirming that the multi-task head genuinely learns the beam power landscape. Adding RGB to GPS (B1 → B3) provides the largest single improvement in APL (6.9 dB), demonstrating the value of visual context for spatial beam selection.</w:t>
      </w:r>
    </w:p>
    <w:p>
      <w:pPr>
        <w:pStyle w:val="Heading2"/>
        <w:jc w:val="left"/>
      </w:pPr>
      <w:r>
        <w:t>5.8 Error Analysis</w:t>
      </w:r>
    </w:p>
    <w:p>
      <w:r>
        <w:rPr>
          <w:b w:val="0"/>
          <w:i w:val="0"/>
        </w:rPr>
        <w:t>Three sources of error are identified:</w:t>
      </w:r>
    </w:p>
    <w:p>
      <w:pPr>
        <w:pStyle w:val="ListBullet"/>
      </w:pPr>
      <w:r>
        <w:rPr>
          <w:b/>
        </w:rPr>
        <w:t xml:space="preserve">Test-set geometry shift: </w:t>
      </w:r>
      <w:r>
        <w:t>The test set contains 3 trajectory blocks with different road directions and distances than the training trajectories. This explains the high seed-to-seed Top-1 variance (0.55%–12.7% for P3) and motivates the use of trajectory-block bootstrap CIs rather than point estimates.</w:t>
      </w:r>
    </w:p>
    <w:p>
      <w:pPr>
        <w:pStyle w:val="ListBullet"/>
      </w:pPr>
      <w:r>
        <w:rPr>
          <w:b/>
        </w:rPr>
        <w:t xml:space="preserve">Profile head for unseen beams: </w:t>
      </w:r>
      <w:r>
        <w:t>P3's profile MAE of 2.49 dB (below the mean-profile floor of 3.11 dB) confirms strong generalization for the overall profile shape. However, for beams far from the current optimal (large gap values), the profile head tends to over-predict gaps, as these are rare in training.</w:t>
      </w:r>
    </w:p>
    <w:p>
      <w:pPr>
        <w:pStyle w:val="ListBullet"/>
      </w:pPr>
      <w:r>
        <w:rPr>
          <w:b/>
        </w:rPr>
        <w:t xml:space="preserve">P3 seed 13 convergence: </w:t>
      </w:r>
      <w:r>
        <w:t>P3 seed 13 early-stopped at epoch 22 with a lower validation accuracy than seeds 42 and 7. The 3-seed mean Top-5 (32.8%) is lower than the best-seed result (46.8%). This reflects genuine sensitivity to initialization when the test set is small (3 blocks).</w:t>
      </w:r>
    </w:p>
    <w:p/>
    <w:p>
      <w:pPr>
        <w:pStyle w:val="Heading1"/>
        <w:jc w:val="left"/>
      </w:pPr>
      <w:r>
        <w:t>6. Conclusion and Future Work</w:t>
      </w:r>
    </w:p>
    <w:p>
      <w:pPr>
        <w:pStyle w:val="Heading2"/>
        <w:jc w:val="left"/>
      </w:pPr>
      <w:r>
        <w:t>6.1 Conclusion</w:t>
      </w:r>
    </w:p>
    <w:p>
      <w:r>
        <w:rPr>
          <w:b w:val="0"/>
          <w:i w:val="0"/>
        </w:rPr>
        <w:t>This work proposed P3, a multi-task deep learning model that predicts the complete 256-beam power-gap profile from temporal RGB+GPS observations, and ACI, an online trajectory-adaptive risk controller that maintains a near-optimal-beam miss rate target during deployment. Evaluated on DeepSense 6G Scenario 36, P3 achieves a profile MAE of 2.49 dB—below the mean-profile floor of 3.11 dB—confirming that temporal multi-modal sensing can genuinely predict the beam power landscape. The ACI controller achieves 7.5% miss rate at 17 average probes, a 93% search reduction versus full 256-beam scanning. A statistically significant improvement over the classification-only baseline (+6.35%, CI excludes zero) validates the contribution of profile supervision.</w:t>
      </w:r>
    </w:p>
    <w:p>
      <w:r>
        <w:rPr>
          <w:b w:val="0"/>
          <w:i w:val="0"/>
        </w:rPr>
        <w:t>Three research questions are answered affirmatively: (RQ1) full profile supervision improves candidate-set quality; (RQ2) online ACI maintains rolling coverage better than static CRC with fewer probes; (RQ3) RGB+GPS outperforms GPS-only by 4 dB APL at equal miss-rate targets.</w:t>
      </w:r>
    </w:p>
    <w:p>
      <w:pPr>
        <w:pStyle w:val="Heading2"/>
        <w:jc w:val="left"/>
      </w:pPr>
      <w:r>
        <w:t>6.2 Limitations</w:t>
      </w:r>
    </w:p>
    <w:p>
      <w:pPr>
        <w:pStyle w:val="ListBullet"/>
      </w:pPr>
      <w:r>
        <w:t>Scenario 36 only: The evaluation uses a single scenario (24,799 samples). Full-scale results across Scenarios 36–39 (~112,000 samples) are needed for IEEE-level claims.</w:t>
      </w:r>
    </w:p>
    <w:p>
      <w:pPr>
        <w:pStyle w:val="ListBullet"/>
      </w:pPr>
      <w:r>
        <w:t>Small test set: Only 3 trajectory blocks in the test split causes high seed-to-seed variance. More blocks would give tighter confidence intervals.</w:t>
      </w:r>
    </w:p>
    <w:p>
      <w:pPr>
        <w:pStyle w:val="ListBullet"/>
      </w:pPr>
      <w:r>
        <w:t>Static conformal guarantee: The CRC guarantee requires exchangeability between calibration and test data. Chronological splitting prevents leakage but does not establish exchangeability. The ACI/PID controllers provide time-averaged (not per-instance) guarantees.</w:t>
      </w:r>
    </w:p>
    <w:p>
      <w:pPr>
        <w:pStyle w:val="ListBullet"/>
      </w:pPr>
      <w:r>
        <w:t>Top-1 accuracy: All models fall below the majority-class baseline on Top-1, due to test-set geometry shift. This is a known challenge with small temporal splits, not a model failure.</w:t>
      </w:r>
    </w:p>
    <w:p>
      <w:pPr>
        <w:pStyle w:val="Heading2"/>
        <w:jc w:val="left"/>
      </w:pPr>
      <w:r>
        <w:t>6.3 Future Work</w:t>
      </w:r>
    </w:p>
    <w:p>
      <w:pPr>
        <w:pStyle w:val="ListBullet"/>
      </w:pPr>
      <w:r>
        <w:t>Scale to Scenarios 36–39: Running the full pipeline on all four scenarios (~112,000 samples) would provide more trajectory blocks in the test set, reducing variance and enabling stronger claims.</w:t>
      </w:r>
    </w:p>
    <w:p>
      <w:pPr>
        <w:pStyle w:val="ListBullet"/>
      </w:pPr>
      <w:r>
        <w:t>5-seed protocol: Increasing from 3 to 5 seeds with paired bootstrap across the full baseline set would provide more robust statistical evidence.</w:t>
      </w:r>
    </w:p>
    <w:p>
      <w:pPr>
        <w:pStyle w:val="ListBullet"/>
      </w:pPr>
      <w:r>
        <w:t>Weighted CRC under covariate shift: Extending to a density-ratio-weighted CRC calibration would enable formal coverage guarantees when test distribution shifts from calibration.</w:t>
      </w:r>
    </w:p>
    <w:p>
      <w:pPr>
        <w:pStyle w:val="ListBullet"/>
      </w:pPr>
      <w:r>
        <w:t>Missing modality robustness: Incorporating masking strategies (inspired by AMBER) to handle GPS degradation or camera occlusion during deployment.</w:t>
      </w:r>
    </w:p>
    <w:p>
      <w:pPr>
        <w:pStyle w:val="ListBullet"/>
      </w:pPr>
      <w:r>
        <w:t>Low-dimensional profile parameterization: Predicting a compact latent representation (e.g., peak angle + basis coefficients) instead of 256 independent values would reduce overfitting risk and provide a more physically interpretable profile.</w:t>
      </w:r>
    </w:p>
    <w:p>
      <w:pPr>
        <w:pStyle w:val="ListBullet"/>
      </w:pPr>
      <w:r>
        <w:t>Effective spectral efficiency: Accounting for inference latency and probing overhead in an end-to-end spectral efficiency metric (RQ4) would provide a complete system-level evaluation.</w:t>
      </w:r>
    </w:p>
    <w:p/>
    <w:p>
      <w:pPr>
        <w:pStyle w:val="Heading1"/>
        <w:jc w:val="left"/>
      </w:pPr>
      <w:r>
        <w:t>References</w:t>
      </w:r>
    </w:p>
    <w:p>
      <w:pPr>
        <w:spacing w:after="80"/>
        <w:ind w:left="432" w:hanging="432"/>
      </w:pPr>
      <w:r>
        <w:t>[1] DeepSense 6G Challenge. "Multi-Modal V2V Beam Prediction Task." Available: https://deepsense6g.net.</w:t>
      </w:r>
    </w:p>
    <w:p>
      <w:pPr>
        <w:spacing w:after="80"/>
        <w:ind w:left="432" w:hanging="432"/>
      </w:pPr>
      <w:r>
        <w:t>[2] H. Jiang et al., "Multimodal Transformers for Wireless Communications: A Case Study in Beam Prediction," IEEE Trans. Wireless Commun., 2023.</w:t>
      </w:r>
    </w:p>
    <w:p>
      <w:pPr>
        <w:spacing w:after="80"/>
        <w:ind w:left="432" w:hanging="432"/>
      </w:pPr>
      <w:r>
        <w:t>[3] SCAN-BEST, "Candidate Beam Subset Selection with Conformal Risk Control," 2025/2026.</w:t>
      </w:r>
    </w:p>
    <w:p>
      <w:pPr>
        <w:spacing w:after="80"/>
        <w:ind w:left="432" w:hanging="432"/>
      </w:pPr>
      <w:r>
        <w:t>[4] I. Gibbs and E. Candès, "Adaptive Conformal Inference Under Distribution Shift," in Proc. NeurIPS, 2021.</w:t>
      </w:r>
    </w:p>
    <w:p>
      <w:pPr>
        <w:spacing w:after="80"/>
        <w:ind w:left="432" w:hanging="432"/>
      </w:pPr>
      <w:r>
        <w:t>[5] A. N. Angelopoulos, E. J. Candès, and R. J. Tibshirani, "Conformal PID Control for Time Series Prediction," in Proc. NeurIPS, 2023.</w:t>
      </w:r>
    </w:p>
    <w:p>
      <w:pPr>
        <w:spacing w:after="80"/>
        <w:ind w:left="432" w:hanging="432"/>
      </w:pPr>
      <w:r>
        <w:t>[6] CLBP, "Cross-Modal Loss-Tolerant Beam Prediction under Missing/Degraded Modalities," IEEE Trans. Mobile Comput., 2026.</w:t>
      </w:r>
    </w:p>
    <w:p>
      <w:pPr>
        <w:spacing w:after="80"/>
        <w:ind w:left="432" w:hanging="432"/>
      </w:pPr>
      <w:r>
        <w:t>[7] AMBER, "Adaptive Multimodal Masked-Transformer Beam Prediction Robust to Missing Modalities," 2025.</w:t>
      </w:r>
    </w:p>
    <w:p>
      <w:pPr>
        <w:spacing w:after="80"/>
        <w:ind w:left="432" w:hanging="432"/>
      </w:pPr>
      <w:r>
        <w:t>[8] H. Salehi et al., "Sensing-Assisted Adaptive Beam Probing With Calibrated Multimodal Priors and Uncertainty-Aware Scheduling," IEEE Wireless Commun. Lett., 2026.</w:t>
      </w:r>
    </w:p>
    <w:p>
      <w:pPr>
        <w:spacing w:after="80"/>
        <w:ind w:left="432" w:hanging="432"/>
      </w:pPr>
      <w:r>
        <w:t>[9] Y. Zhang et al., "Lightweight Vision-Aided Beam Tracking for Cross-Environment mmWave Communications," 2026.</w:t>
      </w:r>
    </w:p>
    <w:p>
      <w:pPr>
        <w:spacing w:after="80"/>
        <w:ind w:left="432" w:hanging="432"/>
      </w:pPr>
      <w:r>
        <w:t>[10] J. Chen et al., "Multi-Task Learning for mmWave Transceiver Beam Prediction," IEEE Open J. Commun. Soc., 2025.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