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7BC00" w14:textId="437BDE89" w:rsidR="006D7CC4" w:rsidRPr="006D7CC4" w:rsidRDefault="006D7CC4" w:rsidP="006D7CC4">
      <w:pPr>
        <w:ind w:left="360" w:hanging="360"/>
        <w:jc w:val="both"/>
        <w:rPr>
          <w:b/>
          <w:bCs/>
          <w:sz w:val="32"/>
          <w:szCs w:val="32"/>
          <w:lang w:val="en-US"/>
        </w:rPr>
      </w:pPr>
      <w:r w:rsidRPr="006D7CC4">
        <w:rPr>
          <w:b/>
          <w:bCs/>
          <w:sz w:val="32"/>
          <w:szCs w:val="32"/>
          <w:lang w:val="en-US"/>
        </w:rPr>
        <w:t>Executive Summary and App Presentation</w:t>
      </w:r>
    </w:p>
    <w:p w14:paraId="14263681" w14:textId="67BF4DF2" w:rsidR="00585C0E" w:rsidRPr="00C25C12" w:rsidRDefault="00585C0E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Executive Purpose &amp; Scope</w:t>
      </w:r>
    </w:p>
    <w:p w14:paraId="0EAF3E32" w14:textId="2D6016C4" w:rsidR="001C39D4" w:rsidRPr="001C39D4" w:rsidRDefault="00585C0E" w:rsidP="001C39D4">
      <w:pPr>
        <w:jc w:val="both"/>
      </w:pPr>
      <w:r w:rsidRPr="001C39D4">
        <w:t xml:space="preserve">This executive summary reports overall threat assessment ratings produced by the Python attack-tree application for Pampered Pets using the </w:t>
      </w:r>
      <w:r w:rsidR="001C39D4" w:rsidRPr="001C39D4">
        <w:t>two</w:t>
      </w:r>
      <w:r w:rsidRPr="001C39D4">
        <w:t xml:space="preserve"> specifications (</w:t>
      </w:r>
      <w:proofErr w:type="spellStart"/>
      <w:r w:rsidRPr="001C39D4">
        <w:t>pre_</w:t>
      </w:r>
      <w:proofErr w:type="gramStart"/>
      <w:r w:rsidRPr="001C39D4">
        <w:t>digital.yaml</w:t>
      </w:r>
      <w:proofErr w:type="spellEnd"/>
      <w:proofErr w:type="gramEnd"/>
      <w:r w:rsidRPr="001C39D4">
        <w:t xml:space="preserve"> and </w:t>
      </w:r>
      <w:proofErr w:type="spellStart"/>
      <w:r w:rsidRPr="001C39D4">
        <w:t>post_</w:t>
      </w:r>
      <w:proofErr w:type="gramStart"/>
      <w:r w:rsidRPr="001C39D4">
        <w:t>digital.yaml</w:t>
      </w:r>
      <w:proofErr w:type="spellEnd"/>
      <w:proofErr w:type="gramEnd"/>
      <w:r w:rsidRPr="001C39D4">
        <w:t xml:space="preserve">). The scope is limited to business processes, systems, and data flows exactly as encoded in those models. The model’s top event is any modelled attack path that results in a material business loss (disruption or compromise of records or operations). Results are calculated for a </w:t>
      </w:r>
      <w:r w:rsidR="001C39D4" w:rsidRPr="001C39D4">
        <w:t>12-month</w:t>
      </w:r>
      <w:r w:rsidRPr="001C39D4">
        <w:t xml:space="preserve"> horizon in GBP (£) and include: </w:t>
      </w:r>
    </w:p>
    <w:p w14:paraId="040D9E5B" w14:textId="303ADDAD" w:rsidR="00C25C12" w:rsidRPr="001C39D4" w:rsidRDefault="00C25C12" w:rsidP="00C25C12">
      <w:pPr>
        <w:jc w:val="both"/>
      </w:pPr>
      <w:r>
        <w:rPr>
          <w:noProof/>
        </w:rPr>
        <w:drawing>
          <wp:inline distT="0" distB="0" distL="0" distR="0" wp14:anchorId="5D56FF93" wp14:editId="20777DB6">
            <wp:extent cx="5922010" cy="1202267"/>
            <wp:effectExtent l="38100" t="19050" r="21590" b="0"/>
            <wp:docPr id="467166637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CF56E19" w14:textId="3F177DC3" w:rsidR="00DC32A3" w:rsidRPr="001C39D4" w:rsidRDefault="00585C0E" w:rsidP="001C39D4">
      <w:pPr>
        <w:jc w:val="both"/>
      </w:pPr>
      <w:r w:rsidRPr="001C39D4">
        <w:t>Interpretation is constrained to the nodes, parameters, and AND/OR operators defined in the YAML files, and leaf events are treated as independent unless explicitly stated.</w:t>
      </w:r>
    </w:p>
    <w:p w14:paraId="6311C595" w14:textId="639532D7" w:rsidR="002777C0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Context and Scope</w:t>
      </w:r>
    </w:p>
    <w:p w14:paraId="3BD5C710" w14:textId="71898E95" w:rsidR="002777C0" w:rsidRPr="002777C0" w:rsidRDefault="002777C0" w:rsidP="001C39D4">
      <w:pPr>
        <w:jc w:val="both"/>
      </w:pPr>
      <w:r w:rsidRPr="002777C0">
        <w:t xml:space="preserve">Pampered Pets is a micro-sized UK retailer with 4 employees and predominantly face-to-face sales. This section documents how probabilities and monetary impacts were assigned to leaf nodes in the attack trees without using any sales-per-hour estimation. The figures are inputs to the Python application, which </w:t>
      </w:r>
      <w:r w:rsidR="001C39D4" w:rsidRPr="001C39D4">
        <w:t>applies to</w:t>
      </w:r>
      <w:r w:rsidRPr="002777C0">
        <w:t xml:space="preserve"> the tree operators to compute annualised loss at the root. Scope is limited to processes, systems, and data flows exactly as encoded in </w:t>
      </w:r>
      <w:proofErr w:type="spellStart"/>
      <w:r w:rsidRPr="002777C0">
        <w:t>pre_</w:t>
      </w:r>
      <w:proofErr w:type="gramStart"/>
      <w:r w:rsidRPr="002777C0">
        <w:t>digital.yaml</w:t>
      </w:r>
      <w:proofErr w:type="spellEnd"/>
      <w:proofErr w:type="gramEnd"/>
      <w:r w:rsidRPr="002777C0">
        <w:t xml:space="preserve"> and </w:t>
      </w:r>
      <w:proofErr w:type="spellStart"/>
      <w:r w:rsidRPr="002777C0">
        <w:t>post_</w:t>
      </w:r>
      <w:proofErr w:type="gramStart"/>
      <w:r w:rsidRPr="002777C0">
        <w:t>digital.yaml</w:t>
      </w:r>
      <w:proofErr w:type="spellEnd"/>
      <w:proofErr w:type="gramEnd"/>
      <w:r w:rsidRPr="002777C0">
        <w:t>.</w:t>
      </w:r>
    </w:p>
    <w:p w14:paraId="0C8954B4" w14:textId="64CD01AE" w:rsidR="002777C0" w:rsidRPr="00C25C12" w:rsidRDefault="002777C0" w:rsidP="00B904E1">
      <w:pPr>
        <w:pStyle w:val="ListParagraph"/>
        <w:numPr>
          <w:ilvl w:val="0"/>
          <w:numId w:val="7"/>
        </w:numPr>
        <w:tabs>
          <w:tab w:val="left" w:pos="6624"/>
        </w:tabs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Methodology</w:t>
      </w:r>
    </w:p>
    <w:p w14:paraId="62FB2522" w14:textId="77777777" w:rsidR="00E874F2" w:rsidRPr="00E874F2" w:rsidRDefault="00E874F2" w:rsidP="00E874F2">
      <w:pPr>
        <w:tabs>
          <w:tab w:val="left" w:pos="6624"/>
        </w:tabs>
        <w:jc w:val="both"/>
      </w:pPr>
      <w:r w:rsidRPr="00E874F2">
        <w:t xml:space="preserve">We model attack paths as an AND/OR tree. Probabilities aggregate on the structure: </w:t>
      </w:r>
    </w:p>
    <w:p w14:paraId="4AF237E5" w14:textId="77777777" w:rsidR="00E874F2" w:rsidRPr="00E874F2" w:rsidRDefault="00E874F2" w:rsidP="00E874F2">
      <w:pPr>
        <w:pStyle w:val="ListParagraph"/>
        <w:numPr>
          <w:ilvl w:val="0"/>
          <w:numId w:val="8"/>
        </w:numPr>
        <w:tabs>
          <w:tab w:val="left" w:pos="6624"/>
        </w:tabs>
        <w:jc w:val="both"/>
      </w:pPr>
      <w:r w:rsidRPr="00E874F2">
        <w:t>AND = product of child probabilities</w:t>
      </w:r>
    </w:p>
    <w:p w14:paraId="7D4108EB" w14:textId="35AE6009" w:rsidR="00E874F2" w:rsidRPr="00E874F2" w:rsidRDefault="00E874F2" w:rsidP="00E874F2">
      <w:pPr>
        <w:pStyle w:val="ListParagraph"/>
        <w:numPr>
          <w:ilvl w:val="0"/>
          <w:numId w:val="8"/>
        </w:numPr>
        <w:tabs>
          <w:tab w:val="left" w:pos="6624"/>
        </w:tabs>
        <w:jc w:val="both"/>
      </w:pPr>
      <w:r w:rsidRPr="00E874F2">
        <w:t xml:space="preserve">OR = </w:t>
      </w:r>
      <m:oMath>
        <m:r>
          <w:rPr>
            <w:rFonts w:ascii="Cambria Math" w:hAnsi="Cambria Math"/>
          </w:rPr>
          <m:t>1-∏(1-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E874F2">
        <w:t>. Monetary impacts are defined only on leaf events</w:t>
      </w:r>
    </w:p>
    <w:p w14:paraId="50A1DDA8" w14:textId="77777777" w:rsidR="00E874F2" w:rsidRPr="00E874F2" w:rsidRDefault="00E874F2" w:rsidP="00E64DEC">
      <w:pPr>
        <w:tabs>
          <w:tab w:val="left" w:pos="6624"/>
        </w:tabs>
      </w:pPr>
      <w:r w:rsidRPr="00E874F2">
        <w:t>we do not aggregate impacts at internal nodes.</w:t>
      </w:r>
      <w:r w:rsidRPr="00E874F2">
        <w:br/>
      </w:r>
      <w:r w:rsidRPr="00E64DEC">
        <w:rPr>
          <w:b/>
          <w:bCs/>
        </w:rPr>
        <w:t>KPIs reported:</w:t>
      </w:r>
      <w:r w:rsidRPr="00E874F2">
        <w:t xml:space="preserve"> </w:t>
      </w:r>
    </w:p>
    <w:p w14:paraId="7C69D650" w14:textId="0E865FFC" w:rsidR="00E874F2" w:rsidRPr="00E874F2" w:rsidRDefault="00E874F2" w:rsidP="00E874F2">
      <w:pPr>
        <w:pStyle w:val="ListParagraph"/>
        <w:numPr>
          <w:ilvl w:val="0"/>
          <w:numId w:val="9"/>
        </w:numPr>
        <w:tabs>
          <w:tab w:val="left" w:pos="6624"/>
        </w:tabs>
        <w:jc w:val="both"/>
      </w:pPr>
      <w:r w:rsidRPr="00E874F2">
        <w:t xml:space="preserve">Top-event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m:t>top</m:t>
            </m:r>
          </m:sub>
        </m:sSub>
      </m:oMath>
      <w:r w:rsidRPr="00E874F2">
        <w:t xml:space="preserve">at the root; (ii) </w:t>
      </w:r>
    </w:p>
    <w:p w14:paraId="326AB0B5" w14:textId="2BFA608A" w:rsidR="00E874F2" w:rsidRPr="00E874F2" w:rsidRDefault="00E874F2" w:rsidP="00E874F2">
      <w:pPr>
        <w:pStyle w:val="ListParagraph"/>
        <w:numPr>
          <w:ilvl w:val="0"/>
          <w:numId w:val="9"/>
        </w:numPr>
        <w:tabs>
          <w:tab w:val="left" w:pos="6624"/>
        </w:tabs>
      </w:pPr>
      <w:r w:rsidRPr="00E874F2">
        <w:t xml:space="preserve">Expected loss </w:t>
      </w:r>
      <m:oMath>
        <m:r>
          <w:rPr>
            <w:rFonts w:ascii="Cambria Math" w:hAnsi="Cambria Math"/>
          </w:rPr>
          <m:t>E[L]=</m:t>
        </m:r>
        <m:nary>
          <m:naryPr>
            <m:chr m:val="∑"/>
            <m:limLoc m:val="subSup"/>
            <m:grow m:val="1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nor/>
              </m:rPr>
              <m:t>leaves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E874F2">
        <w:t>.</w:t>
      </w:r>
    </w:p>
    <w:p w14:paraId="70AB4652" w14:textId="7CE68434" w:rsidR="002777C0" w:rsidRPr="001C39D4" w:rsidRDefault="00E874F2" w:rsidP="00E874F2">
      <w:pPr>
        <w:tabs>
          <w:tab w:val="left" w:pos="6624"/>
        </w:tabs>
      </w:pPr>
      <w:r w:rsidRPr="00E874F2">
        <w:rPr>
          <w:b/>
          <w:bCs/>
        </w:rPr>
        <w:lastRenderedPageBreak/>
        <w:t>Assumptions:</w:t>
      </w:r>
      <w:r w:rsidRPr="00E874F2">
        <w:t xml:space="preserve"> leaf probabilities are treated as conditionally independent within each gate; impacts are point estimates. Limitations (dependence, path overlap) are noted; a simple one-leaf sensitivity check is provided in the UI</w:t>
      </w:r>
      <w:r w:rsidR="001C39D4" w:rsidRPr="001C39D4">
        <w:t>.</w:t>
      </w:r>
    </w:p>
    <w:p w14:paraId="30FFF756" w14:textId="3BC41FAC" w:rsidR="002777C0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Scales used for consistency</w:t>
      </w:r>
    </w:p>
    <w:p w14:paraId="66C05FE1" w14:textId="6E0E18EF" w:rsidR="002777C0" w:rsidRPr="001C39D4" w:rsidRDefault="001C39D4" w:rsidP="001C39D4">
      <w:pPr>
        <w:jc w:val="both"/>
      </w:pPr>
      <w:r w:rsidRPr="001C39D4">
        <w:t>These semi-quantitative bands anchor estimates and keeps consistency across leaves, aligned with ISO/IEC 27005’s guidance on likelihood and impact estimation (ISO/IEC, 2018).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25"/>
        <w:gridCol w:w="1842"/>
        <w:gridCol w:w="2292"/>
        <w:gridCol w:w="1320"/>
        <w:gridCol w:w="2681"/>
      </w:tblGrid>
      <w:tr w:rsidR="002777C0" w:rsidRPr="002777C0" w14:paraId="23658925" w14:textId="77777777" w:rsidTr="00277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A64D590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Scale</w:t>
            </w:r>
          </w:p>
        </w:tc>
        <w:tc>
          <w:tcPr>
            <w:tcW w:w="0" w:type="auto"/>
            <w:hideMark/>
          </w:tcPr>
          <w:p w14:paraId="0961F5D1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Probability (annual)</w:t>
            </w:r>
          </w:p>
        </w:tc>
        <w:tc>
          <w:tcPr>
            <w:tcW w:w="0" w:type="auto"/>
            <w:hideMark/>
          </w:tcPr>
          <w:p w14:paraId="0E201A30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Interpretation</w:t>
            </w:r>
          </w:p>
        </w:tc>
        <w:tc>
          <w:tcPr>
            <w:tcW w:w="0" w:type="auto"/>
            <w:hideMark/>
          </w:tcPr>
          <w:p w14:paraId="00994CF4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Impact (£)</w:t>
            </w:r>
          </w:p>
        </w:tc>
        <w:tc>
          <w:tcPr>
            <w:tcW w:w="0" w:type="auto"/>
            <w:hideMark/>
          </w:tcPr>
          <w:p w14:paraId="1429D1E2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Interpretation</w:t>
            </w:r>
          </w:p>
        </w:tc>
      </w:tr>
      <w:tr w:rsidR="002777C0" w:rsidRPr="002777C0" w14:paraId="7E3798A6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B1EB5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Very Low (1)</w:t>
            </w:r>
          </w:p>
        </w:tc>
        <w:tc>
          <w:tcPr>
            <w:tcW w:w="0" w:type="auto"/>
            <w:hideMark/>
          </w:tcPr>
          <w:p w14:paraId="21E5C1D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≤ 1%</w:t>
            </w:r>
          </w:p>
        </w:tc>
        <w:tc>
          <w:tcPr>
            <w:tcW w:w="0" w:type="auto"/>
            <w:hideMark/>
          </w:tcPr>
          <w:p w14:paraId="0648FF4D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Rare in SME context</w:t>
            </w:r>
          </w:p>
        </w:tc>
        <w:tc>
          <w:tcPr>
            <w:tcW w:w="0" w:type="auto"/>
            <w:hideMark/>
          </w:tcPr>
          <w:p w14:paraId="3976E7AE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≤ 10,000</w:t>
            </w:r>
          </w:p>
        </w:tc>
        <w:tc>
          <w:tcPr>
            <w:tcW w:w="0" w:type="auto"/>
            <w:hideMark/>
          </w:tcPr>
          <w:p w14:paraId="21A2D0F9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Negligible operational effect</w:t>
            </w:r>
          </w:p>
        </w:tc>
      </w:tr>
      <w:tr w:rsidR="002777C0" w:rsidRPr="002777C0" w14:paraId="4759CBD6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82159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Low (2)</w:t>
            </w:r>
          </w:p>
        </w:tc>
        <w:tc>
          <w:tcPr>
            <w:tcW w:w="0" w:type="auto"/>
            <w:hideMark/>
          </w:tcPr>
          <w:p w14:paraId="255435B7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2–10%</w:t>
            </w:r>
          </w:p>
        </w:tc>
        <w:tc>
          <w:tcPr>
            <w:tcW w:w="0" w:type="auto"/>
            <w:hideMark/>
          </w:tcPr>
          <w:p w14:paraId="2A9D73EA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Possible once every few years</w:t>
            </w:r>
          </w:p>
        </w:tc>
        <w:tc>
          <w:tcPr>
            <w:tcW w:w="0" w:type="auto"/>
            <w:hideMark/>
          </w:tcPr>
          <w:p w14:paraId="7574A7F4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10,001–50,000</w:t>
            </w:r>
          </w:p>
        </w:tc>
        <w:tc>
          <w:tcPr>
            <w:tcW w:w="0" w:type="auto"/>
            <w:hideMark/>
          </w:tcPr>
          <w:p w14:paraId="175C3494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Minor financial or reputational loss</w:t>
            </w:r>
          </w:p>
        </w:tc>
      </w:tr>
      <w:tr w:rsidR="002777C0" w:rsidRPr="002777C0" w14:paraId="443498C3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DA1D0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Medium (3)</w:t>
            </w:r>
          </w:p>
        </w:tc>
        <w:tc>
          <w:tcPr>
            <w:tcW w:w="0" w:type="auto"/>
            <w:hideMark/>
          </w:tcPr>
          <w:p w14:paraId="696596EE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11–40%</w:t>
            </w:r>
          </w:p>
        </w:tc>
        <w:tc>
          <w:tcPr>
            <w:tcW w:w="0" w:type="auto"/>
            <w:hideMark/>
          </w:tcPr>
          <w:p w14:paraId="795C17A7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Could occur annually</w:t>
            </w:r>
          </w:p>
        </w:tc>
        <w:tc>
          <w:tcPr>
            <w:tcW w:w="0" w:type="auto"/>
            <w:hideMark/>
          </w:tcPr>
          <w:p w14:paraId="5D0450C9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50,001–100,000</w:t>
            </w:r>
          </w:p>
        </w:tc>
        <w:tc>
          <w:tcPr>
            <w:tcW w:w="0" w:type="auto"/>
            <w:hideMark/>
          </w:tcPr>
          <w:p w14:paraId="099C174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Noticeable but recoverable disruption</w:t>
            </w:r>
          </w:p>
        </w:tc>
      </w:tr>
      <w:tr w:rsidR="002777C0" w:rsidRPr="002777C0" w14:paraId="403A7CB0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5589E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High (4)</w:t>
            </w:r>
          </w:p>
        </w:tc>
        <w:tc>
          <w:tcPr>
            <w:tcW w:w="0" w:type="auto"/>
            <w:hideMark/>
          </w:tcPr>
          <w:p w14:paraId="03B56ED5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41–70%</w:t>
            </w:r>
          </w:p>
        </w:tc>
        <w:tc>
          <w:tcPr>
            <w:tcW w:w="0" w:type="auto"/>
            <w:hideMark/>
          </w:tcPr>
          <w:p w14:paraId="62699527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Likely within the year</w:t>
            </w:r>
          </w:p>
        </w:tc>
        <w:tc>
          <w:tcPr>
            <w:tcW w:w="0" w:type="auto"/>
            <w:hideMark/>
          </w:tcPr>
          <w:p w14:paraId="078BE6B8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100,001–250,000</w:t>
            </w:r>
          </w:p>
        </w:tc>
        <w:tc>
          <w:tcPr>
            <w:tcW w:w="0" w:type="auto"/>
            <w:hideMark/>
          </w:tcPr>
          <w:p w14:paraId="1D1EC363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Significant disruption and costly recovery</w:t>
            </w:r>
          </w:p>
        </w:tc>
      </w:tr>
      <w:tr w:rsidR="002777C0" w:rsidRPr="002777C0" w14:paraId="366CA767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E4FF8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Very High (5)</w:t>
            </w:r>
          </w:p>
        </w:tc>
        <w:tc>
          <w:tcPr>
            <w:tcW w:w="0" w:type="auto"/>
            <w:hideMark/>
          </w:tcPr>
          <w:p w14:paraId="6BDEA36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&gt; 70%</w:t>
            </w:r>
          </w:p>
        </w:tc>
        <w:tc>
          <w:tcPr>
            <w:tcW w:w="0" w:type="auto"/>
            <w:hideMark/>
          </w:tcPr>
          <w:p w14:paraId="572E824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Expected at least once per year</w:t>
            </w:r>
          </w:p>
        </w:tc>
        <w:tc>
          <w:tcPr>
            <w:tcW w:w="0" w:type="auto"/>
            <w:hideMark/>
          </w:tcPr>
          <w:p w14:paraId="2E47AC24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&gt; 250,000</w:t>
            </w:r>
          </w:p>
        </w:tc>
        <w:tc>
          <w:tcPr>
            <w:tcW w:w="0" w:type="auto"/>
            <w:hideMark/>
          </w:tcPr>
          <w:p w14:paraId="0EA3A138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Severe business or data impact</w:t>
            </w:r>
          </w:p>
        </w:tc>
      </w:tr>
    </w:tbl>
    <w:p w14:paraId="7BCD62FC" w14:textId="77777777" w:rsidR="002777C0" w:rsidRPr="002777C0" w:rsidRDefault="002777C0" w:rsidP="001C39D4">
      <w:pPr>
        <w:jc w:val="both"/>
      </w:pPr>
    </w:p>
    <w:p w14:paraId="237ECE52" w14:textId="153DC214" w:rsidR="002777C0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Probability assignment</w:t>
      </w:r>
    </w:p>
    <w:p w14:paraId="52BDF5A8" w14:textId="7BE8E6F8" w:rsidR="002777C0" w:rsidRPr="002777C0" w:rsidRDefault="001C39D4" w:rsidP="001C39D4">
      <w:pPr>
        <w:jc w:val="both"/>
      </w:pPr>
      <w:r w:rsidRPr="001C39D4">
        <w:t>Annual probabilities were informed by empirical threat frequency and pathway data from the Verizon DBIR and ENISA Threat Landscape for small organisations and retail-relevant attack vectors (Verizon, 2024; ENISA, 2023). For power reliability, baseline outage likelihoods were aligned to UK network indicators (Ofgem, 2023). Micro-retail operational context and exposure were cross-checked against UK convenience retail characteristics to avoid overstating event rates for a four-person shop (ACS, 2024). Where only enterprise-wide rates were available, SME-appropriate subsets or conservative adjustments were applied (Verizon, 2024; ENISA, 2023)</w:t>
      </w:r>
      <w:r w:rsidR="002777C0" w:rsidRPr="002777C0">
        <w:t>.</w:t>
      </w:r>
    </w:p>
    <w:p w14:paraId="39622BBF" w14:textId="408F468F" w:rsidR="002777C0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Impact estimation</w:t>
      </w:r>
    </w:p>
    <w:p w14:paraId="063509D8" w14:textId="386E3DC9" w:rsidR="002777C0" w:rsidRPr="002777C0" w:rsidRDefault="001C39D4" w:rsidP="001C39D4">
      <w:pPr>
        <w:jc w:val="both"/>
      </w:pPr>
      <w:r w:rsidRPr="001C39D4">
        <w:t xml:space="preserve">Single-loss impacts were derived from high-quality breach-cost studies and then scaled to the Pampered Pets context by selecting applicable cost components and down-weighting those unlikely to apply to a micro-retailer with limited data holdings (IBM Security, 2023; </w:t>
      </w:r>
      <w:proofErr w:type="spellStart"/>
      <w:r w:rsidRPr="001C39D4">
        <w:t>Ponemon</w:t>
      </w:r>
      <w:proofErr w:type="spellEnd"/>
      <w:r w:rsidRPr="001C39D4">
        <w:t xml:space="preserve"> Institute, 2023; ACS, 2024). Ransomware-related loss components (e.g., recovery </w:t>
      </w:r>
      <w:r w:rsidRPr="001C39D4">
        <w:lastRenderedPageBreak/>
        <w:t>labour, downtime, restoration, refunds) were anchored to ransomware cost analyses and tempered for SME scope (</w:t>
      </w:r>
      <w:proofErr w:type="spellStart"/>
      <w:r w:rsidRPr="001C39D4">
        <w:t>Ponemon</w:t>
      </w:r>
      <w:proofErr w:type="spellEnd"/>
      <w:r w:rsidRPr="001C39D4">
        <w:t xml:space="preserve"> Institute, 2023; IBM Security, 2023). Sector and data-depth adjustments reflect retail threat profiles summarised by ENISA (ENISA, 2023). The resulting single-loss impacts are listed per leaf below; they are inputs to the model’s aggregation and not enterprise-scale costs transplanted wholesale (IBM Security, 2023; ACS, 2024).</w:t>
      </w:r>
    </w:p>
    <w:p w14:paraId="1DAE845B" w14:textId="39CAE32A" w:rsidR="00585C0E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Pre-digital attack tree: leaf estimates</w:t>
      </w:r>
    </w:p>
    <w:tbl>
      <w:tblPr>
        <w:tblStyle w:val="PlainTable3"/>
        <w:tblW w:w="9488" w:type="dxa"/>
        <w:tblLook w:val="04A0" w:firstRow="1" w:lastRow="0" w:firstColumn="1" w:lastColumn="0" w:noHBand="0" w:noVBand="1"/>
      </w:tblPr>
      <w:tblGrid>
        <w:gridCol w:w="2328"/>
        <w:gridCol w:w="3386"/>
        <w:gridCol w:w="1416"/>
        <w:gridCol w:w="1118"/>
        <w:gridCol w:w="1240"/>
      </w:tblGrid>
      <w:tr w:rsidR="002777C0" w:rsidRPr="002777C0" w14:paraId="171AD6C9" w14:textId="77777777" w:rsidTr="00277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8" w:type="dxa"/>
            <w:hideMark/>
          </w:tcPr>
          <w:p w14:paraId="77CF8A26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Node ID</w:t>
            </w:r>
          </w:p>
        </w:tc>
        <w:tc>
          <w:tcPr>
            <w:tcW w:w="0" w:type="auto"/>
            <w:hideMark/>
          </w:tcPr>
          <w:p w14:paraId="6FF3C671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7610D9F4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Probability</w:t>
            </w:r>
          </w:p>
        </w:tc>
        <w:tc>
          <w:tcPr>
            <w:tcW w:w="0" w:type="auto"/>
            <w:hideMark/>
          </w:tcPr>
          <w:p w14:paraId="7F865E0C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Impact (£)</w:t>
            </w:r>
          </w:p>
        </w:tc>
        <w:tc>
          <w:tcPr>
            <w:tcW w:w="0" w:type="auto"/>
            <w:hideMark/>
          </w:tcPr>
          <w:p w14:paraId="60D2EEAA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ALE (£/year)</w:t>
            </w:r>
          </w:p>
        </w:tc>
      </w:tr>
      <w:tr w:rsidR="002777C0" w:rsidRPr="002777C0" w14:paraId="6990DD76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7BAEAD7D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pos_fail</w:t>
            </w:r>
          </w:p>
        </w:tc>
        <w:tc>
          <w:tcPr>
            <w:tcW w:w="0" w:type="auto"/>
            <w:hideMark/>
          </w:tcPr>
          <w:p w14:paraId="774297C2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Front-desk POS software or hardware failure</w:t>
            </w:r>
          </w:p>
        </w:tc>
        <w:tc>
          <w:tcPr>
            <w:tcW w:w="0" w:type="auto"/>
            <w:hideMark/>
          </w:tcPr>
          <w:p w14:paraId="50C4D759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0" w:type="auto"/>
            <w:hideMark/>
          </w:tcPr>
          <w:p w14:paraId="2A86648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£25,000</w:t>
            </w:r>
          </w:p>
        </w:tc>
        <w:tc>
          <w:tcPr>
            <w:tcW w:w="0" w:type="auto"/>
            <w:hideMark/>
          </w:tcPr>
          <w:p w14:paraId="00CA3CF3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£12,500</w:t>
            </w:r>
          </w:p>
        </w:tc>
      </w:tr>
      <w:tr w:rsidR="002777C0" w:rsidRPr="002777C0" w14:paraId="1999EAB4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758CF7FE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no_backup</w:t>
            </w:r>
          </w:p>
        </w:tc>
        <w:tc>
          <w:tcPr>
            <w:tcW w:w="0" w:type="auto"/>
            <w:hideMark/>
          </w:tcPr>
          <w:p w14:paraId="3C12C7CE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No or weak backups of sales records</w:t>
            </w:r>
          </w:p>
        </w:tc>
        <w:tc>
          <w:tcPr>
            <w:tcW w:w="0" w:type="auto"/>
            <w:hideMark/>
          </w:tcPr>
          <w:p w14:paraId="3787FF7B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0" w:type="auto"/>
            <w:hideMark/>
          </w:tcPr>
          <w:p w14:paraId="7760DCC2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£180,000</w:t>
            </w:r>
          </w:p>
        </w:tc>
        <w:tc>
          <w:tcPr>
            <w:tcW w:w="0" w:type="auto"/>
            <w:hideMark/>
          </w:tcPr>
          <w:p w14:paraId="5A01FED4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£18,000</w:t>
            </w:r>
          </w:p>
        </w:tc>
      </w:tr>
      <w:tr w:rsidR="002777C0" w:rsidRPr="002777C0" w14:paraId="1FE8BD8E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40CDAD25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corrupt</w:t>
            </w:r>
          </w:p>
        </w:tc>
        <w:tc>
          <w:tcPr>
            <w:tcW w:w="0" w:type="auto"/>
            <w:hideMark/>
          </w:tcPr>
          <w:p w14:paraId="2D782F4C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Spreadsheet corruption</w:t>
            </w:r>
          </w:p>
        </w:tc>
        <w:tc>
          <w:tcPr>
            <w:tcW w:w="0" w:type="auto"/>
            <w:hideMark/>
          </w:tcPr>
          <w:p w14:paraId="76BB3BB1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0" w:type="auto"/>
            <w:hideMark/>
          </w:tcPr>
          <w:p w14:paraId="07EDE147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£15,000</w:t>
            </w:r>
          </w:p>
        </w:tc>
        <w:tc>
          <w:tcPr>
            <w:tcW w:w="0" w:type="auto"/>
            <w:hideMark/>
          </w:tcPr>
          <w:p w14:paraId="4BE80A87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£1,500</w:t>
            </w:r>
          </w:p>
        </w:tc>
      </w:tr>
      <w:tr w:rsidR="002777C0" w:rsidRPr="002777C0" w14:paraId="43C55210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3EBCA244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14:paraId="65A9CE96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Accidental deletion or overwrite</w:t>
            </w:r>
          </w:p>
        </w:tc>
        <w:tc>
          <w:tcPr>
            <w:tcW w:w="0" w:type="auto"/>
            <w:hideMark/>
          </w:tcPr>
          <w:p w14:paraId="3E674010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0" w:type="auto"/>
            <w:hideMark/>
          </w:tcPr>
          <w:p w14:paraId="1A116B0D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£25,000</w:t>
            </w:r>
          </w:p>
        </w:tc>
        <w:tc>
          <w:tcPr>
            <w:tcW w:w="0" w:type="auto"/>
            <w:hideMark/>
          </w:tcPr>
          <w:p w14:paraId="29447EE8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£5,000</w:t>
            </w:r>
          </w:p>
        </w:tc>
      </w:tr>
      <w:tr w:rsidR="002777C0" w:rsidRPr="002777C0" w14:paraId="05051A0D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03EA0A1B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hdd_fail</w:t>
            </w:r>
          </w:p>
        </w:tc>
        <w:tc>
          <w:tcPr>
            <w:tcW w:w="0" w:type="auto"/>
            <w:hideMark/>
          </w:tcPr>
          <w:p w14:paraId="44925C9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Old warehouse PC HDD fails, no recent backup</w:t>
            </w:r>
          </w:p>
        </w:tc>
        <w:tc>
          <w:tcPr>
            <w:tcW w:w="0" w:type="auto"/>
            <w:hideMark/>
          </w:tcPr>
          <w:p w14:paraId="3DF5E757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0.01</w:t>
            </w:r>
          </w:p>
        </w:tc>
        <w:tc>
          <w:tcPr>
            <w:tcW w:w="0" w:type="auto"/>
            <w:hideMark/>
          </w:tcPr>
          <w:p w14:paraId="1DB8C515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£12,000</w:t>
            </w:r>
          </w:p>
        </w:tc>
        <w:tc>
          <w:tcPr>
            <w:tcW w:w="0" w:type="auto"/>
            <w:hideMark/>
          </w:tcPr>
          <w:p w14:paraId="546D6D4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£180</w:t>
            </w:r>
          </w:p>
        </w:tc>
      </w:tr>
      <w:tr w:rsidR="002777C0" w:rsidRPr="002777C0" w14:paraId="3BBAAC65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2FC52A7B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flat_net</w:t>
            </w:r>
          </w:p>
        </w:tc>
        <w:tc>
          <w:tcPr>
            <w:tcW w:w="0" w:type="auto"/>
            <w:hideMark/>
          </w:tcPr>
          <w:p w14:paraId="39FB8EA5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Flat network, staff phones on same LAN</w:t>
            </w:r>
          </w:p>
        </w:tc>
        <w:tc>
          <w:tcPr>
            <w:tcW w:w="0" w:type="auto"/>
            <w:hideMark/>
          </w:tcPr>
          <w:p w14:paraId="029C213E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0" w:type="auto"/>
            <w:hideMark/>
          </w:tcPr>
          <w:p w14:paraId="3AB3FE12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£100,000</w:t>
            </w:r>
          </w:p>
        </w:tc>
        <w:tc>
          <w:tcPr>
            <w:tcW w:w="0" w:type="auto"/>
            <w:hideMark/>
          </w:tcPr>
          <w:p w14:paraId="2626DB60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£25,000</w:t>
            </w:r>
          </w:p>
        </w:tc>
      </w:tr>
      <w:tr w:rsidR="002777C0" w:rsidRPr="002777C0" w14:paraId="78C6DC8D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03747337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weak_cfg</w:t>
            </w:r>
          </w:p>
        </w:tc>
        <w:tc>
          <w:tcPr>
            <w:tcW w:w="0" w:type="auto"/>
            <w:hideMark/>
          </w:tcPr>
          <w:p w14:paraId="2574B443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Weak Wi-Fi configuration</w:t>
            </w:r>
          </w:p>
        </w:tc>
        <w:tc>
          <w:tcPr>
            <w:tcW w:w="0" w:type="auto"/>
            <w:hideMark/>
          </w:tcPr>
          <w:p w14:paraId="0934396C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0.60</w:t>
            </w:r>
          </w:p>
        </w:tc>
        <w:tc>
          <w:tcPr>
            <w:tcW w:w="0" w:type="auto"/>
            <w:hideMark/>
          </w:tcPr>
          <w:p w14:paraId="338B97DC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£60,000</w:t>
            </w:r>
          </w:p>
        </w:tc>
        <w:tc>
          <w:tcPr>
            <w:tcW w:w="0" w:type="auto"/>
            <w:hideMark/>
          </w:tcPr>
          <w:p w14:paraId="0D4DB289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£36,000</w:t>
            </w:r>
          </w:p>
        </w:tc>
      </w:tr>
      <w:tr w:rsidR="002777C0" w:rsidRPr="002777C0" w14:paraId="0D2A6032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00080291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fd_ransom</w:t>
            </w:r>
          </w:p>
        </w:tc>
        <w:tc>
          <w:tcPr>
            <w:tcW w:w="0" w:type="auto"/>
            <w:hideMark/>
          </w:tcPr>
          <w:p w14:paraId="4E57132C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Front-desk PC ransomware encrypts records</w:t>
            </w:r>
          </w:p>
        </w:tc>
        <w:tc>
          <w:tcPr>
            <w:tcW w:w="0" w:type="auto"/>
            <w:hideMark/>
          </w:tcPr>
          <w:p w14:paraId="7D87560D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0" w:type="auto"/>
            <w:hideMark/>
          </w:tcPr>
          <w:p w14:paraId="4BFD1ABF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£180,000</w:t>
            </w:r>
          </w:p>
        </w:tc>
        <w:tc>
          <w:tcPr>
            <w:tcW w:w="0" w:type="auto"/>
            <w:hideMark/>
          </w:tcPr>
          <w:p w14:paraId="47F7EC20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£90,000</w:t>
            </w:r>
          </w:p>
        </w:tc>
      </w:tr>
      <w:tr w:rsidR="002777C0" w:rsidRPr="002777C0" w14:paraId="2E997A3E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2DB9061A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power_out</w:t>
            </w:r>
          </w:p>
        </w:tc>
        <w:tc>
          <w:tcPr>
            <w:tcW w:w="0" w:type="auto"/>
            <w:hideMark/>
          </w:tcPr>
          <w:p w14:paraId="2E2BE62B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Power outage, no UPS, abrupt shutdown/data loss</w:t>
            </w:r>
          </w:p>
        </w:tc>
        <w:tc>
          <w:tcPr>
            <w:tcW w:w="0" w:type="auto"/>
            <w:hideMark/>
          </w:tcPr>
          <w:p w14:paraId="6529C77A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0" w:type="auto"/>
            <w:hideMark/>
          </w:tcPr>
          <w:p w14:paraId="0ED67495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£8,000</w:t>
            </w:r>
          </w:p>
        </w:tc>
        <w:tc>
          <w:tcPr>
            <w:tcW w:w="0" w:type="auto"/>
            <w:hideMark/>
          </w:tcPr>
          <w:p w14:paraId="544322C3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£2,400</w:t>
            </w:r>
          </w:p>
        </w:tc>
      </w:tr>
      <w:tr w:rsidR="002777C0" w:rsidRPr="002777C0" w14:paraId="052DE133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50F36979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email_imperson</w:t>
            </w:r>
          </w:p>
        </w:tc>
        <w:tc>
          <w:tcPr>
            <w:tcW w:w="0" w:type="auto"/>
            <w:hideMark/>
          </w:tcPr>
          <w:p w14:paraId="252235B4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Email order impersonation and chargeback</w:t>
            </w:r>
          </w:p>
        </w:tc>
        <w:tc>
          <w:tcPr>
            <w:tcW w:w="0" w:type="auto"/>
            <w:hideMark/>
          </w:tcPr>
          <w:p w14:paraId="2C72FFB3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0.70</w:t>
            </w:r>
          </w:p>
        </w:tc>
        <w:tc>
          <w:tcPr>
            <w:tcW w:w="0" w:type="auto"/>
            <w:hideMark/>
          </w:tcPr>
          <w:p w14:paraId="52C8508A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£80,000</w:t>
            </w:r>
          </w:p>
        </w:tc>
        <w:tc>
          <w:tcPr>
            <w:tcW w:w="0" w:type="auto"/>
            <w:hideMark/>
          </w:tcPr>
          <w:p w14:paraId="69C6A827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£56,000</w:t>
            </w:r>
          </w:p>
        </w:tc>
      </w:tr>
    </w:tbl>
    <w:p w14:paraId="0CB799F0" w14:textId="4A28D797" w:rsidR="001C39D4" w:rsidRPr="001C39D4" w:rsidRDefault="001C39D4" w:rsidP="001C39D4">
      <w:pPr>
        <w:jc w:val="both"/>
        <w:rPr>
          <w:b/>
          <w:bCs/>
        </w:rPr>
      </w:pPr>
      <w:r w:rsidRPr="001C39D4">
        <w:rPr>
          <w:b/>
          <w:bCs/>
        </w:rPr>
        <w:t xml:space="preserve">Evidence notes (pre-digital): </w:t>
      </w:r>
      <w:r w:rsidRPr="001C39D4">
        <w:t>ransomware impact and recovery components (</w:t>
      </w:r>
      <w:proofErr w:type="spellStart"/>
      <w:r w:rsidRPr="001C39D4">
        <w:t>Ponemon</w:t>
      </w:r>
      <w:proofErr w:type="spellEnd"/>
      <w:r w:rsidRPr="001C39D4">
        <w:t xml:space="preserve"> Institute, 2023; IBM Security, 2023); email social-engineering and fraud pathways (Verizon, 2024; ENISA, 2023); Wi-Fi and flat-network exposure patterns (ENISA, 2023); power-outage likelihood baseline (Ofgem, 2023); micro-retail operating context (ACS, 2024).</w:t>
      </w:r>
    </w:p>
    <w:p w14:paraId="34A2D4B1" w14:textId="71B9EF28" w:rsidR="001C39D4" w:rsidRPr="00C25C12" w:rsidRDefault="001C39D4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Post-digital attack tree: leaf estimates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76"/>
        <w:gridCol w:w="3544"/>
        <w:gridCol w:w="1416"/>
        <w:gridCol w:w="1137"/>
        <w:gridCol w:w="1287"/>
      </w:tblGrid>
      <w:tr w:rsidR="001C39D4" w:rsidRPr="001C39D4" w14:paraId="61546842" w14:textId="77777777" w:rsidTr="001C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FE61309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Node ID</w:t>
            </w:r>
          </w:p>
        </w:tc>
        <w:tc>
          <w:tcPr>
            <w:tcW w:w="0" w:type="auto"/>
            <w:hideMark/>
          </w:tcPr>
          <w:p w14:paraId="0874FE04" w14:textId="77777777" w:rsidR="001C39D4" w:rsidRPr="001C39D4" w:rsidRDefault="001C39D4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0B418658" w14:textId="77777777" w:rsidR="001C39D4" w:rsidRPr="001C39D4" w:rsidRDefault="001C39D4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Probability</w:t>
            </w:r>
          </w:p>
        </w:tc>
        <w:tc>
          <w:tcPr>
            <w:tcW w:w="0" w:type="auto"/>
            <w:hideMark/>
          </w:tcPr>
          <w:p w14:paraId="6BCB9BDB" w14:textId="77777777" w:rsidR="001C39D4" w:rsidRPr="001C39D4" w:rsidRDefault="001C39D4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Impact (£)</w:t>
            </w:r>
          </w:p>
        </w:tc>
        <w:tc>
          <w:tcPr>
            <w:tcW w:w="0" w:type="auto"/>
            <w:hideMark/>
          </w:tcPr>
          <w:p w14:paraId="7D27221B" w14:textId="77777777" w:rsidR="001C39D4" w:rsidRPr="001C39D4" w:rsidRDefault="001C39D4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ALE (£/year)</w:t>
            </w:r>
          </w:p>
        </w:tc>
      </w:tr>
      <w:tr w:rsidR="001C39D4" w:rsidRPr="001C39D4" w14:paraId="58573614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08EF4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lastRenderedPageBreak/>
              <w:t>sqli</w:t>
            </w:r>
          </w:p>
        </w:tc>
        <w:tc>
          <w:tcPr>
            <w:tcW w:w="0" w:type="auto"/>
            <w:hideMark/>
          </w:tcPr>
          <w:p w14:paraId="27E924D2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SQL injection compromises data or state</w:t>
            </w:r>
          </w:p>
        </w:tc>
        <w:tc>
          <w:tcPr>
            <w:tcW w:w="0" w:type="auto"/>
            <w:hideMark/>
          </w:tcPr>
          <w:p w14:paraId="363661A2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0" w:type="auto"/>
            <w:hideMark/>
          </w:tcPr>
          <w:p w14:paraId="5F4C596B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£90,000</w:t>
            </w:r>
          </w:p>
        </w:tc>
        <w:tc>
          <w:tcPr>
            <w:tcW w:w="0" w:type="auto"/>
            <w:hideMark/>
          </w:tcPr>
          <w:p w14:paraId="0F0F4859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£27,000</w:t>
            </w:r>
          </w:p>
        </w:tc>
      </w:tr>
      <w:tr w:rsidR="001C39D4" w:rsidRPr="001C39D4" w14:paraId="60F8DE43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27C80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xss</w:t>
            </w:r>
          </w:p>
        </w:tc>
        <w:tc>
          <w:tcPr>
            <w:tcW w:w="0" w:type="auto"/>
            <w:hideMark/>
          </w:tcPr>
          <w:p w14:paraId="542F0F2B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Cross-site scripting, session theft or deface</w:t>
            </w:r>
          </w:p>
        </w:tc>
        <w:tc>
          <w:tcPr>
            <w:tcW w:w="0" w:type="auto"/>
            <w:hideMark/>
          </w:tcPr>
          <w:p w14:paraId="2C65C834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0" w:type="auto"/>
            <w:hideMark/>
          </w:tcPr>
          <w:p w14:paraId="57BE35BA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£45,000</w:t>
            </w:r>
          </w:p>
        </w:tc>
        <w:tc>
          <w:tcPr>
            <w:tcW w:w="0" w:type="auto"/>
            <w:hideMark/>
          </w:tcPr>
          <w:p w14:paraId="371FFB4F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£13,500</w:t>
            </w:r>
          </w:p>
        </w:tc>
      </w:tr>
      <w:tr w:rsidR="001C39D4" w:rsidRPr="001C39D4" w14:paraId="48123A19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3A501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third_js</w:t>
            </w:r>
          </w:p>
        </w:tc>
        <w:tc>
          <w:tcPr>
            <w:tcW w:w="0" w:type="auto"/>
            <w:hideMark/>
          </w:tcPr>
          <w:p w14:paraId="5D8DEA15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Third-party JS dependency at checkout</w:t>
            </w:r>
          </w:p>
        </w:tc>
        <w:tc>
          <w:tcPr>
            <w:tcW w:w="0" w:type="auto"/>
            <w:hideMark/>
          </w:tcPr>
          <w:p w14:paraId="285A15DA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0" w:type="auto"/>
            <w:hideMark/>
          </w:tcPr>
          <w:p w14:paraId="2305071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£50,000</w:t>
            </w:r>
          </w:p>
        </w:tc>
        <w:tc>
          <w:tcPr>
            <w:tcW w:w="0" w:type="auto"/>
            <w:hideMark/>
          </w:tcPr>
          <w:p w14:paraId="12EDCE5B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£5,000</w:t>
            </w:r>
          </w:p>
        </w:tc>
      </w:tr>
      <w:tr w:rsidR="001C39D4" w:rsidRPr="001C39D4" w14:paraId="553A2DFC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B9E08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weak_controls</w:t>
            </w:r>
          </w:p>
        </w:tc>
        <w:tc>
          <w:tcPr>
            <w:tcW w:w="0" w:type="auto"/>
            <w:hideMark/>
          </w:tcPr>
          <w:p w14:paraId="35FA87A7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 CSP, SRI, or monitoring</w:t>
            </w:r>
          </w:p>
        </w:tc>
        <w:tc>
          <w:tcPr>
            <w:tcW w:w="0" w:type="auto"/>
            <w:hideMark/>
          </w:tcPr>
          <w:p w14:paraId="6732D720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0.35</w:t>
            </w:r>
          </w:p>
        </w:tc>
        <w:tc>
          <w:tcPr>
            <w:tcW w:w="0" w:type="auto"/>
            <w:hideMark/>
          </w:tcPr>
          <w:p w14:paraId="2473CF14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£70,000</w:t>
            </w:r>
          </w:p>
        </w:tc>
        <w:tc>
          <w:tcPr>
            <w:tcW w:w="0" w:type="auto"/>
            <w:hideMark/>
          </w:tcPr>
          <w:p w14:paraId="09DBEDB0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£24,500</w:t>
            </w:r>
          </w:p>
        </w:tc>
      </w:tr>
      <w:tr w:rsidR="001C39D4" w:rsidRPr="001C39D4" w14:paraId="54A3ABBB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30D77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dos_event</w:t>
            </w:r>
          </w:p>
        </w:tc>
        <w:tc>
          <w:tcPr>
            <w:tcW w:w="0" w:type="auto"/>
            <w:hideMark/>
          </w:tcPr>
          <w:p w14:paraId="74285DCD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Sustained traffic flood or exhaustion</w:t>
            </w:r>
          </w:p>
        </w:tc>
        <w:tc>
          <w:tcPr>
            <w:tcW w:w="0" w:type="auto"/>
            <w:hideMark/>
          </w:tcPr>
          <w:p w14:paraId="4BA37DEE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0.40</w:t>
            </w:r>
          </w:p>
        </w:tc>
        <w:tc>
          <w:tcPr>
            <w:tcW w:w="0" w:type="auto"/>
            <w:hideMark/>
          </w:tcPr>
          <w:p w14:paraId="5A22E20F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£40,000</w:t>
            </w:r>
          </w:p>
        </w:tc>
        <w:tc>
          <w:tcPr>
            <w:tcW w:w="0" w:type="auto"/>
            <w:hideMark/>
          </w:tcPr>
          <w:p w14:paraId="0747480C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£16,000</w:t>
            </w:r>
          </w:p>
        </w:tc>
      </w:tr>
      <w:tr w:rsidR="001C39D4" w:rsidRPr="001C39D4" w14:paraId="2291542E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007B1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weak_waf_cdn</w:t>
            </w:r>
          </w:p>
        </w:tc>
        <w:tc>
          <w:tcPr>
            <w:tcW w:w="0" w:type="auto"/>
            <w:hideMark/>
          </w:tcPr>
          <w:p w14:paraId="6A33D436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 WAF, CDN, or auto-scale</w:t>
            </w:r>
          </w:p>
        </w:tc>
        <w:tc>
          <w:tcPr>
            <w:tcW w:w="0" w:type="auto"/>
            <w:hideMark/>
          </w:tcPr>
          <w:p w14:paraId="6160FD52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0" w:type="auto"/>
            <w:hideMark/>
          </w:tcPr>
          <w:p w14:paraId="60E32D98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£100,000</w:t>
            </w:r>
          </w:p>
        </w:tc>
        <w:tc>
          <w:tcPr>
            <w:tcW w:w="0" w:type="auto"/>
            <w:hideMark/>
          </w:tcPr>
          <w:p w14:paraId="06591543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£25,000</w:t>
            </w:r>
          </w:p>
        </w:tc>
      </w:tr>
      <w:tr w:rsidR="001C39D4" w:rsidRPr="001C39D4" w14:paraId="0EAE5882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71BF6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pci</w:t>
            </w:r>
          </w:p>
        </w:tc>
        <w:tc>
          <w:tcPr>
            <w:tcW w:w="0" w:type="auto"/>
            <w:hideMark/>
          </w:tcPr>
          <w:p w14:paraId="74D88F7F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Residual PCI exposure or mis-scoped handling</w:t>
            </w:r>
          </w:p>
        </w:tc>
        <w:tc>
          <w:tcPr>
            <w:tcW w:w="0" w:type="auto"/>
            <w:hideMark/>
          </w:tcPr>
          <w:p w14:paraId="3305E0E4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0" w:type="auto"/>
            <w:hideMark/>
          </w:tcPr>
          <w:p w14:paraId="03915815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£100,000</w:t>
            </w:r>
          </w:p>
        </w:tc>
        <w:tc>
          <w:tcPr>
            <w:tcW w:w="0" w:type="auto"/>
            <w:hideMark/>
          </w:tcPr>
          <w:p w14:paraId="79ECDB84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£10,000</w:t>
            </w:r>
          </w:p>
        </w:tc>
      </w:tr>
      <w:tr w:rsidR="001C39D4" w:rsidRPr="001C39D4" w14:paraId="594DD0EA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628F3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weak_pw</w:t>
            </w:r>
          </w:p>
        </w:tc>
        <w:tc>
          <w:tcPr>
            <w:tcW w:w="0" w:type="auto"/>
            <w:hideMark/>
          </w:tcPr>
          <w:p w14:paraId="22DDD52F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 password policy or credential stuffing</w:t>
            </w:r>
          </w:p>
        </w:tc>
        <w:tc>
          <w:tcPr>
            <w:tcW w:w="0" w:type="auto"/>
            <w:hideMark/>
          </w:tcPr>
          <w:p w14:paraId="33483CEC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0.60</w:t>
            </w:r>
          </w:p>
        </w:tc>
        <w:tc>
          <w:tcPr>
            <w:tcW w:w="0" w:type="auto"/>
            <w:hideMark/>
          </w:tcPr>
          <w:p w14:paraId="75560332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£80,000</w:t>
            </w:r>
          </w:p>
        </w:tc>
        <w:tc>
          <w:tcPr>
            <w:tcW w:w="0" w:type="auto"/>
            <w:hideMark/>
          </w:tcPr>
          <w:p w14:paraId="7FC590B8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£48,000</w:t>
            </w:r>
          </w:p>
        </w:tc>
      </w:tr>
      <w:tr w:rsidR="001C39D4" w:rsidRPr="001C39D4" w14:paraId="20F251B0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47468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no_mfa</w:t>
            </w:r>
          </w:p>
        </w:tc>
        <w:tc>
          <w:tcPr>
            <w:tcW w:w="0" w:type="auto"/>
            <w:hideMark/>
          </w:tcPr>
          <w:p w14:paraId="580273A0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No MFA on admin or staff accounts</w:t>
            </w:r>
          </w:p>
        </w:tc>
        <w:tc>
          <w:tcPr>
            <w:tcW w:w="0" w:type="auto"/>
            <w:hideMark/>
          </w:tcPr>
          <w:p w14:paraId="711AA3A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0.45</w:t>
            </w:r>
          </w:p>
        </w:tc>
        <w:tc>
          <w:tcPr>
            <w:tcW w:w="0" w:type="auto"/>
            <w:hideMark/>
          </w:tcPr>
          <w:p w14:paraId="2605386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£80,000</w:t>
            </w:r>
          </w:p>
        </w:tc>
        <w:tc>
          <w:tcPr>
            <w:tcW w:w="0" w:type="auto"/>
            <w:hideMark/>
          </w:tcPr>
          <w:p w14:paraId="31518F4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£36,000</w:t>
            </w:r>
          </w:p>
        </w:tc>
      </w:tr>
      <w:tr w:rsidR="001C39D4" w:rsidRPr="001C39D4" w14:paraId="58FCF21C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49DF0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public_bucket</w:t>
            </w:r>
          </w:p>
        </w:tc>
        <w:tc>
          <w:tcPr>
            <w:tcW w:w="0" w:type="auto"/>
            <w:hideMark/>
          </w:tcPr>
          <w:p w14:paraId="7C9BC139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Publicly readable or listable object bucket</w:t>
            </w:r>
          </w:p>
        </w:tc>
        <w:tc>
          <w:tcPr>
            <w:tcW w:w="0" w:type="auto"/>
            <w:hideMark/>
          </w:tcPr>
          <w:p w14:paraId="7E509B05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0" w:type="auto"/>
            <w:hideMark/>
          </w:tcPr>
          <w:p w14:paraId="7557FDA2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£75,000</w:t>
            </w:r>
          </w:p>
        </w:tc>
        <w:tc>
          <w:tcPr>
            <w:tcW w:w="0" w:type="auto"/>
            <w:hideMark/>
          </w:tcPr>
          <w:p w14:paraId="4BAA2291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£15,000</w:t>
            </w:r>
          </w:p>
        </w:tc>
      </w:tr>
      <w:tr w:rsidR="001C39D4" w:rsidRPr="001C39D4" w14:paraId="1015EAC2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1096A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excessive_perms</w:t>
            </w:r>
          </w:p>
        </w:tc>
        <w:tc>
          <w:tcPr>
            <w:tcW w:w="0" w:type="auto"/>
            <w:hideMark/>
          </w:tcPr>
          <w:p w14:paraId="26332145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Over-broad IAM role enables exfiltration</w:t>
            </w:r>
          </w:p>
        </w:tc>
        <w:tc>
          <w:tcPr>
            <w:tcW w:w="0" w:type="auto"/>
            <w:hideMark/>
          </w:tcPr>
          <w:p w14:paraId="12900DFD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0" w:type="auto"/>
            <w:hideMark/>
          </w:tcPr>
          <w:p w14:paraId="3B75660C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£60,000</w:t>
            </w:r>
          </w:p>
        </w:tc>
        <w:tc>
          <w:tcPr>
            <w:tcW w:w="0" w:type="auto"/>
            <w:hideMark/>
          </w:tcPr>
          <w:p w14:paraId="21D8AA9C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£15,000</w:t>
            </w:r>
          </w:p>
        </w:tc>
      </w:tr>
      <w:tr w:rsidR="001C39D4" w:rsidRPr="001C39D4" w14:paraId="3CFC3C6F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BBDEA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secrets_leak</w:t>
            </w:r>
          </w:p>
        </w:tc>
        <w:tc>
          <w:tcPr>
            <w:tcW w:w="0" w:type="auto"/>
            <w:hideMark/>
          </w:tcPr>
          <w:p w14:paraId="10117EA5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Leaked API keys or CI secrets</w:t>
            </w:r>
          </w:p>
        </w:tc>
        <w:tc>
          <w:tcPr>
            <w:tcW w:w="0" w:type="auto"/>
            <w:hideMark/>
          </w:tcPr>
          <w:p w14:paraId="0A34421B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0.15</w:t>
            </w:r>
          </w:p>
        </w:tc>
        <w:tc>
          <w:tcPr>
            <w:tcW w:w="0" w:type="auto"/>
            <w:hideMark/>
          </w:tcPr>
          <w:p w14:paraId="11D8C833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£60,000</w:t>
            </w:r>
          </w:p>
        </w:tc>
        <w:tc>
          <w:tcPr>
            <w:tcW w:w="0" w:type="auto"/>
            <w:hideMark/>
          </w:tcPr>
          <w:p w14:paraId="4484FD75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£9,000</w:t>
            </w:r>
          </w:p>
        </w:tc>
      </w:tr>
      <w:tr w:rsidR="001C39D4" w:rsidRPr="001C39D4" w14:paraId="3544851A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73A61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dep_comp</w:t>
            </w:r>
          </w:p>
        </w:tc>
        <w:tc>
          <w:tcPr>
            <w:tcW w:w="0" w:type="auto"/>
            <w:hideMark/>
          </w:tcPr>
          <w:p w14:paraId="31775CBA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Compromised package or dependency in build</w:t>
            </w:r>
          </w:p>
        </w:tc>
        <w:tc>
          <w:tcPr>
            <w:tcW w:w="0" w:type="auto"/>
            <w:hideMark/>
          </w:tcPr>
          <w:p w14:paraId="4B2D1BF8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0.15</w:t>
            </w:r>
          </w:p>
        </w:tc>
        <w:tc>
          <w:tcPr>
            <w:tcW w:w="0" w:type="auto"/>
            <w:hideMark/>
          </w:tcPr>
          <w:p w14:paraId="1C96CF1D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£25,000</w:t>
            </w:r>
          </w:p>
        </w:tc>
        <w:tc>
          <w:tcPr>
            <w:tcW w:w="0" w:type="auto"/>
            <w:hideMark/>
          </w:tcPr>
          <w:p w14:paraId="6094531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£3,750</w:t>
            </w:r>
          </w:p>
        </w:tc>
      </w:tr>
    </w:tbl>
    <w:p w14:paraId="7C52DB86" w14:textId="4CBE997F" w:rsidR="001C39D4" w:rsidRPr="001C39D4" w:rsidRDefault="001C39D4" w:rsidP="001C39D4">
      <w:pPr>
        <w:jc w:val="both"/>
      </w:pPr>
      <w:r w:rsidRPr="001C39D4">
        <w:rPr>
          <w:b/>
          <w:bCs/>
        </w:rPr>
        <w:t xml:space="preserve">Evidence notes (post-digital): </w:t>
      </w:r>
      <w:r w:rsidRPr="001C39D4">
        <w:t>web app and supply-chain attack patterns including SQLi, XSS, third-party JS, dependency risk, DDoS, and control weaknesses (ENISA, 2023); credential attacks, lack of MFA, bucket misconfiguration, excessive permissions, and secret leakage patterns (Verizon, 2024); breach-cost anchoring for data-exposure scenarios (IBM Security, 2023); retail context for exposure shaping (ACS, 2024).</w:t>
      </w:r>
    </w:p>
    <w:p w14:paraId="5639707D" w14:textId="432BEEAC" w:rsidR="00C25C12" w:rsidRDefault="001C39D4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Assumptions and constraints</w:t>
      </w:r>
    </w:p>
    <w:p w14:paraId="7ABA118C" w14:textId="144F443D" w:rsidR="00C25C12" w:rsidRPr="00C25C12" w:rsidRDefault="00C25C12" w:rsidP="00C25C1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FF9A0EA" wp14:editId="633B768D">
            <wp:extent cx="5807710" cy="1862455"/>
            <wp:effectExtent l="0" t="19050" r="0" b="42545"/>
            <wp:docPr id="1440341971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AB1FA83" w14:textId="2A73688F" w:rsidR="00965B9B" w:rsidRPr="00C25C12" w:rsidRDefault="00965B9B" w:rsidP="007179E8">
      <w:pPr>
        <w:pStyle w:val="ListParagraph"/>
        <w:numPr>
          <w:ilvl w:val="0"/>
          <w:numId w:val="7"/>
        </w:numPr>
        <w:ind w:left="540" w:hanging="540"/>
        <w:jc w:val="both"/>
        <w:rPr>
          <w:b/>
          <w:bCs/>
          <w:sz w:val="28"/>
          <w:szCs w:val="28"/>
          <w:lang w:val="en-US"/>
        </w:rPr>
      </w:pPr>
      <w:r w:rsidRPr="00C25C12">
        <w:rPr>
          <w:b/>
          <w:bCs/>
          <w:sz w:val="28"/>
          <w:szCs w:val="28"/>
          <w:lang w:val="en-US"/>
        </w:rPr>
        <w:t>Results by scenario</w:t>
      </w:r>
    </w:p>
    <w:p w14:paraId="48E458D1" w14:textId="77777777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>Overall threat assessment (monetary, Expected Loss, 12-month horizon, GBP):</w:t>
      </w:r>
    </w:p>
    <w:p w14:paraId="7B3032F9" w14:textId="77777777" w:rsidR="00965B9B" w:rsidRPr="00965B9B" w:rsidRDefault="00965B9B" w:rsidP="00965B9B">
      <w:pPr>
        <w:numPr>
          <w:ilvl w:val="0"/>
          <w:numId w:val="4"/>
        </w:numPr>
        <w:jc w:val="both"/>
        <w:rPr>
          <w:lang w:val="en-US"/>
        </w:rPr>
      </w:pPr>
      <w:r w:rsidRPr="00965B9B">
        <w:rPr>
          <w:lang w:val="en-US"/>
        </w:rPr>
        <w:t xml:space="preserve">Pre-digital: </w:t>
      </w:r>
      <w:r w:rsidRPr="00965B9B">
        <w:rPr>
          <w:b/>
          <w:bCs/>
          <w:lang w:val="en-US"/>
        </w:rPr>
        <w:t>£121,971.80</w:t>
      </w:r>
    </w:p>
    <w:p w14:paraId="03206DA0" w14:textId="77777777" w:rsidR="00965B9B" w:rsidRPr="00965B9B" w:rsidRDefault="00965B9B" w:rsidP="00965B9B">
      <w:pPr>
        <w:numPr>
          <w:ilvl w:val="0"/>
          <w:numId w:val="4"/>
        </w:numPr>
        <w:jc w:val="both"/>
        <w:rPr>
          <w:lang w:val="en-US"/>
        </w:rPr>
      </w:pPr>
      <w:r w:rsidRPr="00965B9B">
        <w:rPr>
          <w:lang w:val="en-US"/>
        </w:rPr>
        <w:t xml:space="preserve">Post-digital: </w:t>
      </w:r>
      <w:r w:rsidRPr="00965B9B">
        <w:rPr>
          <w:b/>
          <w:bCs/>
          <w:lang w:val="en-US"/>
        </w:rPr>
        <w:t>£88,037.50</w:t>
      </w:r>
    </w:p>
    <w:p w14:paraId="0E1A4DA6" w14:textId="77777777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>Supplementary probability:</w:t>
      </w:r>
    </w:p>
    <w:p w14:paraId="22218777" w14:textId="77777777" w:rsidR="00965B9B" w:rsidRPr="00965B9B" w:rsidRDefault="00965B9B" w:rsidP="00965B9B">
      <w:pPr>
        <w:numPr>
          <w:ilvl w:val="0"/>
          <w:numId w:val="5"/>
        </w:numPr>
        <w:jc w:val="both"/>
        <w:rPr>
          <w:lang w:val="en-US"/>
        </w:rPr>
      </w:pPr>
      <w:r w:rsidRPr="00965B9B">
        <w:rPr>
          <w:lang w:val="en-US"/>
        </w:rPr>
        <w:t xml:space="preserve">P(top) Pre: </w:t>
      </w:r>
      <w:r w:rsidRPr="00965B9B">
        <w:rPr>
          <w:b/>
          <w:bCs/>
          <w:lang w:val="en-US"/>
        </w:rPr>
        <w:t>93.96%</w:t>
      </w:r>
    </w:p>
    <w:p w14:paraId="7B56A683" w14:textId="77777777" w:rsidR="00965B9B" w:rsidRPr="00965B9B" w:rsidRDefault="00965B9B" w:rsidP="00965B9B">
      <w:pPr>
        <w:numPr>
          <w:ilvl w:val="0"/>
          <w:numId w:val="5"/>
        </w:numPr>
        <w:jc w:val="both"/>
        <w:rPr>
          <w:lang w:val="en-US"/>
        </w:rPr>
      </w:pPr>
      <w:r w:rsidRPr="00965B9B">
        <w:rPr>
          <w:lang w:val="en-US"/>
        </w:rPr>
        <w:t xml:space="preserve">P(top) Post: </w:t>
      </w:r>
      <w:r w:rsidRPr="00965B9B">
        <w:rPr>
          <w:b/>
          <w:bCs/>
          <w:lang w:val="en-US"/>
        </w:rPr>
        <w:t>96.35%</w:t>
      </w:r>
    </w:p>
    <w:p w14:paraId="463ED7F7" w14:textId="77777777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 xml:space="preserve">Comparison: </w:t>
      </w:r>
      <w:r w:rsidRPr="00965B9B">
        <w:rPr>
          <w:b/>
          <w:bCs/>
          <w:lang w:val="en-US"/>
        </w:rPr>
        <w:t>Δ = −£33,934.30</w:t>
      </w:r>
      <w:r w:rsidRPr="00965B9B">
        <w:rPr>
          <w:lang w:val="en-US"/>
        </w:rPr>
        <w:t xml:space="preserve"> (</w:t>
      </w:r>
      <w:r w:rsidRPr="00965B9B">
        <w:rPr>
          <w:b/>
          <w:bCs/>
          <w:lang w:val="en-US"/>
        </w:rPr>
        <w:t>−27.8%</w:t>
      </w:r>
      <w:r w:rsidRPr="00965B9B">
        <w:rPr>
          <w:lang w:val="en-US"/>
        </w:rPr>
        <w:t>) from pre to post.</w:t>
      </w:r>
    </w:p>
    <w:p w14:paraId="73EFF99E" w14:textId="77777777" w:rsidR="00965B9B" w:rsidRPr="00965B9B" w:rsidRDefault="00965B9B" w:rsidP="00965B9B">
      <w:pPr>
        <w:jc w:val="both"/>
        <w:rPr>
          <w:b/>
          <w:bCs/>
          <w:lang w:val="en-US"/>
        </w:rPr>
      </w:pPr>
      <w:r w:rsidRPr="00965B9B">
        <w:rPr>
          <w:b/>
          <w:bCs/>
          <w:lang w:val="en-US"/>
        </w:rPr>
        <w:t>Computation trace (from leaves to root)</w:t>
      </w:r>
    </w:p>
    <w:p w14:paraId="584808E6" w14:textId="77777777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>Bottom-up aggregation:</w:t>
      </w:r>
    </w:p>
    <w:p w14:paraId="5E8A4BF9" w14:textId="43B817CF" w:rsidR="00965B9B" w:rsidRPr="00965B9B" w:rsidRDefault="00965B9B" w:rsidP="00965B9B">
      <w:pPr>
        <w:numPr>
          <w:ilvl w:val="0"/>
          <w:numId w:val="6"/>
        </w:numPr>
        <w:rPr>
          <w:lang w:val="en-US"/>
        </w:rPr>
      </w:pPr>
      <w:r w:rsidRPr="00965B9B">
        <w:rPr>
          <w:b/>
          <w:bCs/>
          <w:lang w:val="en-US"/>
        </w:rPr>
        <w:t>Leaf level</w:t>
      </w:r>
      <w:r w:rsidR="00EF08BB">
        <w:rPr>
          <w:b/>
          <w:bCs/>
          <w:lang w:val="en-US"/>
        </w:rPr>
        <w:t>:</w:t>
      </w:r>
      <w:r w:rsidRPr="00965B9B">
        <w:rPr>
          <w:lang w:val="en-US"/>
        </w:rPr>
        <w:t xml:space="preserve"> For each leaf with probability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65B9B">
        <w:rPr>
          <w:lang w:val="en-US"/>
        </w:rPr>
        <w:t xml:space="preserve">and single-loss impact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65B9B">
        <w:rPr>
          <w:lang w:val="en-US"/>
        </w:rPr>
        <w:t xml:space="preserve">, compute a diagnostic value: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ALE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65B9B">
        <w:rPr>
          <w:lang w:val="en-US"/>
        </w:rPr>
        <w:t>.</w:t>
      </w:r>
    </w:p>
    <w:p w14:paraId="7A91894A" w14:textId="087638FE" w:rsidR="00965B9B" w:rsidRPr="00965B9B" w:rsidRDefault="00965B9B" w:rsidP="00965B9B">
      <w:pPr>
        <w:numPr>
          <w:ilvl w:val="0"/>
          <w:numId w:val="6"/>
        </w:numPr>
        <w:rPr>
          <w:lang w:val="en-US"/>
        </w:rPr>
      </w:pPr>
      <w:r w:rsidRPr="00965B9B">
        <w:rPr>
          <w:b/>
          <w:bCs/>
          <w:lang w:val="en-US"/>
        </w:rPr>
        <w:t>AND node</w:t>
      </w:r>
      <w:r w:rsidR="00EF08BB">
        <w:rPr>
          <w:b/>
          <w:bCs/>
          <w:lang w:val="en-US"/>
        </w:rPr>
        <w:t>:</w:t>
      </w:r>
      <w:r w:rsidRPr="00965B9B">
        <w:rPr>
          <w:lang w:val="en-US"/>
        </w:rPr>
        <w:t xml:space="preserve"> </w:t>
      </w:r>
      <w:r w:rsidR="00C25C12" w:rsidRPr="00965B9B">
        <w:rPr>
          <w:lang w:val="en-US"/>
        </w:rPr>
        <w:t>for</w:t>
      </w:r>
      <w:r w:rsidRPr="00965B9B">
        <w:rPr>
          <w:lang w:val="en-US"/>
        </w:rPr>
        <w:t xml:space="preserve"> children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965B9B">
        <w:rPr>
          <w:lang w:val="en-US"/>
        </w:rPr>
        <w:t>:</w:t>
      </w:r>
      <w:r w:rsidRPr="00965B9B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  <m:r>
            <w:rPr>
              <w:rFonts w:ascii="Cambria Math" w:hAnsi="Cambria Math"/>
              <w:lang w:val="en-US"/>
            </w:rPr>
            <m:t>=∏p(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  <m:r>
            <w:rPr>
              <w:rFonts w:ascii="Cambria Math" w:hAnsi="Cambria Math"/>
              <w:lang w:val="en-US"/>
            </w:rPr>
            <m:t>=∑L(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ALE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</m:oMath>
      </m:oMathPara>
    </w:p>
    <w:p w14:paraId="3C4CC30F" w14:textId="3B1DB642" w:rsidR="00965B9B" w:rsidRPr="00965B9B" w:rsidRDefault="00965B9B" w:rsidP="00965B9B">
      <w:pPr>
        <w:numPr>
          <w:ilvl w:val="0"/>
          <w:numId w:val="6"/>
        </w:numPr>
        <w:rPr>
          <w:lang w:val="en-US"/>
        </w:rPr>
      </w:pPr>
      <w:r w:rsidRPr="00965B9B">
        <w:rPr>
          <w:b/>
          <w:bCs/>
          <w:lang w:val="en-US"/>
        </w:rPr>
        <w:t>OR node</w:t>
      </w:r>
      <w:r w:rsidR="00EF08BB">
        <w:rPr>
          <w:b/>
          <w:bCs/>
          <w:lang w:val="en-US"/>
        </w:rPr>
        <w:t>:</w:t>
      </w:r>
      <w:r w:rsidRPr="00965B9B">
        <w:rPr>
          <w:lang w:val="en-US"/>
        </w:rPr>
        <w:t xml:space="preserve"> For children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965B9B">
        <w:rPr>
          <w:lang w:val="en-US"/>
        </w:rPr>
        <w:t>:</w:t>
      </w:r>
      <w:r w:rsidRPr="00965B9B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OR</m:t>
              </m:r>
            </m:sub>
          </m:sSub>
          <m:r>
            <w:rPr>
              <w:rFonts w:ascii="Cambria Math" w:hAnsi="Cambria Math"/>
              <w:lang w:val="en-US"/>
            </w:rPr>
            <m:t>=1-∏(1-p(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))</m:t>
          </m:r>
          <m:r>
            <m:rPr>
              <m:sty m:val="p"/>
            </m:rPr>
            <w:rPr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nor/>
              </m:rPr>
              <w:rPr>
                <w:lang w:val="en-US"/>
              </w:rPr>
              <m:t>OR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  <w:lang w:val="en-US"/>
          </w:rPr>
          <m:t>⁡L(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965B9B">
        <w:rPr>
          <w:lang w:val="en-US"/>
        </w:rPr>
        <w:t>(attacker selects the cheapest successful child path)</w:t>
      </w:r>
      <w:r w:rsidRPr="00965B9B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ALE</m:t>
              </m:r>
            </m:e>
            <m:sub>
              <m:r>
                <m:rPr>
                  <m:nor/>
                </m:rPr>
                <w:rPr>
                  <w:lang w:val="en-US"/>
                </w:rPr>
                <m:t>OR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OR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lang w:val="en-US"/>
                </w:rPr>
                <m:t>OR</m:t>
              </m:r>
            </m:sub>
          </m:sSub>
        </m:oMath>
      </m:oMathPara>
    </w:p>
    <w:p w14:paraId="67E3F4EF" w14:textId="73A7EFB1" w:rsidR="00965B9B" w:rsidRPr="00965B9B" w:rsidRDefault="00965B9B" w:rsidP="00965B9B">
      <w:pPr>
        <w:numPr>
          <w:ilvl w:val="0"/>
          <w:numId w:val="6"/>
        </w:numPr>
        <w:jc w:val="both"/>
        <w:rPr>
          <w:lang w:val="en-US"/>
        </w:rPr>
      </w:pPr>
      <w:r w:rsidRPr="00965B9B">
        <w:rPr>
          <w:b/>
          <w:bCs/>
          <w:lang w:val="en-US"/>
        </w:rPr>
        <w:t>Root</w:t>
      </w:r>
      <w:r w:rsidR="00EF08BB">
        <w:rPr>
          <w:b/>
          <w:bCs/>
          <w:lang w:val="en-US"/>
        </w:rPr>
        <w:t>:</w:t>
      </w:r>
      <w:r w:rsidRPr="00965B9B">
        <w:rPr>
          <w:lang w:val="en-US"/>
        </w:rPr>
        <w:t xml:space="preserve"> Repeat until the root is reached. Report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EL</m:t>
            </m:r>
          </m:e>
          <m:sub>
            <m:r>
              <m:rPr>
                <m:nor/>
              </m:rPr>
              <w:rPr>
                <w:lang w:val="en-US"/>
              </w:rPr>
              <m:t>root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ALE</m:t>
            </m:r>
          </m:e>
          <m:sub>
            <m:r>
              <m:rPr>
                <m:nor/>
              </m:rPr>
              <w:rPr>
                <w:lang w:val="en-US"/>
              </w:rPr>
              <m:t>root</m:t>
            </m:r>
          </m:sub>
        </m:sSub>
      </m:oMath>
      <w:r w:rsidRPr="00965B9B">
        <w:rPr>
          <w:lang w:val="en-US"/>
        </w:rPr>
        <w:t xml:space="preserve">as the overall monetary rating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nor/>
              </m:rPr>
              <w:rPr>
                <w:lang w:val="en-US"/>
              </w:rPr>
              <m:t>root</m:t>
            </m:r>
          </m:sub>
        </m:sSub>
      </m:oMath>
      <w:r w:rsidRPr="00965B9B">
        <w:rPr>
          <w:lang w:val="en-US"/>
        </w:rPr>
        <w:t>as P(top).</w:t>
      </w:r>
    </w:p>
    <w:p w14:paraId="2F38508A" w14:textId="41B897F5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lastRenderedPageBreak/>
        <w:t xml:space="preserve">Summing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ALE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65B9B">
        <w:rPr>
          <w:lang w:val="en-US"/>
        </w:rPr>
        <w:t>double counts parallel paths under OR nodes. The OR rules above combine probabilities while selecting one child impact to avoid double inclusion.</w:t>
      </w:r>
    </w:p>
    <w:p w14:paraId="1E767E33" w14:textId="5B501B00" w:rsidR="00965B9B" w:rsidRPr="00965B9B" w:rsidRDefault="00965B9B" w:rsidP="00965B9B">
      <w:pPr>
        <w:rPr>
          <w:lang w:val="en-US"/>
        </w:rPr>
      </w:pPr>
      <w:r w:rsidRPr="00965B9B">
        <w:rPr>
          <w:b/>
          <w:bCs/>
          <w:lang w:val="en-US"/>
        </w:rPr>
        <w:t>Illustrative arithmetic example for an OR parent with two leaves.</w:t>
      </w:r>
      <w:r w:rsidRPr="00965B9B">
        <w:rPr>
          <w:lang w:val="en-US"/>
        </w:rPr>
        <w:br/>
        <w:t xml:space="preserve">Child A: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=0.50</m:t>
        </m:r>
      </m:oMath>
      <w:r w:rsidRPr="00965B9B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180,000</m:t>
        </m:r>
      </m:oMath>
      <w:r w:rsidRPr="00965B9B">
        <w:rPr>
          <w:lang w:val="en-US"/>
        </w:rPr>
        <w:t>.</w:t>
      </w:r>
      <w:r w:rsidRPr="00965B9B">
        <w:rPr>
          <w:lang w:val="en-US"/>
        </w:rPr>
        <w:br/>
        <w:t xml:space="preserve">Child B: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=0.70</m:t>
        </m:r>
      </m:oMath>
      <w:r w:rsidRPr="00965B9B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80,000</m:t>
        </m:r>
      </m:oMath>
      <w:r w:rsidRPr="00965B9B">
        <w:rPr>
          <w:lang w:val="en-US"/>
        </w:rPr>
        <w:t>.</w:t>
      </w:r>
      <w:r w:rsidRPr="00965B9B">
        <w:rPr>
          <w:lang w:val="en-US"/>
        </w:rPr>
        <w:br/>
        <w:t>Then</w:t>
      </w:r>
      <w:r w:rsidRPr="00965B9B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nor/>
              </m:rPr>
              <w:rPr>
                <w:lang w:val="en-US"/>
              </w:rPr>
              <m:t>OR</m:t>
            </m:r>
          </m:sub>
        </m:sSub>
        <m:r>
          <w:rPr>
            <w:rFonts w:ascii="Cambria Math" w:hAnsi="Cambria Math"/>
            <w:lang w:val="en-US"/>
          </w:rPr>
          <m:t>=1-(1-0.50)(1-0.70)=1-(0.50×0.30)=0.85</m:t>
        </m:r>
      </m:oMath>
      <w:r w:rsidRPr="00965B9B">
        <w:rPr>
          <w:lang w:val="en-US"/>
        </w:rPr>
        <w:t>.</w:t>
      </w:r>
      <w:r w:rsidRPr="00965B9B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nor/>
              </m:rPr>
              <w:rPr>
                <w:lang w:val="en-US"/>
              </w:rPr>
              <m:t>OR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  <w:lang w:val="en-US"/>
          </w:rPr>
          <m:t>⁡(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180,000,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80,000)=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80,000</m:t>
        </m:r>
      </m:oMath>
      <w:r w:rsidRPr="00965B9B">
        <w:rPr>
          <w:lang w:val="en-US"/>
        </w:rPr>
        <w:t>.</w:t>
      </w:r>
      <w:r w:rsidRPr="00965B9B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ALE</m:t>
            </m:r>
          </m:e>
          <m:sub>
            <m:r>
              <m:rPr>
                <m:nor/>
              </m:rPr>
              <w:rPr>
                <w:lang w:val="en-US"/>
              </w:rPr>
              <m:t>OR</m:t>
            </m:r>
          </m:sub>
        </m:sSub>
        <m:r>
          <w:rPr>
            <w:rFonts w:ascii="Cambria Math" w:hAnsi="Cambria Math"/>
            <w:lang w:val="en-US"/>
          </w:rPr>
          <m:t>=0.85×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80,000=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68,000</m:t>
        </m:r>
      </m:oMath>
      <w:r w:rsidRPr="00965B9B">
        <w:rPr>
          <w:lang w:val="en-US"/>
        </w:rPr>
        <w:t>.</w:t>
      </w:r>
    </w:p>
    <w:p w14:paraId="42D4299E" w14:textId="03C015BA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 xml:space="preserve">The aggregation follows attack-tree attribute-domain semantics: AND uses product for probability and sum for cost OR uses </w:t>
      </w:r>
      <m:oMath>
        <m:r>
          <w:rPr>
            <w:rFonts w:ascii="Cambria Math" w:hAnsi="Cambria Math"/>
            <w:lang w:val="en-US"/>
          </w:rPr>
          <m:t>1-∏(1-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  <w:r w:rsidRPr="00965B9B">
        <w:rPr>
          <w:lang w:val="en-US"/>
        </w:rPr>
        <w:t>for probability and the minimum child cost for attacker choice, as standard in the attack-tree literature (Mauw and Oostdijk, 2005; Kordy et al., 2014).</w:t>
      </w:r>
    </w:p>
    <w:p w14:paraId="45FB82B6" w14:textId="48FCF143" w:rsidR="00965B9B" w:rsidRPr="00C25C12" w:rsidRDefault="00965B9B" w:rsidP="007179E8">
      <w:pPr>
        <w:pStyle w:val="ListParagraph"/>
        <w:numPr>
          <w:ilvl w:val="0"/>
          <w:numId w:val="7"/>
        </w:numPr>
        <w:ind w:left="450" w:hanging="450"/>
        <w:rPr>
          <w:sz w:val="28"/>
          <w:szCs w:val="28"/>
        </w:rPr>
      </w:pPr>
      <w:r w:rsidRPr="00C25C12">
        <w:rPr>
          <w:b/>
          <w:bCs/>
          <w:sz w:val="28"/>
          <w:szCs w:val="28"/>
        </w:rPr>
        <w:t>Application overview</w:t>
      </w:r>
    </w:p>
    <w:p w14:paraId="36ADF6C3" w14:textId="7B2D0E21" w:rsidR="00965B9B" w:rsidRDefault="00965B9B" w:rsidP="00965B9B">
      <w:pPr>
        <w:jc w:val="both"/>
      </w:pPr>
      <w:r w:rsidRPr="00965B9B">
        <w:t>The Python application</w:t>
      </w:r>
      <w:r>
        <w:t>,</w:t>
      </w:r>
    </w:p>
    <w:p w14:paraId="5E70BB46" w14:textId="1306427C" w:rsidR="00965B9B" w:rsidRDefault="00965B9B" w:rsidP="00965B9B">
      <w:pPr>
        <w:pStyle w:val="ListParagraph"/>
        <w:numPr>
          <w:ilvl w:val="1"/>
          <w:numId w:val="4"/>
        </w:numPr>
        <w:jc w:val="both"/>
      </w:pPr>
      <w:r w:rsidRPr="00965B9B">
        <w:rPr>
          <w:b/>
          <w:bCs/>
        </w:rPr>
        <w:t>ingests</w:t>
      </w:r>
      <w:r w:rsidRPr="00965B9B">
        <w:t xml:space="preserve"> attack-tree specifications in </w:t>
      </w:r>
      <w:r w:rsidRPr="00965B9B">
        <w:rPr>
          <w:b/>
          <w:bCs/>
        </w:rPr>
        <w:t>YAML</w:t>
      </w:r>
      <w:r>
        <w:t>.</w:t>
      </w:r>
    </w:p>
    <w:p w14:paraId="71E0556C" w14:textId="3BFFE01D" w:rsidR="00965B9B" w:rsidRPr="00965B9B" w:rsidRDefault="00965B9B" w:rsidP="00965B9B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65B9B">
        <w:rPr>
          <w:b/>
          <w:bCs/>
        </w:rPr>
        <w:t>visualises</w:t>
      </w:r>
      <w:r w:rsidRPr="00965B9B">
        <w:t xml:space="preserve"> the attack tree/graph</w:t>
      </w:r>
      <w:r>
        <w:t>.</w:t>
      </w:r>
    </w:p>
    <w:p w14:paraId="25F606EE" w14:textId="77777777" w:rsidR="00965B9B" w:rsidRPr="00965B9B" w:rsidRDefault="00965B9B" w:rsidP="00965B9B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65B9B">
        <w:t xml:space="preserve">allows the user to </w:t>
      </w:r>
      <w:r w:rsidRPr="00965B9B">
        <w:rPr>
          <w:b/>
          <w:bCs/>
        </w:rPr>
        <w:t>edit leaf values</w:t>
      </w:r>
      <w:r w:rsidRPr="00965B9B">
        <w:t xml:space="preserve"> (probabilities and impacts) directly in the </w:t>
      </w:r>
      <w:r w:rsidRPr="00965B9B">
        <w:rPr>
          <w:b/>
          <w:bCs/>
        </w:rPr>
        <w:t>UI</w:t>
      </w:r>
      <w:r w:rsidRPr="00965B9B">
        <w:t>, and</w:t>
      </w:r>
    </w:p>
    <w:p w14:paraId="502648EE" w14:textId="77777777" w:rsidR="00965B9B" w:rsidRPr="00965B9B" w:rsidRDefault="00965B9B" w:rsidP="00965B9B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65B9B">
        <w:rPr>
          <w:b/>
          <w:bCs/>
        </w:rPr>
        <w:t>aggregates</w:t>
      </w:r>
      <w:r w:rsidRPr="00965B9B">
        <w:t xml:space="preserve"> to a single overall rating at the root (monetary Expected Loss; P(top) as supplementary). </w:t>
      </w:r>
    </w:p>
    <w:p w14:paraId="7E78C157" w14:textId="2A065637" w:rsidR="001C39D4" w:rsidRDefault="00965B9B" w:rsidP="00965B9B">
      <w:pPr>
        <w:jc w:val="both"/>
      </w:pPr>
      <w:r w:rsidRPr="00965B9B">
        <w:t xml:space="preserve">Both the </w:t>
      </w:r>
      <w:r w:rsidRPr="00965B9B">
        <w:rPr>
          <w:b/>
          <w:bCs/>
        </w:rPr>
        <w:t>pre-digital</w:t>
      </w:r>
      <w:r w:rsidRPr="00965B9B">
        <w:t xml:space="preserve"> and </w:t>
      </w:r>
      <w:r w:rsidRPr="00965B9B">
        <w:rPr>
          <w:b/>
          <w:bCs/>
        </w:rPr>
        <w:t>post-digital</w:t>
      </w:r>
      <w:r w:rsidRPr="00965B9B">
        <w:t xml:space="preserve"> models were run in the application to demonstrate the threat model before and after digitalisation.</w:t>
      </w:r>
    </w:p>
    <w:p w14:paraId="1FCB788B" w14:textId="22545EF1" w:rsidR="00965B9B" w:rsidRDefault="00965B9B" w:rsidP="00965B9B">
      <w:pPr>
        <w:jc w:val="both"/>
        <w:rPr>
          <w:b/>
          <w:bCs/>
        </w:rPr>
      </w:pPr>
      <w:r w:rsidRPr="00965B9B">
        <w:rPr>
          <w:b/>
          <w:bCs/>
        </w:rPr>
        <w:t>Screenshots</w:t>
      </w:r>
    </w:p>
    <w:p w14:paraId="72C05D50" w14:textId="77777777" w:rsidR="00965B9B" w:rsidRDefault="00965B9B" w:rsidP="00965B9B">
      <w:pPr>
        <w:keepNext/>
        <w:jc w:val="center"/>
      </w:pPr>
      <w:r>
        <w:rPr>
          <w:b/>
          <w:bCs/>
          <w:noProof/>
        </w:rPr>
        <w:lastRenderedPageBreak/>
        <w:drawing>
          <wp:inline distT="0" distB="0" distL="0" distR="0" wp14:anchorId="499C6507" wp14:editId="73F1FE59">
            <wp:extent cx="4385734" cy="3289301"/>
            <wp:effectExtent l="0" t="0" r="0" b="6350"/>
            <wp:docPr id="1475389601" name="Picture 4" descr="A diagram of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89601" name="Picture 4" descr="A diagram of a triangl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085" cy="33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40BE" w14:textId="5889E4F7" w:rsidR="00965B9B" w:rsidRDefault="00965B9B" w:rsidP="00965B9B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- Pre-digital Attack Tree</w:t>
      </w:r>
    </w:p>
    <w:p w14:paraId="796801DB" w14:textId="77777777" w:rsidR="00965B9B" w:rsidRDefault="00965B9B" w:rsidP="00C25C12">
      <w:pPr>
        <w:keepNext/>
        <w:jc w:val="center"/>
      </w:pPr>
      <w:r>
        <w:rPr>
          <w:b/>
          <w:bCs/>
          <w:noProof/>
          <w:lang w:val="en-US"/>
        </w:rPr>
        <w:drawing>
          <wp:inline distT="0" distB="0" distL="0" distR="0" wp14:anchorId="2609BE17" wp14:editId="404E4327">
            <wp:extent cx="4389120" cy="3291840"/>
            <wp:effectExtent l="0" t="0" r="0" b="3810"/>
            <wp:docPr id="149455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54181" name="Picture 14945541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9E81" w14:textId="113213A8" w:rsidR="00965B9B" w:rsidRDefault="00965B9B" w:rsidP="00965B9B">
      <w:pPr>
        <w:pStyle w:val="Caption"/>
        <w:jc w:val="center"/>
        <w:rPr>
          <w:noProof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- Post-digital </w:t>
      </w:r>
      <w:r>
        <w:rPr>
          <w:noProof/>
          <w:lang w:val="en-US"/>
        </w:rPr>
        <w:t>Attack Tree</w:t>
      </w:r>
    </w:p>
    <w:p w14:paraId="4AA42B9E" w14:textId="77777777" w:rsidR="00965B9B" w:rsidRDefault="00965B9B" w:rsidP="002B1B9F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1304A8D" wp14:editId="36C51D00">
            <wp:extent cx="5538159" cy="6668446"/>
            <wp:effectExtent l="0" t="0" r="5715" b="0"/>
            <wp:docPr id="1743904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475" name="Picture 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1" r="23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931" cy="668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CD32F" w14:textId="3CDBC982" w:rsidR="00965B9B" w:rsidRDefault="00965B9B" w:rsidP="00965B9B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- Attack Tree Analyzer Screenshot for Pre-digital</w:t>
      </w:r>
    </w:p>
    <w:p w14:paraId="4DC0D7D3" w14:textId="77777777" w:rsidR="00965B9B" w:rsidRDefault="00965B9B" w:rsidP="00965B9B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482DECD" wp14:editId="6E59D9D6">
            <wp:extent cx="5943600" cy="7259240"/>
            <wp:effectExtent l="0" t="0" r="0" b="0"/>
            <wp:docPr id="47591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1478" name="Pictur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FD69" w14:textId="61E521C7" w:rsidR="00965B9B" w:rsidRDefault="00965B9B" w:rsidP="00965B9B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- Attack Tree Analyzer Screenshot for Post-digital</w:t>
      </w:r>
    </w:p>
    <w:p w14:paraId="33BAA17C" w14:textId="77777777" w:rsidR="00A43384" w:rsidRDefault="00A43384" w:rsidP="00C25C12">
      <w:pPr>
        <w:rPr>
          <w:b/>
          <w:bCs/>
          <w:sz w:val="28"/>
          <w:szCs w:val="28"/>
          <w:lang w:val="en-US"/>
        </w:rPr>
      </w:pPr>
    </w:p>
    <w:p w14:paraId="7C08C8F9" w14:textId="77777777" w:rsidR="009301D4" w:rsidRDefault="009301D4" w:rsidP="00C25C12">
      <w:pPr>
        <w:rPr>
          <w:b/>
          <w:bCs/>
          <w:sz w:val="28"/>
          <w:szCs w:val="28"/>
          <w:lang w:val="en-US"/>
        </w:rPr>
      </w:pPr>
    </w:p>
    <w:p w14:paraId="3D41CEE4" w14:textId="24A0466E" w:rsidR="00C25C12" w:rsidRDefault="00A43384" w:rsidP="00C25C12">
      <w:pPr>
        <w:rPr>
          <w:b/>
          <w:bCs/>
          <w:sz w:val="28"/>
          <w:szCs w:val="28"/>
          <w:lang w:val="en-US"/>
        </w:rPr>
      </w:pPr>
      <w:r w:rsidRPr="00A43384">
        <w:rPr>
          <w:b/>
          <w:bCs/>
          <w:sz w:val="28"/>
          <w:szCs w:val="28"/>
          <w:lang w:val="en-US"/>
        </w:rPr>
        <w:lastRenderedPageBreak/>
        <w:t>References</w:t>
      </w:r>
    </w:p>
    <w:p w14:paraId="7C265259" w14:textId="2833EF73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Association of Convenience Stores (ACS) (2024) Local Shop Report 2024. ACS. Available at: </w:t>
      </w:r>
      <w:hyperlink r:id="rId19" w:history="1">
        <w:r w:rsidRPr="009C38C5">
          <w:rPr>
            <w:rStyle w:val="Hyperlink"/>
            <w:lang w:val="en-US"/>
          </w:rPr>
          <w:t>https://cdn.acs.org.uk/public/ACS%20Local%20Shop%20Report%202024%20%28low%20res%29.pdf</w:t>
        </w:r>
      </w:hyperlink>
      <w:r w:rsidRPr="009C38C5">
        <w:rPr>
          <w:lang w:val="en-US"/>
        </w:rPr>
        <w:t xml:space="preserve"> (Accessed: 19 October 2025).</w:t>
      </w:r>
    </w:p>
    <w:p w14:paraId="532EB497" w14:textId="39FCB244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ENISA (European Union Agency for Cybersecurity) (2023) ENISA Threat Landscape 2023. Heraklion: ENISA. Available at: </w:t>
      </w:r>
      <w:hyperlink r:id="rId20" w:history="1">
        <w:r w:rsidRPr="009C38C5">
          <w:rPr>
            <w:rStyle w:val="Hyperlink"/>
            <w:lang w:val="en-US"/>
          </w:rPr>
          <w:t>https://www.enisa.europa.eu/publications/enisa-threat-landscape-2023</w:t>
        </w:r>
      </w:hyperlink>
      <w:r w:rsidRPr="009C38C5">
        <w:rPr>
          <w:lang w:val="en-US"/>
        </w:rPr>
        <w:t xml:space="preserve"> (Accessed: 19 October 2025).</w:t>
      </w:r>
    </w:p>
    <w:p w14:paraId="4D6BB003" w14:textId="3ADF404B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IBM Security (2023) Cost of a Data Breach Report 2023. IBM Corporation. Available at: </w:t>
      </w:r>
      <w:hyperlink r:id="rId21" w:history="1">
        <w:r w:rsidRPr="009C38C5">
          <w:rPr>
            <w:rStyle w:val="Hyperlink"/>
            <w:lang w:val="en-US"/>
          </w:rPr>
          <w:t>https://d110erj175o600.cloudfront.net/wp-content/uploads/2023/07/25111651/Cost-of-a-Data-Breach-Report-2023.pdf</w:t>
        </w:r>
      </w:hyperlink>
      <w:r w:rsidRPr="009C38C5">
        <w:rPr>
          <w:lang w:val="en-US"/>
        </w:rPr>
        <w:t xml:space="preserve"> (Accessed: 19 October 2025).</w:t>
      </w:r>
    </w:p>
    <w:p w14:paraId="34D29193" w14:textId="4567D95B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ISO/IEC (2018) ISO/IEC 27005:2018 Information security risk management. Geneva: International Organization for Standardization and International Electrotechnical Commission. Available at: </w:t>
      </w:r>
      <w:hyperlink r:id="rId22" w:history="1">
        <w:r w:rsidRPr="009C38C5">
          <w:rPr>
            <w:rStyle w:val="Hyperlink"/>
            <w:lang w:val="en-US"/>
          </w:rPr>
          <w:t>https://www.iso.org/standard/75281.html</w:t>
        </w:r>
      </w:hyperlink>
      <w:r w:rsidRPr="009C38C5">
        <w:rPr>
          <w:lang w:val="en-US"/>
        </w:rPr>
        <w:t xml:space="preserve"> (Accessed: 19 October 2025).</w:t>
      </w:r>
    </w:p>
    <w:p w14:paraId="3F440C52" w14:textId="7457A485" w:rsidR="00A43384" w:rsidRPr="009C38C5" w:rsidRDefault="00A43384" w:rsidP="00A43384">
      <w:pPr>
        <w:rPr>
          <w:lang w:val="en-US"/>
        </w:rPr>
      </w:pPr>
      <w:proofErr w:type="spellStart"/>
      <w:r w:rsidRPr="009C38C5">
        <w:rPr>
          <w:lang w:val="en-US"/>
        </w:rPr>
        <w:t>Kordy</w:t>
      </w:r>
      <w:proofErr w:type="spellEnd"/>
      <w:r w:rsidRPr="009C38C5">
        <w:rPr>
          <w:lang w:val="en-US"/>
        </w:rPr>
        <w:t xml:space="preserve">, B., </w:t>
      </w:r>
      <w:proofErr w:type="spellStart"/>
      <w:r w:rsidRPr="009C38C5">
        <w:rPr>
          <w:lang w:val="en-US"/>
        </w:rPr>
        <w:t>Mauw</w:t>
      </w:r>
      <w:proofErr w:type="spellEnd"/>
      <w:r w:rsidRPr="009C38C5">
        <w:rPr>
          <w:lang w:val="en-US"/>
        </w:rPr>
        <w:t xml:space="preserve">, S., </w:t>
      </w:r>
      <w:proofErr w:type="spellStart"/>
      <w:r w:rsidRPr="009C38C5">
        <w:rPr>
          <w:lang w:val="en-US"/>
        </w:rPr>
        <w:t>Radomirović</w:t>
      </w:r>
      <w:proofErr w:type="spellEnd"/>
      <w:r w:rsidRPr="009C38C5">
        <w:rPr>
          <w:lang w:val="en-US"/>
        </w:rPr>
        <w:t>, S. and Schweitzer, P. (2014) ‘Attack–</w:t>
      </w:r>
      <w:proofErr w:type="spellStart"/>
      <w:r w:rsidRPr="009C38C5">
        <w:rPr>
          <w:lang w:val="en-US"/>
        </w:rPr>
        <w:t>defence</w:t>
      </w:r>
      <w:proofErr w:type="spellEnd"/>
      <w:r w:rsidRPr="009C38C5">
        <w:rPr>
          <w:lang w:val="en-US"/>
        </w:rPr>
        <w:t xml:space="preserve"> trees’, Journal of Logic and Computation, 24(1), pp. 55–87. </w:t>
      </w:r>
      <w:hyperlink r:id="rId23" w:history="1">
        <w:r w:rsidRPr="009C38C5">
          <w:rPr>
            <w:rStyle w:val="Hyperlink"/>
            <w:lang w:val="en-US"/>
          </w:rPr>
          <w:t>https://doi.org/10.1093/logcom/exs029</w:t>
        </w:r>
      </w:hyperlink>
    </w:p>
    <w:p w14:paraId="43B070C7" w14:textId="2F3D5C5C" w:rsidR="00A43384" w:rsidRPr="009C38C5" w:rsidRDefault="00A43384" w:rsidP="00A43384">
      <w:pPr>
        <w:rPr>
          <w:lang w:val="en-US"/>
        </w:rPr>
      </w:pPr>
      <w:proofErr w:type="spellStart"/>
      <w:r w:rsidRPr="009C38C5">
        <w:rPr>
          <w:lang w:val="en-US"/>
        </w:rPr>
        <w:t>Mauw</w:t>
      </w:r>
      <w:proofErr w:type="spellEnd"/>
      <w:r w:rsidRPr="009C38C5">
        <w:rPr>
          <w:lang w:val="en-US"/>
        </w:rPr>
        <w:t xml:space="preserve">, S. and </w:t>
      </w:r>
      <w:proofErr w:type="spellStart"/>
      <w:r w:rsidRPr="009C38C5">
        <w:rPr>
          <w:lang w:val="en-US"/>
        </w:rPr>
        <w:t>Oostdijk</w:t>
      </w:r>
      <w:proofErr w:type="spellEnd"/>
      <w:r w:rsidRPr="009C38C5">
        <w:rPr>
          <w:lang w:val="en-US"/>
        </w:rPr>
        <w:t>, M. (</w:t>
      </w:r>
      <w:proofErr w:type="gramStart"/>
      <w:r w:rsidRPr="009C38C5">
        <w:rPr>
          <w:lang w:val="en-US"/>
        </w:rPr>
        <w:t>2005) ‘</w:t>
      </w:r>
      <w:proofErr w:type="gramEnd"/>
      <w:r w:rsidRPr="009C38C5">
        <w:rPr>
          <w:lang w:val="en-US"/>
        </w:rPr>
        <w:t xml:space="preserve">Foundations of attack </w:t>
      </w:r>
      <w:proofErr w:type="gramStart"/>
      <w:r w:rsidRPr="009C38C5">
        <w:rPr>
          <w:lang w:val="en-US"/>
        </w:rPr>
        <w:t>trees’</w:t>
      </w:r>
      <w:proofErr w:type="gramEnd"/>
      <w:r w:rsidRPr="009C38C5">
        <w:rPr>
          <w:lang w:val="en-US"/>
        </w:rPr>
        <w:t xml:space="preserve">. In: Won, D. and Kim, S. (eds.) Information Security and Cryptology: ICISC 2005. Lecture Notes in Computer Science, 3935. Berlin and Heidelberg: Springer, pp. 186–198. Available at: </w:t>
      </w:r>
      <w:hyperlink r:id="rId24" w:history="1">
        <w:r w:rsidRPr="009C38C5">
          <w:rPr>
            <w:rStyle w:val="Hyperlink"/>
            <w:lang w:val="en-US"/>
          </w:rPr>
          <w:t>https://link.springer.com/chapter/10.1007/11734727_17</w:t>
        </w:r>
      </w:hyperlink>
      <w:r w:rsidRPr="009C38C5">
        <w:rPr>
          <w:lang w:val="en-US"/>
        </w:rPr>
        <w:t xml:space="preserve"> (Accessed: 19 October 2025).</w:t>
      </w:r>
    </w:p>
    <w:p w14:paraId="75B58806" w14:textId="4126DC90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Ofgem (2023) Energy network indicators (data portal). Office of Gas and Electricity Markets. Available at: </w:t>
      </w:r>
      <w:hyperlink r:id="rId25" w:history="1">
        <w:r w:rsidRPr="009C38C5">
          <w:rPr>
            <w:rStyle w:val="Hyperlink"/>
            <w:lang w:val="en-US"/>
          </w:rPr>
          <w:t>https://www.ofgem.gov.uk/news-and-insight/data/data-portal/energy-network-indicators</w:t>
        </w:r>
      </w:hyperlink>
      <w:r w:rsidRPr="009C38C5">
        <w:rPr>
          <w:lang w:val="en-US"/>
        </w:rPr>
        <w:t xml:space="preserve"> (Accessed: 19 October 2025).</w:t>
      </w:r>
    </w:p>
    <w:p w14:paraId="263020E6" w14:textId="7ECE018E" w:rsidR="00A43384" w:rsidRPr="009C38C5" w:rsidRDefault="00A43384" w:rsidP="00A43384">
      <w:pPr>
        <w:rPr>
          <w:lang w:val="en-US"/>
        </w:rPr>
      </w:pPr>
      <w:proofErr w:type="spellStart"/>
      <w:r w:rsidRPr="009C38C5">
        <w:rPr>
          <w:lang w:val="en-US"/>
        </w:rPr>
        <w:t>Ponemon</w:t>
      </w:r>
      <w:proofErr w:type="spellEnd"/>
      <w:r w:rsidRPr="009C38C5">
        <w:rPr>
          <w:lang w:val="en-US"/>
        </w:rPr>
        <w:t xml:space="preserve"> Institute (2023) The Global Cost of Ransomware Study. </w:t>
      </w:r>
      <w:proofErr w:type="spellStart"/>
      <w:r w:rsidRPr="009C38C5">
        <w:rPr>
          <w:lang w:val="en-US"/>
        </w:rPr>
        <w:t>Ponemon</w:t>
      </w:r>
      <w:proofErr w:type="spellEnd"/>
      <w:r w:rsidRPr="009C38C5">
        <w:rPr>
          <w:lang w:val="en-US"/>
        </w:rPr>
        <w:t xml:space="preserve"> Institute. Available at: </w:t>
      </w:r>
      <w:hyperlink r:id="rId26" w:history="1">
        <w:r w:rsidRPr="009C38C5">
          <w:rPr>
            <w:rStyle w:val="Hyperlink"/>
            <w:lang w:val="en-US"/>
          </w:rPr>
          <w:t>https://www.illumio.com/resource-center/cost-of-ransomware</w:t>
        </w:r>
      </w:hyperlink>
      <w:r w:rsidRPr="009C38C5">
        <w:rPr>
          <w:lang w:val="en-US"/>
        </w:rPr>
        <w:t xml:space="preserve"> (Accessed: 19 October 2025).</w:t>
      </w:r>
    </w:p>
    <w:p w14:paraId="645ED1B7" w14:textId="57B85BCD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Verizon (2024) Data Breach Investigations Report (DBIR). Verizon Business. Available at: </w:t>
      </w:r>
      <w:hyperlink r:id="rId27" w:history="1">
        <w:r w:rsidRPr="009C38C5">
          <w:rPr>
            <w:rStyle w:val="Hyperlink"/>
            <w:lang w:val="en-US"/>
          </w:rPr>
          <w:t>https://www.verizon.com/business/resources/reports/2024-dbir-data-breach-investigations-report.pdf</w:t>
        </w:r>
      </w:hyperlink>
      <w:r w:rsidRPr="009C38C5">
        <w:rPr>
          <w:lang w:val="en-US"/>
        </w:rPr>
        <w:t xml:space="preserve"> (Accessed: 19 October 2025).</w:t>
      </w:r>
    </w:p>
    <w:sectPr w:rsidR="00A43384" w:rsidRPr="009C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9501F"/>
    <w:multiLevelType w:val="multilevel"/>
    <w:tmpl w:val="1CC4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71C0"/>
    <w:multiLevelType w:val="multilevel"/>
    <w:tmpl w:val="2330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43099"/>
    <w:multiLevelType w:val="multilevel"/>
    <w:tmpl w:val="1124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925C5"/>
    <w:multiLevelType w:val="hybridMultilevel"/>
    <w:tmpl w:val="48CE7444"/>
    <w:lvl w:ilvl="0" w:tplc="2D1CD5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763EA"/>
    <w:multiLevelType w:val="hybridMultilevel"/>
    <w:tmpl w:val="234EEF24"/>
    <w:lvl w:ilvl="0" w:tplc="6CC89E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6268C"/>
    <w:multiLevelType w:val="hybridMultilevel"/>
    <w:tmpl w:val="99A871CC"/>
    <w:lvl w:ilvl="0" w:tplc="109EC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470D0"/>
    <w:multiLevelType w:val="hybridMultilevel"/>
    <w:tmpl w:val="5B1E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0291"/>
    <w:multiLevelType w:val="hybridMultilevel"/>
    <w:tmpl w:val="5FA6EA36"/>
    <w:lvl w:ilvl="0" w:tplc="9A287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405"/>
    <w:multiLevelType w:val="multilevel"/>
    <w:tmpl w:val="53F0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603692">
    <w:abstractNumId w:val="1"/>
  </w:num>
  <w:num w:numId="2" w16cid:durableId="1493375056">
    <w:abstractNumId w:val="6"/>
  </w:num>
  <w:num w:numId="3" w16cid:durableId="85853982">
    <w:abstractNumId w:val="4"/>
  </w:num>
  <w:num w:numId="4" w16cid:durableId="1798988335">
    <w:abstractNumId w:val="0"/>
  </w:num>
  <w:num w:numId="5" w16cid:durableId="725449293">
    <w:abstractNumId w:val="8"/>
  </w:num>
  <w:num w:numId="6" w16cid:durableId="415833261">
    <w:abstractNumId w:val="2"/>
  </w:num>
  <w:num w:numId="7" w16cid:durableId="452137943">
    <w:abstractNumId w:val="5"/>
  </w:num>
  <w:num w:numId="8" w16cid:durableId="1412312602">
    <w:abstractNumId w:val="7"/>
  </w:num>
  <w:num w:numId="9" w16cid:durableId="1824160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0E"/>
    <w:rsid w:val="000B3682"/>
    <w:rsid w:val="00184D4E"/>
    <w:rsid w:val="001C39D4"/>
    <w:rsid w:val="002777C0"/>
    <w:rsid w:val="002A792B"/>
    <w:rsid w:val="002B1B9F"/>
    <w:rsid w:val="002C39F8"/>
    <w:rsid w:val="003062AB"/>
    <w:rsid w:val="003E0771"/>
    <w:rsid w:val="00585C0E"/>
    <w:rsid w:val="0060355B"/>
    <w:rsid w:val="006421BE"/>
    <w:rsid w:val="006D7CC4"/>
    <w:rsid w:val="007179E8"/>
    <w:rsid w:val="009301D4"/>
    <w:rsid w:val="009321D5"/>
    <w:rsid w:val="00965B9B"/>
    <w:rsid w:val="009848BF"/>
    <w:rsid w:val="009C38C5"/>
    <w:rsid w:val="00A029F9"/>
    <w:rsid w:val="00A43384"/>
    <w:rsid w:val="00AF016C"/>
    <w:rsid w:val="00B904E1"/>
    <w:rsid w:val="00C25C12"/>
    <w:rsid w:val="00DC32A3"/>
    <w:rsid w:val="00E64DEC"/>
    <w:rsid w:val="00E874F2"/>
    <w:rsid w:val="00EE1375"/>
    <w:rsid w:val="00EF08BB"/>
    <w:rsid w:val="00F9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9E0C"/>
  <w15:chartTrackingRefBased/>
  <w15:docId w15:val="{7C0B3B51-6977-45A5-BF00-23EFB995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5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C0E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2777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777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65B9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33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38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21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4.png"/><Relationship Id="rId26" Type="http://schemas.openxmlformats.org/officeDocument/2006/relationships/hyperlink" Target="https://www.illumio.com/resource-center/cost-of-ransomw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110erj175o600.cloudfront.net/wp-content/uploads/2023/07/25111651/Cost-of-a-Data-Breach-Report-2023.pdf" TargetMode="Externa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3.png"/><Relationship Id="rId25" Type="http://schemas.openxmlformats.org/officeDocument/2006/relationships/hyperlink" Target="https://www.ofgem.gov.uk/news-and-insight/data/data-portal/energy-network-indicators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enisa.europa.eu/publications/enisa-threat-landscape-202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hyperlink" Target="https://link.springer.com/chapter/10.1007/11734727_17" TargetMode="Externa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23" Type="http://schemas.openxmlformats.org/officeDocument/2006/relationships/hyperlink" Target="https://doi.org/10.1093/logcom/exs029" TargetMode="External"/><Relationship Id="rId28" Type="http://schemas.openxmlformats.org/officeDocument/2006/relationships/fontTable" Target="fontTable.xml"/><Relationship Id="rId10" Type="http://schemas.openxmlformats.org/officeDocument/2006/relationships/diagramData" Target="diagrams/data2.xml"/><Relationship Id="rId19" Type="http://schemas.openxmlformats.org/officeDocument/2006/relationships/hyperlink" Target="https://cdn.acs.org.uk/public/ACS%20Local%20Shop%20Report%202024%20%28low%20res%29.pdf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hyperlink" Target="https://www.iso.org/standard/75281.html" TargetMode="External"/><Relationship Id="rId27" Type="http://schemas.openxmlformats.org/officeDocument/2006/relationships/hyperlink" Target="https://www.verizon.com/business/resources/reports/2024-dbir-data-breach-investigations-report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4B9BFB-3FD7-488A-86C4-DD922EC54033}" type="doc">
      <dgm:prSet loTypeId="urn:microsoft.com/office/officeart/2005/8/layout/vList2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71EE4224-39D9-42E2-AB01-5FEC2023D07E}">
      <dgm:prSet phldrT="[Text]" custT="1"/>
      <dgm:spPr/>
      <dgm:t>
        <a:bodyPr/>
        <a:lstStyle/>
        <a:p>
          <a:r>
            <a:rPr lang="en-US" sz="1200"/>
            <a:t>(i) Monetary Rating</a:t>
          </a:r>
        </a:p>
      </dgm:t>
    </dgm:pt>
    <dgm:pt modelId="{8B70C0DD-C048-46D4-9C58-1F56C1C9AAD3}" type="parTrans" cxnId="{BCA21967-09FB-4318-AFF7-4279BEC1FA29}">
      <dgm:prSet/>
      <dgm:spPr/>
      <dgm:t>
        <a:bodyPr/>
        <a:lstStyle/>
        <a:p>
          <a:endParaRPr lang="en-US"/>
        </a:p>
      </dgm:t>
    </dgm:pt>
    <dgm:pt modelId="{C87ABFBA-972E-43F3-ACCC-4FAA740B2681}" type="sibTrans" cxnId="{BCA21967-09FB-4318-AFF7-4279BEC1FA29}">
      <dgm:prSet/>
      <dgm:spPr/>
      <dgm:t>
        <a:bodyPr/>
        <a:lstStyle/>
        <a:p>
          <a:endParaRPr lang="en-US"/>
        </a:p>
      </dgm:t>
    </dgm:pt>
    <dgm:pt modelId="{E6B76294-81EA-40D0-ABF4-3FBB445BB472}">
      <dgm:prSet phldrT="[Text]" custT="1"/>
      <dgm:spPr/>
      <dgm:t>
        <a:bodyPr/>
        <a:lstStyle/>
        <a:p>
          <a:r>
            <a:rPr lang="en-US" sz="1200"/>
            <a:t>Th expected annual loss (EL) at the root representing overall value impact</a:t>
          </a:r>
        </a:p>
      </dgm:t>
    </dgm:pt>
    <dgm:pt modelId="{971FA95E-B2A2-443B-A282-B187AC42061A}" type="parTrans" cxnId="{5BDB2C36-A40E-4E02-ADEE-8C54B5703B57}">
      <dgm:prSet/>
      <dgm:spPr/>
      <dgm:t>
        <a:bodyPr/>
        <a:lstStyle/>
        <a:p>
          <a:endParaRPr lang="en-US"/>
        </a:p>
      </dgm:t>
    </dgm:pt>
    <dgm:pt modelId="{6DC7D23F-6B51-40C4-A2DB-563B0457F19B}" type="sibTrans" cxnId="{5BDB2C36-A40E-4E02-ADEE-8C54B5703B57}">
      <dgm:prSet/>
      <dgm:spPr/>
      <dgm:t>
        <a:bodyPr/>
        <a:lstStyle/>
        <a:p>
          <a:endParaRPr lang="en-US"/>
        </a:p>
      </dgm:t>
    </dgm:pt>
    <dgm:pt modelId="{22C1BECF-C9DB-4BB2-B3DC-DE393B8F8B7D}">
      <dgm:prSet phldrT="[Text]" custT="1"/>
      <dgm:spPr/>
      <dgm:t>
        <a:bodyPr/>
        <a:lstStyle/>
        <a:p>
          <a:r>
            <a:rPr lang="en-US" sz="1200"/>
            <a:t>(ii) Probability</a:t>
          </a:r>
        </a:p>
      </dgm:t>
    </dgm:pt>
    <dgm:pt modelId="{E1D36B0A-98D9-4B25-9A5A-1910538D1E60}" type="parTrans" cxnId="{5E4D6EB1-762B-4C1C-A24B-A6EFAD332C23}">
      <dgm:prSet/>
      <dgm:spPr/>
      <dgm:t>
        <a:bodyPr/>
        <a:lstStyle/>
        <a:p>
          <a:endParaRPr lang="en-US"/>
        </a:p>
      </dgm:t>
    </dgm:pt>
    <dgm:pt modelId="{A17275D3-074A-4E9B-A33C-B0B1536FE9AC}" type="sibTrans" cxnId="{5E4D6EB1-762B-4C1C-A24B-A6EFAD332C23}">
      <dgm:prSet/>
      <dgm:spPr/>
      <dgm:t>
        <a:bodyPr/>
        <a:lstStyle/>
        <a:p>
          <a:endParaRPr lang="en-US"/>
        </a:p>
      </dgm:t>
    </dgm:pt>
    <dgm:pt modelId="{67F66349-5D87-4F8C-9622-B7D5F2A12596}">
      <dgm:prSet phldrT="[Text]" custT="1"/>
      <dgm:spPr/>
      <dgm:t>
        <a:bodyPr/>
        <a:lstStyle/>
        <a:p>
          <a:r>
            <a:rPr lang="en-US" sz="1200"/>
            <a:t>P(top), the probability that the top event occurs within the horizon (reported as a supplumentary metric</a:t>
          </a:r>
        </a:p>
      </dgm:t>
    </dgm:pt>
    <dgm:pt modelId="{D2C29E42-EFB2-47E3-92B9-AA104CCA7DA8}" type="parTrans" cxnId="{D4E72FC5-F2E6-456A-82D3-BF7335369A18}">
      <dgm:prSet/>
      <dgm:spPr/>
      <dgm:t>
        <a:bodyPr/>
        <a:lstStyle/>
        <a:p>
          <a:endParaRPr lang="en-US"/>
        </a:p>
      </dgm:t>
    </dgm:pt>
    <dgm:pt modelId="{3D50937F-6D2C-4E60-B831-5C21090B5CF7}" type="sibTrans" cxnId="{D4E72FC5-F2E6-456A-82D3-BF7335369A18}">
      <dgm:prSet/>
      <dgm:spPr/>
      <dgm:t>
        <a:bodyPr/>
        <a:lstStyle/>
        <a:p>
          <a:endParaRPr lang="en-US"/>
        </a:p>
      </dgm:t>
    </dgm:pt>
    <dgm:pt modelId="{9284029E-5314-4D55-82D7-EB2CB968435E}" type="pres">
      <dgm:prSet presAssocID="{684B9BFB-3FD7-488A-86C4-DD922EC54033}" presName="linear" presStyleCnt="0">
        <dgm:presLayoutVars>
          <dgm:animLvl val="lvl"/>
          <dgm:resizeHandles val="exact"/>
        </dgm:presLayoutVars>
      </dgm:prSet>
      <dgm:spPr/>
    </dgm:pt>
    <dgm:pt modelId="{40A077D5-A859-4B31-B508-0F69A4ED229D}" type="pres">
      <dgm:prSet presAssocID="{71EE4224-39D9-42E2-AB01-5FEC2023D07E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7EC9B51D-4980-4D9C-A5E9-528CCD6F2CF1}" type="pres">
      <dgm:prSet presAssocID="{71EE4224-39D9-42E2-AB01-5FEC2023D07E}" presName="childText" presStyleLbl="revTx" presStyleIdx="0" presStyleCnt="2">
        <dgm:presLayoutVars>
          <dgm:bulletEnabled val="1"/>
        </dgm:presLayoutVars>
      </dgm:prSet>
      <dgm:spPr/>
    </dgm:pt>
    <dgm:pt modelId="{72269ED1-4FB7-421C-85EC-869B2178E438}" type="pres">
      <dgm:prSet presAssocID="{22C1BECF-C9DB-4BB2-B3DC-DE393B8F8B7D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824A20B4-C7CA-40E1-9C4E-EAA9DD8A37E4}" type="pres">
      <dgm:prSet presAssocID="{22C1BECF-C9DB-4BB2-B3DC-DE393B8F8B7D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7BA71B05-7206-4A09-BCD9-2AEE8C5639A2}" type="presOf" srcId="{71EE4224-39D9-42E2-AB01-5FEC2023D07E}" destId="{40A077D5-A859-4B31-B508-0F69A4ED229D}" srcOrd="0" destOrd="0" presId="urn:microsoft.com/office/officeart/2005/8/layout/vList2"/>
    <dgm:cxn modelId="{5BDB2C36-A40E-4E02-ADEE-8C54B5703B57}" srcId="{71EE4224-39D9-42E2-AB01-5FEC2023D07E}" destId="{E6B76294-81EA-40D0-ABF4-3FBB445BB472}" srcOrd="0" destOrd="0" parTransId="{971FA95E-B2A2-443B-A282-B187AC42061A}" sibTransId="{6DC7D23F-6B51-40C4-A2DB-563B0457F19B}"/>
    <dgm:cxn modelId="{BCA21967-09FB-4318-AFF7-4279BEC1FA29}" srcId="{684B9BFB-3FD7-488A-86C4-DD922EC54033}" destId="{71EE4224-39D9-42E2-AB01-5FEC2023D07E}" srcOrd="0" destOrd="0" parTransId="{8B70C0DD-C048-46D4-9C58-1F56C1C9AAD3}" sibTransId="{C87ABFBA-972E-43F3-ACCC-4FAA740B2681}"/>
    <dgm:cxn modelId="{2E1C7D59-9BAB-49CF-813C-E4DAD9E770BD}" type="presOf" srcId="{684B9BFB-3FD7-488A-86C4-DD922EC54033}" destId="{9284029E-5314-4D55-82D7-EB2CB968435E}" srcOrd="0" destOrd="0" presId="urn:microsoft.com/office/officeart/2005/8/layout/vList2"/>
    <dgm:cxn modelId="{5E5CB17A-8AA6-4AC8-8704-B7233257736E}" type="presOf" srcId="{E6B76294-81EA-40D0-ABF4-3FBB445BB472}" destId="{7EC9B51D-4980-4D9C-A5E9-528CCD6F2CF1}" srcOrd="0" destOrd="0" presId="urn:microsoft.com/office/officeart/2005/8/layout/vList2"/>
    <dgm:cxn modelId="{5E4D6EB1-762B-4C1C-A24B-A6EFAD332C23}" srcId="{684B9BFB-3FD7-488A-86C4-DD922EC54033}" destId="{22C1BECF-C9DB-4BB2-B3DC-DE393B8F8B7D}" srcOrd="1" destOrd="0" parTransId="{E1D36B0A-98D9-4B25-9A5A-1910538D1E60}" sibTransId="{A17275D3-074A-4E9B-A33C-B0B1536FE9AC}"/>
    <dgm:cxn modelId="{161486C2-F92A-4AD6-A9A1-A47BB5735F0C}" type="presOf" srcId="{22C1BECF-C9DB-4BB2-B3DC-DE393B8F8B7D}" destId="{72269ED1-4FB7-421C-85EC-869B2178E438}" srcOrd="0" destOrd="0" presId="urn:microsoft.com/office/officeart/2005/8/layout/vList2"/>
    <dgm:cxn modelId="{D4E72FC5-F2E6-456A-82D3-BF7335369A18}" srcId="{22C1BECF-C9DB-4BB2-B3DC-DE393B8F8B7D}" destId="{67F66349-5D87-4F8C-9622-B7D5F2A12596}" srcOrd="0" destOrd="0" parTransId="{D2C29E42-EFB2-47E3-92B9-AA104CCA7DA8}" sibTransId="{3D50937F-6D2C-4E60-B831-5C21090B5CF7}"/>
    <dgm:cxn modelId="{9D4E74F9-D5ED-4227-9C12-DB9A336B8F58}" type="presOf" srcId="{67F66349-5D87-4F8C-9622-B7D5F2A12596}" destId="{824A20B4-C7CA-40E1-9C4E-EAA9DD8A37E4}" srcOrd="0" destOrd="0" presId="urn:microsoft.com/office/officeart/2005/8/layout/vList2"/>
    <dgm:cxn modelId="{1472CE9E-19CB-4ADA-AA5F-031330D7BC77}" type="presParOf" srcId="{9284029E-5314-4D55-82D7-EB2CB968435E}" destId="{40A077D5-A859-4B31-B508-0F69A4ED229D}" srcOrd="0" destOrd="0" presId="urn:microsoft.com/office/officeart/2005/8/layout/vList2"/>
    <dgm:cxn modelId="{B55718CB-F331-48E9-8157-3E4A9F3FAEA2}" type="presParOf" srcId="{9284029E-5314-4D55-82D7-EB2CB968435E}" destId="{7EC9B51D-4980-4D9C-A5E9-528CCD6F2CF1}" srcOrd="1" destOrd="0" presId="urn:microsoft.com/office/officeart/2005/8/layout/vList2"/>
    <dgm:cxn modelId="{B586C135-2D2D-4C77-AD82-D88423DE0064}" type="presParOf" srcId="{9284029E-5314-4D55-82D7-EB2CB968435E}" destId="{72269ED1-4FB7-421C-85EC-869B2178E438}" srcOrd="2" destOrd="0" presId="urn:microsoft.com/office/officeart/2005/8/layout/vList2"/>
    <dgm:cxn modelId="{E6EEE174-287E-4573-95D4-881BA42E7ACF}" type="presParOf" srcId="{9284029E-5314-4D55-82D7-EB2CB968435E}" destId="{824A20B4-C7CA-40E1-9C4E-EAA9DD8A37E4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11B21AA-889C-49AB-B04F-009ED55275C7}" type="doc">
      <dgm:prSet loTypeId="urn:microsoft.com/office/officeart/2005/8/layout/default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86515F45-88DB-4C86-AA6F-3B8CB1C8B4B9}">
      <dgm:prSet phldrT="[Text]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Model fidelity is bound by what is encoded in the YAML trees. If a threat is not modelled at the leaf level it is not reflected in the totals.</a:t>
          </a:r>
          <a:endParaRPr lang="en-US"/>
        </a:p>
      </dgm:t>
    </dgm:pt>
    <dgm:pt modelId="{04A1B4CF-D736-47A9-85BF-42FC02ADB30F}" type="parTrans" cxnId="{E1FEB081-1954-440A-98D1-C05940146B34}">
      <dgm:prSet/>
      <dgm:spPr/>
      <dgm:t>
        <a:bodyPr/>
        <a:lstStyle/>
        <a:p>
          <a:pPr algn="ctr"/>
          <a:endParaRPr lang="en-US"/>
        </a:p>
      </dgm:t>
    </dgm:pt>
    <dgm:pt modelId="{97D8C4AF-AF62-48D0-8DF5-53C29B110C3F}" type="sibTrans" cxnId="{E1FEB081-1954-440A-98D1-C05940146B34}">
      <dgm:prSet/>
      <dgm:spPr/>
      <dgm:t>
        <a:bodyPr/>
        <a:lstStyle/>
        <a:p>
          <a:pPr algn="ctr"/>
          <a:endParaRPr lang="en-US"/>
        </a:p>
      </dgm:t>
    </dgm:pt>
    <dgm:pt modelId="{C3A851B9-54B4-4313-A028-6678B76E12D1}">
      <dgm:prSet phldrT="[Text]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Independence between leaf events is assumed unless otherwise stated. Correlation and causal chaining are not modelled.</a:t>
          </a:r>
          <a:endParaRPr lang="en-US"/>
        </a:p>
      </dgm:t>
    </dgm:pt>
    <dgm:pt modelId="{C2629BE1-729E-43DF-9470-93FB857D34C8}" type="parTrans" cxnId="{D1FCAA98-6B68-4AF6-A3AC-E49C703F3481}">
      <dgm:prSet/>
      <dgm:spPr/>
      <dgm:t>
        <a:bodyPr/>
        <a:lstStyle/>
        <a:p>
          <a:pPr algn="ctr"/>
          <a:endParaRPr lang="en-US"/>
        </a:p>
      </dgm:t>
    </dgm:pt>
    <dgm:pt modelId="{C7C962EC-B1D6-4BEC-815D-66C0313705CE}" type="sibTrans" cxnId="{D1FCAA98-6B68-4AF6-A3AC-E49C703F3481}">
      <dgm:prSet/>
      <dgm:spPr/>
      <dgm:t>
        <a:bodyPr/>
        <a:lstStyle/>
        <a:p>
          <a:pPr algn="ctr"/>
          <a:endParaRPr lang="en-US"/>
        </a:p>
      </dgm:t>
    </dgm:pt>
    <dgm:pt modelId="{9EFB8E85-36FD-486A-8E83-C99033480A44}">
      <dgm:prSet phldrT="[Text]" custT="1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US" sz="700"/>
            <a:t>A “min-cost OR path” summary is a known alternative for internal-node impact, but not used here. We reort 𝑃top via AND/OR probability aggregation and 𝐸[𝐿] over leaves.</a:t>
          </a:r>
        </a:p>
      </dgm:t>
    </dgm:pt>
    <dgm:pt modelId="{9F51EA9E-3ACB-4925-AD1B-6D47F0651A28}" type="parTrans" cxnId="{12D6C164-7D86-435E-9675-7A087240A1AF}">
      <dgm:prSet/>
      <dgm:spPr/>
      <dgm:t>
        <a:bodyPr/>
        <a:lstStyle/>
        <a:p>
          <a:pPr algn="ctr"/>
          <a:endParaRPr lang="en-US"/>
        </a:p>
      </dgm:t>
    </dgm:pt>
    <dgm:pt modelId="{3D590DAC-C616-4A68-90EA-F1CFA8ECDF01}" type="sibTrans" cxnId="{12D6C164-7D86-435E-9675-7A087240A1AF}">
      <dgm:prSet/>
      <dgm:spPr/>
      <dgm:t>
        <a:bodyPr/>
        <a:lstStyle/>
        <a:p>
          <a:pPr algn="ctr"/>
          <a:endParaRPr lang="en-US"/>
        </a:p>
      </dgm:t>
    </dgm:pt>
    <dgm:pt modelId="{A1FC1E3B-BD5A-47F6-B325-80822FD6505A}">
      <dgm:prSet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Single-loss impacts are scaled to a micro-retail context using documented heuristics.</a:t>
          </a:r>
          <a:endParaRPr lang="en-US"/>
        </a:p>
      </dgm:t>
    </dgm:pt>
    <dgm:pt modelId="{EF24EBE8-B670-4DBD-AA48-EAE38991CBB0}" type="parTrans" cxnId="{2963B97B-C620-412C-A749-E82FBA54CF2E}">
      <dgm:prSet/>
      <dgm:spPr/>
      <dgm:t>
        <a:bodyPr/>
        <a:lstStyle/>
        <a:p>
          <a:pPr algn="ctr"/>
          <a:endParaRPr lang="en-US"/>
        </a:p>
      </dgm:t>
    </dgm:pt>
    <dgm:pt modelId="{7048BF7A-8141-4CE1-B738-C1F032CC5263}" type="sibTrans" cxnId="{2963B97B-C620-412C-A749-E82FBA54CF2E}">
      <dgm:prSet/>
      <dgm:spPr/>
      <dgm:t>
        <a:bodyPr/>
        <a:lstStyle/>
        <a:p>
          <a:pPr algn="ctr"/>
          <a:endParaRPr lang="en-US"/>
        </a:p>
      </dgm:t>
    </dgm:pt>
    <dgm:pt modelId="{B706926E-DD8D-4FC6-B1B3-191DB89EBD1F}">
      <dgm:prSet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Horizon is 12 months with no discounting of multi-year effects. Currency is GBP.</a:t>
          </a:r>
          <a:endParaRPr lang="en-US"/>
        </a:p>
      </dgm:t>
    </dgm:pt>
    <dgm:pt modelId="{623B0B8C-677B-43AA-9968-FF947EFEF414}" type="parTrans" cxnId="{2F21E61A-EA4F-4AD8-94DB-FF93172C561E}">
      <dgm:prSet/>
      <dgm:spPr/>
      <dgm:t>
        <a:bodyPr/>
        <a:lstStyle/>
        <a:p>
          <a:pPr algn="ctr"/>
          <a:endParaRPr lang="en-US"/>
        </a:p>
      </dgm:t>
    </dgm:pt>
    <dgm:pt modelId="{CD1B911B-31B9-4266-8816-0DE16F410425}" type="sibTrans" cxnId="{2F21E61A-EA4F-4AD8-94DB-FF93172C561E}">
      <dgm:prSet/>
      <dgm:spPr/>
      <dgm:t>
        <a:bodyPr/>
        <a:lstStyle/>
        <a:p>
          <a:pPr algn="ctr"/>
          <a:endParaRPr lang="en-US"/>
        </a:p>
      </dgm:t>
    </dgm:pt>
    <dgm:pt modelId="{9C92A78F-641B-4C88-AAC7-57EC4472C8D5}">
      <dgm:prSet/>
      <dgm:spPr/>
      <dgm:t>
        <a:bodyPr/>
        <a:lstStyle/>
        <a:p>
          <a:pPr algn="ctr">
            <a:buNone/>
          </a:pPr>
          <a:r>
            <a:rPr lang="en-GB"/>
            <a:t>Public data quality varies; where variance was high, conservative central estimates were selected and reflected in the chosen bands.</a:t>
          </a:r>
          <a:endParaRPr lang="en-US"/>
        </a:p>
      </dgm:t>
    </dgm:pt>
    <dgm:pt modelId="{9C226064-F0A2-47F7-A28C-DE3E5EA1BF96}" type="parTrans" cxnId="{362EA4A6-CED0-4957-BC95-8CA758BF0245}">
      <dgm:prSet/>
      <dgm:spPr/>
      <dgm:t>
        <a:bodyPr/>
        <a:lstStyle/>
        <a:p>
          <a:pPr algn="ctr"/>
          <a:endParaRPr lang="en-US"/>
        </a:p>
      </dgm:t>
    </dgm:pt>
    <dgm:pt modelId="{D2D99B9F-7D88-4A8D-AF76-B230810671C4}" type="sibTrans" cxnId="{362EA4A6-CED0-4957-BC95-8CA758BF0245}">
      <dgm:prSet/>
      <dgm:spPr/>
      <dgm:t>
        <a:bodyPr/>
        <a:lstStyle/>
        <a:p>
          <a:pPr algn="ctr"/>
          <a:endParaRPr lang="en-US"/>
        </a:p>
      </dgm:t>
    </dgm:pt>
    <dgm:pt modelId="{DF66A3F1-A105-4D32-B172-8054DA1337A7}" type="pres">
      <dgm:prSet presAssocID="{611B21AA-889C-49AB-B04F-009ED55275C7}" presName="diagram" presStyleCnt="0">
        <dgm:presLayoutVars>
          <dgm:dir/>
          <dgm:resizeHandles val="exact"/>
        </dgm:presLayoutVars>
      </dgm:prSet>
      <dgm:spPr/>
    </dgm:pt>
    <dgm:pt modelId="{F7CADFE8-0829-4C83-9B9E-F8485B5A1967}" type="pres">
      <dgm:prSet presAssocID="{86515F45-88DB-4C86-AA6F-3B8CB1C8B4B9}" presName="node" presStyleLbl="node1" presStyleIdx="0" presStyleCnt="6">
        <dgm:presLayoutVars>
          <dgm:bulletEnabled val="1"/>
        </dgm:presLayoutVars>
      </dgm:prSet>
      <dgm:spPr/>
    </dgm:pt>
    <dgm:pt modelId="{407913C9-5A76-4617-9455-44D8003AD2AD}" type="pres">
      <dgm:prSet presAssocID="{97D8C4AF-AF62-48D0-8DF5-53C29B110C3F}" presName="sibTrans" presStyleCnt="0"/>
      <dgm:spPr/>
    </dgm:pt>
    <dgm:pt modelId="{B2B4D01C-D306-47D8-B763-FAC31FED3B75}" type="pres">
      <dgm:prSet presAssocID="{C3A851B9-54B4-4313-A028-6678B76E12D1}" presName="node" presStyleLbl="node1" presStyleIdx="1" presStyleCnt="6">
        <dgm:presLayoutVars>
          <dgm:bulletEnabled val="1"/>
        </dgm:presLayoutVars>
      </dgm:prSet>
      <dgm:spPr/>
    </dgm:pt>
    <dgm:pt modelId="{1B5D2F1C-A772-4F58-BE1A-989C8FC703DB}" type="pres">
      <dgm:prSet presAssocID="{C7C962EC-B1D6-4BEC-815D-66C0313705CE}" presName="sibTrans" presStyleCnt="0"/>
      <dgm:spPr/>
    </dgm:pt>
    <dgm:pt modelId="{78F9E1B0-1F69-4C34-AF17-006B41FBEAE7}" type="pres">
      <dgm:prSet presAssocID="{9EFB8E85-36FD-486A-8E83-C99033480A44}" presName="node" presStyleLbl="node1" presStyleIdx="2" presStyleCnt="6">
        <dgm:presLayoutVars>
          <dgm:bulletEnabled val="1"/>
        </dgm:presLayoutVars>
      </dgm:prSet>
      <dgm:spPr/>
    </dgm:pt>
    <dgm:pt modelId="{4DD04D07-F333-4CB5-B478-BCC8990B1CEA}" type="pres">
      <dgm:prSet presAssocID="{3D590DAC-C616-4A68-90EA-F1CFA8ECDF01}" presName="sibTrans" presStyleCnt="0"/>
      <dgm:spPr/>
    </dgm:pt>
    <dgm:pt modelId="{57CDE6F0-000F-4B2E-BB2A-1487995C9352}" type="pres">
      <dgm:prSet presAssocID="{A1FC1E3B-BD5A-47F6-B325-80822FD6505A}" presName="node" presStyleLbl="node1" presStyleIdx="3" presStyleCnt="6">
        <dgm:presLayoutVars>
          <dgm:bulletEnabled val="1"/>
        </dgm:presLayoutVars>
      </dgm:prSet>
      <dgm:spPr/>
    </dgm:pt>
    <dgm:pt modelId="{229FC176-EF7F-4A9F-B1B1-2013FD258712}" type="pres">
      <dgm:prSet presAssocID="{7048BF7A-8141-4CE1-B738-C1F032CC5263}" presName="sibTrans" presStyleCnt="0"/>
      <dgm:spPr/>
    </dgm:pt>
    <dgm:pt modelId="{BBBEE25D-B92F-4D62-A2CA-E9EDD1464210}" type="pres">
      <dgm:prSet presAssocID="{B706926E-DD8D-4FC6-B1B3-191DB89EBD1F}" presName="node" presStyleLbl="node1" presStyleIdx="4" presStyleCnt="6">
        <dgm:presLayoutVars>
          <dgm:bulletEnabled val="1"/>
        </dgm:presLayoutVars>
      </dgm:prSet>
      <dgm:spPr/>
    </dgm:pt>
    <dgm:pt modelId="{5F6A9173-AE93-40F7-9B8D-7C1B8128E361}" type="pres">
      <dgm:prSet presAssocID="{CD1B911B-31B9-4266-8816-0DE16F410425}" presName="sibTrans" presStyleCnt="0"/>
      <dgm:spPr/>
    </dgm:pt>
    <dgm:pt modelId="{758FABAA-5544-49BF-8B95-A1ECA534060C}" type="pres">
      <dgm:prSet presAssocID="{9C92A78F-641B-4C88-AAC7-57EC4472C8D5}" presName="node" presStyleLbl="node1" presStyleIdx="5" presStyleCnt="6">
        <dgm:presLayoutVars>
          <dgm:bulletEnabled val="1"/>
        </dgm:presLayoutVars>
      </dgm:prSet>
      <dgm:spPr/>
    </dgm:pt>
  </dgm:ptLst>
  <dgm:cxnLst>
    <dgm:cxn modelId="{2F21E61A-EA4F-4AD8-94DB-FF93172C561E}" srcId="{611B21AA-889C-49AB-B04F-009ED55275C7}" destId="{B706926E-DD8D-4FC6-B1B3-191DB89EBD1F}" srcOrd="4" destOrd="0" parTransId="{623B0B8C-677B-43AA-9968-FF947EFEF414}" sibTransId="{CD1B911B-31B9-4266-8816-0DE16F410425}"/>
    <dgm:cxn modelId="{2BF0F81C-6021-4BF4-B15F-BF56B65E3FFD}" type="presOf" srcId="{B706926E-DD8D-4FC6-B1B3-191DB89EBD1F}" destId="{BBBEE25D-B92F-4D62-A2CA-E9EDD1464210}" srcOrd="0" destOrd="0" presId="urn:microsoft.com/office/officeart/2005/8/layout/default"/>
    <dgm:cxn modelId="{F3588A26-92DD-4264-A922-2B78200ADCCB}" type="presOf" srcId="{611B21AA-889C-49AB-B04F-009ED55275C7}" destId="{DF66A3F1-A105-4D32-B172-8054DA1337A7}" srcOrd="0" destOrd="0" presId="urn:microsoft.com/office/officeart/2005/8/layout/default"/>
    <dgm:cxn modelId="{12D6C164-7D86-435E-9675-7A087240A1AF}" srcId="{611B21AA-889C-49AB-B04F-009ED55275C7}" destId="{9EFB8E85-36FD-486A-8E83-C99033480A44}" srcOrd="2" destOrd="0" parTransId="{9F51EA9E-3ACB-4925-AD1B-6D47F0651A28}" sibTransId="{3D590DAC-C616-4A68-90EA-F1CFA8ECDF01}"/>
    <dgm:cxn modelId="{2963B97B-C620-412C-A749-E82FBA54CF2E}" srcId="{611B21AA-889C-49AB-B04F-009ED55275C7}" destId="{A1FC1E3B-BD5A-47F6-B325-80822FD6505A}" srcOrd="3" destOrd="0" parTransId="{EF24EBE8-B670-4DBD-AA48-EAE38991CBB0}" sibTransId="{7048BF7A-8141-4CE1-B738-C1F032CC5263}"/>
    <dgm:cxn modelId="{E1FEB081-1954-440A-98D1-C05940146B34}" srcId="{611B21AA-889C-49AB-B04F-009ED55275C7}" destId="{86515F45-88DB-4C86-AA6F-3B8CB1C8B4B9}" srcOrd="0" destOrd="0" parTransId="{04A1B4CF-D736-47A9-85BF-42FC02ADB30F}" sibTransId="{97D8C4AF-AF62-48D0-8DF5-53C29B110C3F}"/>
    <dgm:cxn modelId="{CAAC5D8A-3618-417A-8184-8A121355773B}" type="presOf" srcId="{9C92A78F-641B-4C88-AAC7-57EC4472C8D5}" destId="{758FABAA-5544-49BF-8B95-A1ECA534060C}" srcOrd="0" destOrd="0" presId="urn:microsoft.com/office/officeart/2005/8/layout/default"/>
    <dgm:cxn modelId="{302CB992-0BC3-4B02-A28A-BD60CB8D1676}" type="presOf" srcId="{9EFB8E85-36FD-486A-8E83-C99033480A44}" destId="{78F9E1B0-1F69-4C34-AF17-006B41FBEAE7}" srcOrd="0" destOrd="0" presId="urn:microsoft.com/office/officeart/2005/8/layout/default"/>
    <dgm:cxn modelId="{D1FCAA98-6B68-4AF6-A3AC-E49C703F3481}" srcId="{611B21AA-889C-49AB-B04F-009ED55275C7}" destId="{C3A851B9-54B4-4313-A028-6678B76E12D1}" srcOrd="1" destOrd="0" parTransId="{C2629BE1-729E-43DF-9470-93FB857D34C8}" sibTransId="{C7C962EC-B1D6-4BEC-815D-66C0313705CE}"/>
    <dgm:cxn modelId="{6E92A1A0-DE18-45C7-AE0B-D04BEADB4ED2}" type="presOf" srcId="{C3A851B9-54B4-4313-A028-6678B76E12D1}" destId="{B2B4D01C-D306-47D8-B763-FAC31FED3B75}" srcOrd="0" destOrd="0" presId="urn:microsoft.com/office/officeart/2005/8/layout/default"/>
    <dgm:cxn modelId="{362EA4A6-CED0-4957-BC95-8CA758BF0245}" srcId="{611B21AA-889C-49AB-B04F-009ED55275C7}" destId="{9C92A78F-641B-4C88-AAC7-57EC4472C8D5}" srcOrd="5" destOrd="0" parTransId="{9C226064-F0A2-47F7-A28C-DE3E5EA1BF96}" sibTransId="{D2D99B9F-7D88-4A8D-AF76-B230810671C4}"/>
    <dgm:cxn modelId="{BF22FCF6-4B99-46B0-A45B-65C5353400AE}" type="presOf" srcId="{A1FC1E3B-BD5A-47F6-B325-80822FD6505A}" destId="{57CDE6F0-000F-4B2E-BB2A-1487995C9352}" srcOrd="0" destOrd="0" presId="urn:microsoft.com/office/officeart/2005/8/layout/default"/>
    <dgm:cxn modelId="{E0565CF7-CCE6-4D4F-B423-36283B70F950}" type="presOf" srcId="{86515F45-88DB-4C86-AA6F-3B8CB1C8B4B9}" destId="{F7CADFE8-0829-4C83-9B9E-F8485B5A1967}" srcOrd="0" destOrd="0" presId="urn:microsoft.com/office/officeart/2005/8/layout/default"/>
    <dgm:cxn modelId="{17E744A0-C718-471F-B5AE-C16F737957A8}" type="presParOf" srcId="{DF66A3F1-A105-4D32-B172-8054DA1337A7}" destId="{F7CADFE8-0829-4C83-9B9E-F8485B5A1967}" srcOrd="0" destOrd="0" presId="urn:microsoft.com/office/officeart/2005/8/layout/default"/>
    <dgm:cxn modelId="{FED5B934-4F0E-431B-81F0-91048FB1CB9C}" type="presParOf" srcId="{DF66A3F1-A105-4D32-B172-8054DA1337A7}" destId="{407913C9-5A76-4617-9455-44D8003AD2AD}" srcOrd="1" destOrd="0" presId="urn:microsoft.com/office/officeart/2005/8/layout/default"/>
    <dgm:cxn modelId="{4B2E00D1-AF66-4338-8000-E81A6CFE4016}" type="presParOf" srcId="{DF66A3F1-A105-4D32-B172-8054DA1337A7}" destId="{B2B4D01C-D306-47D8-B763-FAC31FED3B75}" srcOrd="2" destOrd="0" presId="urn:microsoft.com/office/officeart/2005/8/layout/default"/>
    <dgm:cxn modelId="{29183868-8F43-4F7E-9291-239017CFC44D}" type="presParOf" srcId="{DF66A3F1-A105-4D32-B172-8054DA1337A7}" destId="{1B5D2F1C-A772-4F58-BE1A-989C8FC703DB}" srcOrd="3" destOrd="0" presId="urn:microsoft.com/office/officeart/2005/8/layout/default"/>
    <dgm:cxn modelId="{EA2F6905-A28F-41A7-9B76-9EAC9DB885D8}" type="presParOf" srcId="{DF66A3F1-A105-4D32-B172-8054DA1337A7}" destId="{78F9E1B0-1F69-4C34-AF17-006B41FBEAE7}" srcOrd="4" destOrd="0" presId="urn:microsoft.com/office/officeart/2005/8/layout/default"/>
    <dgm:cxn modelId="{61AF5D1F-EFAE-43C5-B513-7D6F2BA22AD5}" type="presParOf" srcId="{DF66A3F1-A105-4D32-B172-8054DA1337A7}" destId="{4DD04D07-F333-4CB5-B478-BCC8990B1CEA}" srcOrd="5" destOrd="0" presId="urn:microsoft.com/office/officeart/2005/8/layout/default"/>
    <dgm:cxn modelId="{861203BF-0AE5-4A16-8B26-3A23BAFAB72F}" type="presParOf" srcId="{DF66A3F1-A105-4D32-B172-8054DA1337A7}" destId="{57CDE6F0-000F-4B2E-BB2A-1487995C9352}" srcOrd="6" destOrd="0" presId="urn:microsoft.com/office/officeart/2005/8/layout/default"/>
    <dgm:cxn modelId="{8A7BA084-26E0-4025-9C27-B9A9F29116AB}" type="presParOf" srcId="{DF66A3F1-A105-4D32-B172-8054DA1337A7}" destId="{229FC176-EF7F-4A9F-B1B1-2013FD258712}" srcOrd="7" destOrd="0" presId="urn:microsoft.com/office/officeart/2005/8/layout/default"/>
    <dgm:cxn modelId="{3258B441-4E33-48D3-BD43-EB51FE185EE5}" type="presParOf" srcId="{DF66A3F1-A105-4D32-B172-8054DA1337A7}" destId="{BBBEE25D-B92F-4D62-A2CA-E9EDD1464210}" srcOrd="8" destOrd="0" presId="urn:microsoft.com/office/officeart/2005/8/layout/default"/>
    <dgm:cxn modelId="{5F8F63D4-C1F5-43BE-A551-90575041CCD6}" type="presParOf" srcId="{DF66A3F1-A105-4D32-B172-8054DA1337A7}" destId="{5F6A9173-AE93-40F7-9B8D-7C1B8128E361}" srcOrd="9" destOrd="0" presId="urn:microsoft.com/office/officeart/2005/8/layout/default"/>
    <dgm:cxn modelId="{B130C935-6AA8-4885-967D-2180077ACF4A}" type="presParOf" srcId="{DF66A3F1-A105-4D32-B172-8054DA1337A7}" destId="{758FABAA-5544-49BF-8B95-A1ECA534060C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A077D5-A859-4B31-B508-0F69A4ED229D}">
      <dsp:nvSpPr>
        <dsp:cNvPr id="0" name=""/>
        <dsp:cNvSpPr/>
      </dsp:nvSpPr>
      <dsp:spPr>
        <a:xfrm>
          <a:off x="0" y="1058"/>
          <a:ext cx="5922010" cy="289574"/>
        </a:xfrm>
        <a:prstGeom prst="round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(i) Monetary Rating</a:t>
          </a:r>
        </a:p>
      </dsp:txBody>
      <dsp:txXfrm>
        <a:off x="14136" y="15194"/>
        <a:ext cx="5893738" cy="261302"/>
      </dsp:txXfrm>
    </dsp:sp>
    <dsp:sp modelId="{7EC9B51D-4980-4D9C-A5E9-528CCD6F2CF1}">
      <dsp:nvSpPr>
        <dsp:cNvPr id="0" name=""/>
        <dsp:cNvSpPr/>
      </dsp:nvSpPr>
      <dsp:spPr>
        <a:xfrm>
          <a:off x="0" y="290633"/>
          <a:ext cx="5922010" cy="248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8024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200" kern="1200"/>
            <a:t>Th expected annual loss (EL) at the root representing overall value impact</a:t>
          </a:r>
        </a:p>
      </dsp:txBody>
      <dsp:txXfrm>
        <a:off x="0" y="290633"/>
        <a:ext cx="5922010" cy="248400"/>
      </dsp:txXfrm>
    </dsp:sp>
    <dsp:sp modelId="{72269ED1-4FB7-421C-85EC-869B2178E438}">
      <dsp:nvSpPr>
        <dsp:cNvPr id="0" name=""/>
        <dsp:cNvSpPr/>
      </dsp:nvSpPr>
      <dsp:spPr>
        <a:xfrm>
          <a:off x="0" y="539033"/>
          <a:ext cx="5922010" cy="289574"/>
        </a:xfrm>
        <a:prstGeom prst="roundRect">
          <a:avLst/>
        </a:prstGeom>
        <a:solidFill>
          <a:schemeClr val="accent1">
            <a:shade val="80000"/>
            <a:hueOff val="545598"/>
            <a:satOff val="-56892"/>
            <a:lumOff val="382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(ii) Probability</a:t>
          </a:r>
        </a:p>
      </dsp:txBody>
      <dsp:txXfrm>
        <a:off x="14136" y="553169"/>
        <a:ext cx="5893738" cy="261302"/>
      </dsp:txXfrm>
    </dsp:sp>
    <dsp:sp modelId="{824A20B4-C7CA-40E1-9C4E-EAA9DD8A37E4}">
      <dsp:nvSpPr>
        <dsp:cNvPr id="0" name=""/>
        <dsp:cNvSpPr/>
      </dsp:nvSpPr>
      <dsp:spPr>
        <a:xfrm>
          <a:off x="0" y="828608"/>
          <a:ext cx="5922010" cy="372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8024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200" kern="1200"/>
            <a:t>P(top), the probability that the top event occurs within the horizon (reported as a supplumentary metric</a:t>
          </a:r>
        </a:p>
      </dsp:txBody>
      <dsp:txXfrm>
        <a:off x="0" y="828608"/>
        <a:ext cx="5922010" cy="3726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CADFE8-0829-4C83-9B9E-F8485B5A1967}">
      <dsp:nvSpPr>
        <dsp:cNvPr id="0" name=""/>
        <dsp:cNvSpPr/>
      </dsp:nvSpPr>
      <dsp:spPr>
        <a:xfrm>
          <a:off x="612531" y="377"/>
          <a:ext cx="1432076" cy="859246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900" kern="1200"/>
            <a:t>Model fidelity is bound by what is encoded in the YAML trees. If a threat is not modelled at the leaf level it is not reflected in the totals.</a:t>
          </a:r>
          <a:endParaRPr lang="en-US" sz="900" kern="1200"/>
        </a:p>
      </dsp:txBody>
      <dsp:txXfrm>
        <a:off x="612531" y="377"/>
        <a:ext cx="1432076" cy="859246"/>
      </dsp:txXfrm>
    </dsp:sp>
    <dsp:sp modelId="{B2B4D01C-D306-47D8-B763-FAC31FED3B75}">
      <dsp:nvSpPr>
        <dsp:cNvPr id="0" name=""/>
        <dsp:cNvSpPr/>
      </dsp:nvSpPr>
      <dsp:spPr>
        <a:xfrm>
          <a:off x="2187816" y="377"/>
          <a:ext cx="1432076" cy="859246"/>
        </a:xfrm>
        <a:prstGeom prst="rect">
          <a:avLst/>
        </a:prstGeom>
        <a:solidFill>
          <a:schemeClr val="accent1">
            <a:shade val="80000"/>
            <a:hueOff val="109120"/>
            <a:satOff val="-11378"/>
            <a:lumOff val="764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900" kern="1200"/>
            <a:t>Independence between leaf events is assumed unless otherwise stated. Correlation and causal chaining are not modelled.</a:t>
          </a:r>
          <a:endParaRPr lang="en-US" sz="900" kern="1200"/>
        </a:p>
      </dsp:txBody>
      <dsp:txXfrm>
        <a:off x="2187816" y="377"/>
        <a:ext cx="1432076" cy="859246"/>
      </dsp:txXfrm>
    </dsp:sp>
    <dsp:sp modelId="{78F9E1B0-1F69-4C34-AF17-006B41FBEAE7}">
      <dsp:nvSpPr>
        <dsp:cNvPr id="0" name=""/>
        <dsp:cNvSpPr/>
      </dsp:nvSpPr>
      <dsp:spPr>
        <a:xfrm>
          <a:off x="3763101" y="377"/>
          <a:ext cx="1432076" cy="859246"/>
        </a:xfrm>
        <a:prstGeom prst="rect">
          <a:avLst/>
        </a:prstGeom>
        <a:solidFill>
          <a:schemeClr val="accent1">
            <a:shade val="80000"/>
            <a:hueOff val="218239"/>
            <a:satOff val="-22757"/>
            <a:lumOff val="152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700" kern="1200"/>
            <a:t>A “min-cost OR path” summary is a known alternative for internal-node impact, but not used here. We reort 𝑃top via AND/OR probability aggregation and 𝐸[𝐿] over leaves.</a:t>
          </a:r>
        </a:p>
      </dsp:txBody>
      <dsp:txXfrm>
        <a:off x="3763101" y="377"/>
        <a:ext cx="1432076" cy="859246"/>
      </dsp:txXfrm>
    </dsp:sp>
    <dsp:sp modelId="{57CDE6F0-000F-4B2E-BB2A-1487995C9352}">
      <dsp:nvSpPr>
        <dsp:cNvPr id="0" name=""/>
        <dsp:cNvSpPr/>
      </dsp:nvSpPr>
      <dsp:spPr>
        <a:xfrm>
          <a:off x="612531" y="1002831"/>
          <a:ext cx="1432076" cy="859246"/>
        </a:xfrm>
        <a:prstGeom prst="rect">
          <a:avLst/>
        </a:prstGeom>
        <a:solidFill>
          <a:schemeClr val="accent1">
            <a:shade val="80000"/>
            <a:hueOff val="327359"/>
            <a:satOff val="-34135"/>
            <a:lumOff val="2293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900" kern="1200"/>
            <a:t>Single-loss impacts are scaled to a micro-retail context using documented heuristics.</a:t>
          </a:r>
          <a:endParaRPr lang="en-US" sz="900" kern="1200"/>
        </a:p>
      </dsp:txBody>
      <dsp:txXfrm>
        <a:off x="612531" y="1002831"/>
        <a:ext cx="1432076" cy="859246"/>
      </dsp:txXfrm>
    </dsp:sp>
    <dsp:sp modelId="{BBBEE25D-B92F-4D62-A2CA-E9EDD1464210}">
      <dsp:nvSpPr>
        <dsp:cNvPr id="0" name=""/>
        <dsp:cNvSpPr/>
      </dsp:nvSpPr>
      <dsp:spPr>
        <a:xfrm>
          <a:off x="2187816" y="1002831"/>
          <a:ext cx="1432076" cy="859246"/>
        </a:xfrm>
        <a:prstGeom prst="rect">
          <a:avLst/>
        </a:prstGeom>
        <a:solidFill>
          <a:schemeClr val="accent1">
            <a:shade val="80000"/>
            <a:hueOff val="436479"/>
            <a:satOff val="-45514"/>
            <a:lumOff val="305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900" kern="1200"/>
            <a:t>Horizon is 12 months with no discounting of multi-year effects. Currency is GBP.</a:t>
          </a:r>
          <a:endParaRPr lang="en-US" sz="900" kern="1200"/>
        </a:p>
      </dsp:txBody>
      <dsp:txXfrm>
        <a:off x="2187816" y="1002831"/>
        <a:ext cx="1432076" cy="859246"/>
      </dsp:txXfrm>
    </dsp:sp>
    <dsp:sp modelId="{758FABAA-5544-49BF-8B95-A1ECA534060C}">
      <dsp:nvSpPr>
        <dsp:cNvPr id="0" name=""/>
        <dsp:cNvSpPr/>
      </dsp:nvSpPr>
      <dsp:spPr>
        <a:xfrm>
          <a:off x="3763101" y="1002831"/>
          <a:ext cx="1432076" cy="859246"/>
        </a:xfrm>
        <a:prstGeom prst="rect">
          <a:avLst/>
        </a:prstGeom>
        <a:solidFill>
          <a:schemeClr val="accent1">
            <a:shade val="80000"/>
            <a:hueOff val="545598"/>
            <a:satOff val="-56892"/>
            <a:lumOff val="382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Public data quality varies; where variance was high, conservative central estimates were selected and reflected in the chosen bands.</a:t>
          </a:r>
          <a:endParaRPr lang="en-US" sz="900" kern="1200"/>
        </a:p>
      </dsp:txBody>
      <dsp:txXfrm>
        <a:off x="3763101" y="1002831"/>
        <a:ext cx="1432076" cy="8592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 Ali</dc:creator>
  <cp:keywords/>
  <dc:description/>
  <cp:lastModifiedBy>Mobeen Ali</cp:lastModifiedBy>
  <cp:revision>6</cp:revision>
  <dcterms:created xsi:type="dcterms:W3CDTF">2025-10-20T20:17:00Z</dcterms:created>
  <dcterms:modified xsi:type="dcterms:W3CDTF">2025-10-20T21:04:00Z</dcterms:modified>
</cp:coreProperties>
</file>