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pPr>
      <w:r>
        <w:rPr>
          <w:b/>
          <w:color w:val="00A6A6"/>
          <w:sz w:val="26"/>
        </w:rPr>
        <w:t>NIQ ACTIVATE</w:t>
      </w:r>
    </w:p>
    <w:p>
      <w:pPr>
        <w:pStyle w:val="Title"/>
      </w:pPr>
      <w:r>
        <w:t>The Ideal Media Management</w:t>
        <w:br/>
        <w:t>Closed-Loop Product</w:t>
      </w:r>
    </w:p>
    <w:p>
      <w:pPr>
        <w:pStyle w:val="Subtitle"/>
      </w:pPr>
      <w:r>
        <w:t>Product strategy, experience blueprint, KPIs, visuals, workflows, methodology and phased delivery</w:t>
      </w:r>
    </w:p>
    <w:p/>
    <w:tbl>
      <w:tblPr>
        <w:tblW w:type="auto" w:w="0"/>
        <w:tblLook w:firstColumn="1" w:firstRow="1" w:lastColumn="0" w:lastRow="0" w:noHBand="0" w:noVBand="1" w:val="04A0"/>
      </w:tblPr>
      <w:tblGrid>
        <w:gridCol w:w="10166"/>
      </w:tblGrid>
      <w:tr>
        <w:tc>
          <w:tcPr>
            <w:tcW w:type="dxa" w:w="10166"/>
            <w:shd w:fill="E2F0D9"/>
            <w:tcMar>
              <w:top w:w="125" w:type="dxa"/>
              <w:start w:w="145" w:type="dxa"/>
              <w:bottom w:w="125" w:type="dxa"/>
              <w:end w:w="145" w:type="dxa"/>
            </w:tcMar>
          </w:tcPr>
          <w:p>
            <w:pPr>
              <w:spacing w:after="0"/>
            </w:pPr>
            <w:r>
              <w:rPr>
                <w:b/>
                <w:color w:val="17365D"/>
              </w:rPr>
              <w:t xml:space="preserve">Recommendation in one sentence  </w:t>
            </w:r>
            <w:r>
              <w:t>Build an embedded, privacy-safe decision and measurement layer that connects planning, reusable audiences, activation lineage, exposure, transactions and causal outcomes, while integrating with existing DSPs, CDPs and RMN tools rather than trying to replace them.</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7365D"/>
            <w:tcMar>
              <w:top w:w="100" w:type="dxa"/>
              <w:start w:w="110" w:type="dxa"/>
              <w:bottom w:w="100" w:type="dxa"/>
              <w:end w:w="110" w:type="dxa"/>
            </w:tcMar>
            <w:vAlign w:val="center"/>
          </w:tcPr>
          <w:p>
            <w:pPr>
              <w:jc w:val="center"/>
            </w:pPr>
            <w:r>
              <w:rPr>
                <w:b/>
                <w:color w:val="FFFFFF"/>
                <w:sz w:val="15"/>
              </w:rPr>
              <w:t>Document control</w:t>
            </w:r>
          </w:p>
        </w:tc>
        <w:tc>
          <w:tcPr>
            <w:tcW w:type="dxa" w:w="7992"/>
            <w:shd w:fill="17365D"/>
            <w:tcMar>
              <w:top w:w="100" w:type="dxa"/>
              <w:start w:w="110" w:type="dxa"/>
              <w:bottom w:w="100" w:type="dxa"/>
              <w:end w:w="110" w:type="dxa"/>
            </w:tcMar>
            <w:vAlign w:val="center"/>
          </w:tcPr>
          <w:p>
            <w:pPr>
              <w:jc w:val="center"/>
            </w:pPr>
            <w:r>
              <w:rPr>
                <w:b/>
                <w:color w:val="FFFFFF"/>
                <w:sz w:val="15"/>
              </w:rPr>
              <w:t>Details</w:t>
            </w:r>
          </w:p>
        </w:tc>
      </w:tr>
      <w:tr>
        <w:trPr>
          <w:cantSplit/>
        </w:trPr>
        <w:tc>
          <w:tcPr>
            <w:tcW w:type="dxa" w:w="2376"/>
            <w:tcMar>
              <w:top w:w="90" w:type="dxa"/>
              <w:start w:w="110" w:type="dxa"/>
              <w:bottom w:w="90" w:type="dxa"/>
              <w:end w:w="110" w:type="dxa"/>
            </w:tcMar>
            <w:vAlign w:val="center"/>
          </w:tcPr>
          <w:p>
            <w:pPr>
              <w:spacing w:after="0"/>
              <w:jc w:val="center"/>
            </w:pPr>
            <w:r>
              <w:rPr>
                <w:color w:val="243447"/>
                <w:sz w:val="15"/>
              </w:rPr>
              <w:t>Version</w:t>
            </w:r>
          </w:p>
        </w:tc>
        <w:tc>
          <w:tcPr>
            <w:tcW w:type="dxa" w:w="7992"/>
            <w:tcMar>
              <w:top w:w="90" w:type="dxa"/>
              <w:start w:w="110" w:type="dxa"/>
              <w:bottom w:w="90" w:type="dxa"/>
              <w:end w:w="110" w:type="dxa"/>
            </w:tcMar>
            <w:vAlign w:val="center"/>
          </w:tcPr>
          <w:p>
            <w:pPr>
              <w:spacing w:after="0"/>
            </w:pPr>
            <w:r>
              <w:rPr>
                <w:color w:val="243447"/>
                <w:sz w:val="15"/>
              </w:rPr>
              <w:t>1.0 research-informed recommendation</w:t>
            </w:r>
          </w:p>
        </w:tc>
      </w:tr>
      <w:tr>
        <w:trPr>
          <w:cantSplit/>
        </w:trPr>
        <w:tc>
          <w:tcPr>
            <w:tcW w:type="dxa" w:w="2376"/>
            <w:tcMar>
              <w:top w:w="90" w:type="dxa"/>
              <w:start w:w="110" w:type="dxa"/>
              <w:bottom w:w="90" w:type="dxa"/>
              <w:end w:w="110" w:type="dxa"/>
            </w:tcMar>
            <w:vAlign w:val="center"/>
            <w:shd w:fill="F7F9FC"/>
          </w:tcPr>
          <w:p>
            <w:pPr>
              <w:spacing w:after="0"/>
              <w:jc w:val="center"/>
            </w:pPr>
            <w:r>
              <w:rPr>
                <w:color w:val="243447"/>
                <w:sz w:val="15"/>
              </w:rPr>
              <w:t>Date</w:t>
            </w:r>
          </w:p>
        </w:tc>
        <w:tc>
          <w:tcPr>
            <w:tcW w:type="dxa" w:w="7992"/>
            <w:tcMar>
              <w:top w:w="90" w:type="dxa"/>
              <w:start w:w="110" w:type="dxa"/>
              <w:bottom w:w="90" w:type="dxa"/>
              <w:end w:w="110" w:type="dxa"/>
            </w:tcMar>
            <w:vAlign w:val="center"/>
            <w:shd w:fill="F7F9FC"/>
          </w:tcPr>
          <w:p>
            <w:pPr>
              <w:spacing w:after="0"/>
            </w:pPr>
            <w:r>
              <w:rPr>
                <w:color w:val="243447"/>
                <w:sz w:val="15"/>
              </w:rPr>
              <w:t>September 13, 2026</w:t>
            </w:r>
          </w:p>
        </w:tc>
      </w:tr>
      <w:tr>
        <w:trPr>
          <w:cantSplit/>
        </w:trPr>
        <w:tc>
          <w:tcPr>
            <w:tcW w:type="dxa" w:w="2376"/>
            <w:tcMar>
              <w:top w:w="90" w:type="dxa"/>
              <w:start w:w="110" w:type="dxa"/>
              <w:bottom w:w="90" w:type="dxa"/>
              <w:end w:w="110" w:type="dxa"/>
            </w:tcMar>
            <w:vAlign w:val="center"/>
          </w:tcPr>
          <w:p>
            <w:pPr>
              <w:spacing w:after="0"/>
              <w:jc w:val="center"/>
            </w:pPr>
            <w:r>
              <w:rPr>
                <w:color w:val="243447"/>
                <w:sz w:val="15"/>
              </w:rPr>
              <w:t>Product owner</w:t>
            </w:r>
          </w:p>
        </w:tc>
        <w:tc>
          <w:tcPr>
            <w:tcW w:type="dxa" w:w="7992"/>
            <w:tcMar>
              <w:top w:w="90" w:type="dxa"/>
              <w:start w:w="110" w:type="dxa"/>
              <w:bottom w:w="90" w:type="dxa"/>
              <w:end w:w="110" w:type="dxa"/>
            </w:tcMar>
            <w:vAlign w:val="center"/>
          </w:tcPr>
          <w:p>
            <w:pPr>
              <w:spacing w:after="0"/>
            </w:pPr>
            <w:r>
              <w:rPr>
                <w:color w:val="243447"/>
                <w:sz w:val="15"/>
              </w:rPr>
              <w:t>Mohammad Belghiszadeh</w:t>
            </w:r>
          </w:p>
        </w:tc>
      </w:tr>
      <w:tr>
        <w:trPr>
          <w:cantSplit/>
        </w:trPr>
        <w:tc>
          <w:tcPr>
            <w:tcW w:type="dxa" w:w="2376"/>
            <w:tcMar>
              <w:top w:w="90" w:type="dxa"/>
              <w:start w:w="110" w:type="dxa"/>
              <w:bottom w:w="90" w:type="dxa"/>
              <w:end w:w="110" w:type="dxa"/>
            </w:tcMar>
            <w:vAlign w:val="center"/>
            <w:shd w:fill="F7F9FC"/>
          </w:tcPr>
          <w:p>
            <w:pPr>
              <w:spacing w:after="0"/>
              <w:jc w:val="center"/>
            </w:pPr>
            <w:r>
              <w:rPr>
                <w:color w:val="243447"/>
                <w:sz w:val="15"/>
              </w:rPr>
              <w:t>Product context</w:t>
            </w:r>
          </w:p>
        </w:tc>
        <w:tc>
          <w:tcPr>
            <w:tcW w:type="dxa" w:w="7992"/>
            <w:tcMar>
              <w:top w:w="90" w:type="dxa"/>
              <w:start w:w="110" w:type="dxa"/>
              <w:bottom w:w="90" w:type="dxa"/>
              <w:end w:w="110" w:type="dxa"/>
            </w:tcMar>
            <w:vAlign w:val="center"/>
            <w:shd w:fill="F7F9FC"/>
          </w:tcPr>
          <w:p>
            <w:pPr>
              <w:spacing w:after="0"/>
            </w:pPr>
            <w:r>
              <w:rPr>
                <w:color w:val="243447"/>
                <w:sz w:val="15"/>
              </w:rPr>
              <w:t>NIQ Activate / Media Management Closed Loop</w:t>
            </w:r>
          </w:p>
        </w:tc>
      </w:tr>
      <w:tr>
        <w:trPr>
          <w:cantSplit/>
        </w:trPr>
        <w:tc>
          <w:tcPr>
            <w:tcW w:type="dxa" w:w="2376"/>
            <w:tcMar>
              <w:top w:w="90" w:type="dxa"/>
              <w:start w:w="110" w:type="dxa"/>
              <w:bottom w:w="90" w:type="dxa"/>
              <w:end w:w="110" w:type="dxa"/>
            </w:tcMar>
            <w:vAlign w:val="center"/>
          </w:tcPr>
          <w:p>
            <w:pPr>
              <w:spacing w:after="0"/>
              <w:jc w:val="center"/>
            </w:pPr>
            <w:r>
              <w:rPr>
                <w:color w:val="243447"/>
                <w:sz w:val="15"/>
              </w:rPr>
              <w:t>Status</w:t>
            </w:r>
          </w:p>
        </w:tc>
        <w:tc>
          <w:tcPr>
            <w:tcW w:type="dxa" w:w="7992"/>
            <w:tcMar>
              <w:top w:w="90" w:type="dxa"/>
              <w:start w:w="110" w:type="dxa"/>
              <w:bottom w:w="90" w:type="dxa"/>
              <w:end w:w="110" w:type="dxa"/>
            </w:tcMar>
            <w:vAlign w:val="center"/>
          </w:tcPr>
          <w:p>
            <w:pPr>
              <w:spacing w:after="0"/>
            </w:pPr>
            <w:r>
              <w:rPr>
                <w:color w:val="243447"/>
                <w:sz w:val="15"/>
              </w:rPr>
              <w:t>Product strategy and requirements recommendation</w:t>
            </w:r>
          </w:p>
        </w:tc>
      </w:tr>
      <w:tr>
        <w:trPr>
          <w:cantSplit/>
        </w:trPr>
        <w:tc>
          <w:tcPr>
            <w:tcW w:type="dxa" w:w="2376"/>
            <w:tcMar>
              <w:top w:w="90" w:type="dxa"/>
              <w:start w:w="110" w:type="dxa"/>
              <w:bottom w:w="90" w:type="dxa"/>
              <w:end w:w="110" w:type="dxa"/>
            </w:tcMar>
            <w:vAlign w:val="center"/>
            <w:shd w:fill="F7F9FC"/>
          </w:tcPr>
          <w:p>
            <w:pPr>
              <w:spacing w:after="0"/>
              <w:jc w:val="center"/>
            </w:pPr>
            <w:r>
              <w:rPr>
                <w:color w:val="243447"/>
                <w:sz w:val="15"/>
              </w:rPr>
              <w:t>Research reviewed</w:t>
            </w:r>
          </w:p>
        </w:tc>
        <w:tc>
          <w:tcPr>
            <w:tcW w:type="dxa" w:w="7992"/>
            <w:tcMar>
              <w:top w:w="90" w:type="dxa"/>
              <w:start w:w="110" w:type="dxa"/>
              <w:bottom w:w="90" w:type="dxa"/>
              <w:end w:w="110" w:type="dxa"/>
            </w:tcMar>
            <w:vAlign w:val="center"/>
            <w:shd w:fill="F7F9FC"/>
          </w:tcPr>
          <w:p>
            <w:pPr>
              <w:spacing w:after="0"/>
            </w:pPr>
            <w:r>
              <w:rPr>
                <w:color w:val="243447"/>
                <w:sz w:val="15"/>
              </w:rPr>
              <w:t>NIQ Retail Media Sector Scan executive readout; detailed retailer/advertiser verbatims; Mars United Retail Media Report Card US 2Q 2026; prior discovery recordings and baseline PRD</w:t>
            </w:r>
          </w:p>
        </w:tc>
      </w:tr>
    </w:tbl>
    <w:p>
      <w:pPr>
        <w:spacing w:after="0"/>
      </w:pPr>
    </w:p>
    <w:p/>
    <w:p>
      <w:pPr>
        <w:pStyle w:val="Small"/>
        <w:spacing w:before="40"/>
      </w:pPr>
      <w:r>
        <w:rPr>
          <w:b/>
        </w:rPr>
        <w:t xml:space="preserve">Research basis: </w:t>
      </w:r>
      <w:r>
        <w:t>The recommendation synthesizes the three supplied research studies with the earlier NIQ Activate discovery discussions. It distinguishes market evidence, product recommendation and open methodological decisions.</w:t>
      </w:r>
    </w:p>
    <w:p>
      <w:r>
        <w:br w:type="page"/>
      </w:r>
    </w:p>
    <w:p>
      <w:pPr>
        <w:pStyle w:val="Heading1"/>
        <w:keepNext/>
      </w:pPr>
      <w:r>
        <w:t>Executive document 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65D"/>
            <w:tcMar>
              <w:top w:w="100" w:type="dxa"/>
              <w:start w:w="110" w:type="dxa"/>
              <w:bottom w:w="100" w:type="dxa"/>
              <w:end w:w="110" w:type="dxa"/>
            </w:tcMar>
            <w:vAlign w:val="center"/>
          </w:tcPr>
          <w:p>
            <w:pPr>
              <w:jc w:val="center"/>
            </w:pPr>
            <w:r>
              <w:rPr>
                <w:b/>
                <w:color w:val="FFFFFF"/>
                <w:sz w:val="15"/>
              </w:rPr>
              <w:t>Part</w:t>
            </w:r>
          </w:p>
        </w:tc>
        <w:tc>
          <w:tcPr>
            <w:tcW w:type="dxa" w:w="7920"/>
            <w:shd w:fill="17365D"/>
            <w:tcMar>
              <w:top w:w="100" w:type="dxa"/>
              <w:start w:w="110" w:type="dxa"/>
              <w:bottom w:w="100" w:type="dxa"/>
              <w:end w:w="110" w:type="dxa"/>
            </w:tcMar>
            <w:vAlign w:val="center"/>
          </w:tcPr>
          <w:p>
            <w:pPr>
              <w:jc w:val="center"/>
            </w:pPr>
            <w:r>
              <w:rPr>
                <w:b/>
                <w:color w:val="FFFFFF"/>
                <w:sz w:val="15"/>
              </w:rPr>
              <w:t>Sections</w:t>
            </w:r>
          </w:p>
        </w:tc>
      </w:tr>
      <w:tr>
        <w:trPr>
          <w:cantSplit/>
        </w:trPr>
        <w:tc>
          <w:tcPr>
            <w:tcW w:type="dxa" w:w="2448"/>
            <w:tcMar>
              <w:top w:w="90" w:type="dxa"/>
              <w:start w:w="110" w:type="dxa"/>
              <w:bottom w:w="90" w:type="dxa"/>
              <w:end w:w="110" w:type="dxa"/>
            </w:tcMar>
            <w:vAlign w:val="center"/>
          </w:tcPr>
          <w:p>
            <w:pPr>
              <w:spacing w:after="0"/>
              <w:jc w:val="center"/>
            </w:pPr>
            <w:r>
              <w:rPr>
                <w:color w:val="243447"/>
                <w:sz w:val="15"/>
              </w:rPr>
              <w:t>A. Strategy</w:t>
            </w:r>
          </w:p>
        </w:tc>
        <w:tc>
          <w:tcPr>
            <w:tcW w:type="dxa" w:w="7920"/>
            <w:tcMar>
              <w:top w:w="90" w:type="dxa"/>
              <w:start w:w="110" w:type="dxa"/>
              <w:bottom w:w="90" w:type="dxa"/>
              <w:end w:w="110" w:type="dxa"/>
            </w:tcMar>
            <w:vAlign w:val="center"/>
          </w:tcPr>
          <w:p>
            <w:pPr>
              <w:spacing w:after="0"/>
            </w:pPr>
            <w:r>
              <w:rPr>
                <w:color w:val="243447"/>
                <w:sz w:val="15"/>
              </w:rPr>
              <w:t>1 Executive recommendation; 2 Research synthesis; 3 Positioning and right to win; 4 Users and jobs</w:t>
            </w:r>
          </w:p>
        </w:tc>
      </w:tr>
      <w:tr>
        <w:trPr>
          <w:cantSplit/>
        </w:trPr>
        <w:tc>
          <w:tcPr>
            <w:tcW w:type="dxa" w:w="2448"/>
            <w:tcMar>
              <w:top w:w="90" w:type="dxa"/>
              <w:start w:w="110" w:type="dxa"/>
              <w:bottom w:w="90" w:type="dxa"/>
              <w:end w:w="110" w:type="dxa"/>
            </w:tcMar>
            <w:vAlign w:val="center"/>
            <w:shd w:fill="F7F9FC"/>
          </w:tcPr>
          <w:p>
            <w:pPr>
              <w:spacing w:after="0"/>
            </w:pPr>
            <w:r>
              <w:rPr>
                <w:color w:val="243447"/>
                <w:sz w:val="15"/>
              </w:rPr>
              <w:t>B. Product blueprint</w:t>
            </w:r>
          </w:p>
        </w:tc>
        <w:tc>
          <w:tcPr>
            <w:tcW w:type="dxa" w:w="7920"/>
            <w:tcMar>
              <w:top w:w="90" w:type="dxa"/>
              <w:start w:w="110" w:type="dxa"/>
              <w:bottom w:w="90" w:type="dxa"/>
              <w:end w:w="110" w:type="dxa"/>
            </w:tcMar>
            <w:vAlign w:val="center"/>
            <w:shd w:fill="F7F9FC"/>
          </w:tcPr>
          <w:p>
            <w:pPr>
              <w:spacing w:after="0"/>
            </w:pPr>
            <w:r>
              <w:rPr>
                <w:color w:val="243447"/>
                <w:sz w:val="15"/>
              </w:rPr>
              <w:t>5 Product architecture; 6 Navigation and information architecture; 7 End-to-end flows; 8 Screen-level experience</w:t>
            </w:r>
          </w:p>
        </w:tc>
      </w:tr>
      <w:tr>
        <w:trPr>
          <w:cantSplit/>
        </w:trPr>
        <w:tc>
          <w:tcPr>
            <w:tcW w:type="dxa" w:w="2448"/>
            <w:tcMar>
              <w:top w:w="90" w:type="dxa"/>
              <w:start w:w="110" w:type="dxa"/>
              <w:bottom w:w="90" w:type="dxa"/>
              <w:end w:w="110" w:type="dxa"/>
            </w:tcMar>
            <w:vAlign w:val="center"/>
          </w:tcPr>
          <w:p>
            <w:pPr>
              <w:spacing w:after="0"/>
              <w:jc w:val="center"/>
            </w:pPr>
            <w:r>
              <w:rPr>
                <w:color w:val="243447"/>
                <w:sz w:val="15"/>
              </w:rPr>
              <w:t>C. Measurement</w:t>
            </w:r>
          </w:p>
        </w:tc>
        <w:tc>
          <w:tcPr>
            <w:tcW w:type="dxa" w:w="7920"/>
            <w:tcMar>
              <w:top w:w="90" w:type="dxa"/>
              <w:start w:w="110" w:type="dxa"/>
              <w:bottom w:w="90" w:type="dxa"/>
              <w:end w:w="110" w:type="dxa"/>
            </w:tcMar>
            <w:vAlign w:val="center"/>
          </w:tcPr>
          <w:p>
            <w:pPr>
              <w:spacing w:after="0"/>
            </w:pPr>
            <w:r>
              <w:rPr>
                <w:color w:val="243447"/>
                <w:sz w:val="15"/>
              </w:rPr>
              <w:t>9 KPI framework; 10 Visual catalogue; 11 Attribution; 12 Incrementality; 13 Cross-channel and rest-of-market</w:t>
            </w:r>
          </w:p>
        </w:tc>
      </w:tr>
      <w:tr>
        <w:trPr>
          <w:cantSplit/>
        </w:trPr>
        <w:tc>
          <w:tcPr>
            <w:tcW w:type="dxa" w:w="2448"/>
            <w:tcMar>
              <w:top w:w="90" w:type="dxa"/>
              <w:start w:w="110" w:type="dxa"/>
              <w:bottom w:w="90" w:type="dxa"/>
              <w:end w:w="110" w:type="dxa"/>
            </w:tcMar>
            <w:vAlign w:val="center"/>
            <w:shd w:fill="F7F9FC"/>
          </w:tcPr>
          <w:p>
            <w:pPr>
              <w:spacing w:after="0"/>
            </w:pPr>
            <w:r>
              <w:rPr>
                <w:color w:val="243447"/>
                <w:sz w:val="15"/>
              </w:rPr>
              <w:t>D. Data and operations</w:t>
            </w:r>
          </w:p>
        </w:tc>
        <w:tc>
          <w:tcPr>
            <w:tcW w:type="dxa" w:w="7920"/>
            <w:tcMar>
              <w:top w:w="90" w:type="dxa"/>
              <w:start w:w="110" w:type="dxa"/>
              <w:bottom w:w="90" w:type="dxa"/>
              <w:end w:w="110" w:type="dxa"/>
            </w:tcMar>
            <w:vAlign w:val="center"/>
            <w:shd w:fill="F7F9FC"/>
          </w:tcPr>
          <w:p>
            <w:pPr>
              <w:spacing w:after="0"/>
            </w:pPr>
            <w:r>
              <w:rPr>
                <w:color w:val="243447"/>
                <w:sz w:val="15"/>
              </w:rPr>
              <w:t>14 Data model; 15 Data contracts; 16 Quality, privacy and governance; 17 AI and automation</w:t>
            </w:r>
          </w:p>
        </w:tc>
      </w:tr>
      <w:tr>
        <w:trPr>
          <w:cantSplit/>
        </w:trPr>
        <w:tc>
          <w:tcPr>
            <w:tcW w:type="dxa" w:w="2448"/>
            <w:tcMar>
              <w:top w:w="90" w:type="dxa"/>
              <w:start w:w="110" w:type="dxa"/>
              <w:bottom w:w="90" w:type="dxa"/>
              <w:end w:w="110" w:type="dxa"/>
            </w:tcMar>
            <w:vAlign w:val="center"/>
          </w:tcPr>
          <w:p>
            <w:pPr>
              <w:spacing w:after="0"/>
              <w:jc w:val="center"/>
            </w:pPr>
            <w:r>
              <w:rPr>
                <w:color w:val="243447"/>
                <w:sz w:val="15"/>
              </w:rPr>
              <w:t>E. Delivery</w:t>
            </w:r>
          </w:p>
        </w:tc>
        <w:tc>
          <w:tcPr>
            <w:tcW w:type="dxa" w:w="7920"/>
            <w:tcMar>
              <w:top w:w="90" w:type="dxa"/>
              <w:start w:w="110" w:type="dxa"/>
              <w:bottom w:w="90" w:type="dxa"/>
              <w:end w:w="110" w:type="dxa"/>
            </w:tcMar>
            <w:vAlign w:val="center"/>
          </w:tcPr>
          <w:p>
            <w:pPr>
              <w:spacing w:after="0"/>
            </w:pPr>
            <w:r>
              <w:rPr>
                <w:color w:val="243447"/>
                <w:sz w:val="15"/>
              </w:rPr>
              <w:t>18 MVP; 19 Roadmap; 20 Acceptance criteria; 21 Commercial model; 22 Risks and open decisions; appendices</w:t>
            </w:r>
          </w:p>
        </w:tc>
      </w:tr>
    </w:tbl>
    <w:p>
      <w:pPr>
        <w:spacing w:after="0"/>
      </w:pPr>
    </w:p>
    <w:p>
      <w:r>
        <w:br w:type="page"/>
      </w:r>
    </w:p>
    <w:p>
      <w:pPr>
        <w:pStyle w:val="Heading1"/>
        <w:keepNext/>
      </w:pPr>
      <w:r>
        <w:t>1. Executive recommendation</w:t>
      </w:r>
    </w:p>
    <w:p>
      <w:r>
        <w:t>The ideal tool should not be a full DSP, SSP, OMS or generic cross-RMN bid-management platform. Those spaces are crowded, require adtech capabilities that are not a current NIQ advantage, and are already served by established platforms. The product should instead become the trusted intelligence and measurement layer embedded in NIQ Activate and deployable inside a retailer-controlled environment.</w:t>
      </w:r>
    </w:p>
    <w:tbl>
      <w:tblPr>
        <w:tblW w:type="auto" w:w="0"/>
        <w:tblLook w:firstColumn="1" w:firstRow="1" w:lastColumn="0" w:lastRow="0" w:noHBand="0" w:noVBand="1" w:val="04A0"/>
      </w:tblPr>
      <w:tblGrid>
        <w:gridCol w:w="10166"/>
      </w:tblGrid>
      <w:tr>
        <w:tc>
          <w:tcPr>
            <w:tcW w:type="dxa" w:w="10166"/>
            <w:shd w:fill="E2F0D9"/>
            <w:tcMar>
              <w:top w:w="125" w:type="dxa"/>
              <w:start w:w="145" w:type="dxa"/>
              <w:bottom w:w="125" w:type="dxa"/>
              <w:end w:w="145" w:type="dxa"/>
            </w:tcMar>
          </w:tcPr>
          <w:p>
            <w:pPr>
              <w:spacing w:after="0"/>
            </w:pPr>
            <w:r>
              <w:rPr>
                <w:b/>
                <w:color w:val="17365D"/>
              </w:rPr>
              <w:t xml:space="preserve">Strategic wedge  </w:t>
            </w:r>
            <w:r>
              <w:t>Start with a retailer-embedded closed-loop measurement workspace for addressable onsite and offsite campaigns, then expand to planning intelligence and cross-retailer benchmarking after the data foundation and methodology are trusted.</w:t>
            </w:r>
          </w:p>
        </w:tc>
      </w:tr>
    </w:tbl>
    <w:p>
      <w:pPr>
        <w:spacing w:after="0"/>
      </w:pPr>
    </w:p>
    <w:p>
      <w:pPr>
        <w:pStyle w:val="Heading2"/>
        <w:keepNext/>
      </w:pPr>
      <w:r>
        <w:t>1.1 Product promise</w:t>
      </w:r>
    </w:p>
    <w:p>
      <w:pPr>
        <w:pStyle w:val="ListBullet"/>
        <w:spacing w:after="50"/>
      </w:pPr>
      <w:r>
        <w:t>For retailers: prove media value without surrendering control of first-party data, standardize reporting, reduce manual work, and improve advertiser trust.</w:t>
      </w:r>
    </w:p>
    <w:p>
      <w:pPr>
        <w:pStyle w:val="ListBullet"/>
        <w:spacing w:after="50"/>
      </w:pPr>
      <w:r>
        <w:t>For advertisers: understand exactly what was measured, compare tactics on normalized definitions, identify what was incremental, and move budget toward evidence-backed growth.</w:t>
      </w:r>
    </w:p>
    <w:p>
      <w:pPr>
        <w:pStyle w:val="ListBullet"/>
        <w:spacing w:after="50"/>
      </w:pPr>
      <w:r>
        <w:t>For analysts: obtain traceable populations, configurable windows, experiment diagnostics and governed metrics instead of opaque headline ROAS.</w:t>
      </w:r>
    </w:p>
    <w:p>
      <w:pPr>
        <w:pStyle w:val="ListBullet"/>
        <w:spacing w:after="50"/>
      </w:pPr>
      <w:r>
        <w:t>For sales and account teams: turn campaign results into a reusable story that supports renewal, upsell and joint business planning.</w:t>
      </w:r>
    </w:p>
    <w:p>
      <w:pPr>
        <w:pStyle w:val="Heading2"/>
        <w:keepNext/>
      </w:pPr>
      <w:r>
        <w:t>1.2 What to build, partner and avoid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7365D"/>
            <w:tcMar>
              <w:top w:w="100" w:type="dxa"/>
              <w:start w:w="110" w:type="dxa"/>
              <w:bottom w:w="100" w:type="dxa"/>
              <w:end w:w="110" w:type="dxa"/>
            </w:tcMar>
            <w:vAlign w:val="center"/>
          </w:tcPr>
          <w:p>
            <w:pPr>
              <w:jc w:val="center"/>
            </w:pPr>
            <w:r>
              <w:rPr>
                <w:b/>
                <w:color w:val="FFFFFF"/>
                <w:sz w:val="15"/>
              </w:rPr>
              <w:t>Posture</w:t>
            </w:r>
          </w:p>
        </w:tc>
        <w:tc>
          <w:tcPr>
            <w:tcW w:type="dxa" w:w="8496"/>
            <w:shd w:fill="17365D"/>
            <w:tcMar>
              <w:top w:w="100" w:type="dxa"/>
              <w:start w:w="110" w:type="dxa"/>
              <w:bottom w:w="100" w:type="dxa"/>
              <w:end w:w="110" w:type="dxa"/>
            </w:tcMar>
            <w:vAlign w:val="center"/>
          </w:tcPr>
          <w:p>
            <w:pPr>
              <w:jc w:val="center"/>
            </w:pPr>
            <w:r>
              <w:rPr>
                <w:b/>
                <w:color w:val="FFFFFF"/>
                <w:sz w:val="15"/>
              </w:rPr>
              <w:t>Capabilities</w:t>
            </w:r>
          </w:p>
        </w:tc>
      </w:tr>
      <w:tr>
        <w:trPr>
          <w:cantSplit/>
        </w:trPr>
        <w:tc>
          <w:tcPr>
            <w:tcW w:type="dxa" w:w="1944"/>
            <w:tcMar>
              <w:top w:w="90" w:type="dxa"/>
              <w:start w:w="110" w:type="dxa"/>
              <w:bottom w:w="90" w:type="dxa"/>
              <w:end w:w="110" w:type="dxa"/>
            </w:tcMar>
            <w:vAlign w:val="center"/>
          </w:tcPr>
          <w:p>
            <w:pPr>
              <w:spacing w:after="0"/>
              <w:jc w:val="center"/>
            </w:pPr>
            <w:r>
              <w:rPr>
                <w:color w:val="243447"/>
                <w:sz w:val="15"/>
              </w:rPr>
              <w:t>Build</w:t>
            </w:r>
          </w:p>
        </w:tc>
        <w:tc>
          <w:tcPr>
            <w:tcW w:type="dxa" w:w="8496"/>
            <w:tcMar>
              <w:top w:w="90" w:type="dxa"/>
              <w:start w:w="110" w:type="dxa"/>
              <w:bottom w:w="90" w:type="dxa"/>
              <w:end w:w="110" w:type="dxa"/>
            </w:tcMar>
            <w:vAlign w:val="center"/>
          </w:tcPr>
          <w:p>
            <w:pPr>
              <w:spacing w:after="0"/>
            </w:pPr>
            <w:r>
              <w:rPr>
                <w:color w:val="243447"/>
                <w:sz w:val="15"/>
              </w:rPr>
              <w:t>Canonical campaign and measurement data model; transaction linkage; attribution engine; experiment/control service; KPI semantic layer; audience/creative/SKU analysis; report workflows; diagnostics; NIQ benchmarks; narrative intelligence.</w:t>
            </w:r>
          </w:p>
        </w:tc>
      </w:tr>
      <w:tr>
        <w:trPr>
          <w:cantSplit/>
        </w:trPr>
        <w:tc>
          <w:tcPr>
            <w:tcW w:type="dxa" w:w="1944"/>
            <w:tcMar>
              <w:top w:w="90" w:type="dxa"/>
              <w:start w:w="110" w:type="dxa"/>
              <w:bottom w:w="90" w:type="dxa"/>
              <w:end w:w="110" w:type="dxa"/>
            </w:tcMar>
            <w:vAlign w:val="center"/>
            <w:shd w:fill="F7F9FC"/>
          </w:tcPr>
          <w:p>
            <w:pPr>
              <w:spacing w:after="0"/>
            </w:pPr>
            <w:r>
              <w:rPr>
                <w:color w:val="243447"/>
                <w:sz w:val="15"/>
              </w:rPr>
              <w:t>Partner / integrate</w:t>
            </w:r>
          </w:p>
        </w:tc>
        <w:tc>
          <w:tcPr>
            <w:tcW w:type="dxa" w:w="8496"/>
            <w:tcMar>
              <w:top w:w="90" w:type="dxa"/>
              <w:start w:w="110" w:type="dxa"/>
              <w:bottom w:w="90" w:type="dxa"/>
              <w:end w:w="110" w:type="dxa"/>
            </w:tcMar>
            <w:vAlign w:val="center"/>
            <w:shd w:fill="F7F9FC"/>
          </w:tcPr>
          <w:p>
            <w:pPr>
              <w:spacing w:after="0"/>
            </w:pPr>
            <w:r>
              <w:rPr>
                <w:color w:val="243447"/>
                <w:sz w:val="15"/>
              </w:rPr>
              <w:t>CDP and identity resolution; clean room; DSPs; onsite ad servers; viewability/fraud tools; planning/bid tools; MMM platforms; retailer and channel APIs.</w:t>
            </w:r>
          </w:p>
        </w:tc>
      </w:tr>
      <w:tr>
        <w:trPr>
          <w:cantSplit/>
        </w:trPr>
        <w:tc>
          <w:tcPr>
            <w:tcW w:type="dxa" w:w="1944"/>
            <w:tcMar>
              <w:top w:w="90" w:type="dxa"/>
              <w:start w:w="110" w:type="dxa"/>
              <w:bottom w:w="90" w:type="dxa"/>
              <w:end w:w="110" w:type="dxa"/>
            </w:tcMar>
            <w:vAlign w:val="center"/>
          </w:tcPr>
          <w:p>
            <w:pPr>
              <w:spacing w:after="0"/>
            </w:pPr>
            <w:r>
              <w:rPr>
                <w:color w:val="243447"/>
                <w:sz w:val="15"/>
              </w:rPr>
              <w:t>Avoid in core scope</w:t>
            </w:r>
          </w:p>
        </w:tc>
        <w:tc>
          <w:tcPr>
            <w:tcW w:type="dxa" w:w="8496"/>
            <w:tcMar>
              <w:top w:w="90" w:type="dxa"/>
              <w:start w:w="110" w:type="dxa"/>
              <w:bottom w:w="90" w:type="dxa"/>
              <w:end w:w="110" w:type="dxa"/>
            </w:tcMar>
            <w:vAlign w:val="center"/>
          </w:tcPr>
          <w:p>
            <w:pPr>
              <w:spacing w:after="0"/>
            </w:pPr>
            <w:r>
              <w:rPr>
                <w:color w:val="243447"/>
                <w:sz w:val="15"/>
              </w:rPr>
              <w:t>DSP/SSP, auction engine, inventory pricing, end-to-end OMS/billing, generic creative production suite, universal identity graph, unrestricted BI canvas.</w:t>
            </w:r>
          </w:p>
        </w:tc>
      </w:tr>
    </w:tbl>
    <w:p>
      <w:pPr>
        <w:spacing w:after="0"/>
      </w:pPr>
    </w:p>
    <w:p>
      <w:pPr>
        <w:pStyle w:val="Small"/>
        <w:spacing w:before="40"/>
      </w:pPr>
      <w:r>
        <w:rPr>
          <w:b/>
        </w:rPr>
        <w:t xml:space="preserve">Research basis: </w:t>
      </w:r>
      <w:r>
        <w:t>&lt;File&gt;2510123_Retail Media Sector Scan - Executive Readout - DRAFT_vShare.pdf&lt;/File&gt; identifies measurement as NIQ’s strongest strategic fit and planning/activation tooling as a weaker right-to-win. Detailed interviews emphasize retailer data control and preference for embedded or hybrid solutions.</w:t>
      </w:r>
    </w:p>
    <w:p>
      <w:r>
        <w:br w:type="page"/>
      </w:r>
    </w:p>
    <w:p>
      <w:pPr>
        <w:pStyle w:val="Heading1"/>
        <w:keepNext/>
      </w:pPr>
      <w:r>
        <w:t>2. Research synthesis and design implications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528"/>
            <w:shd w:fill="17365D"/>
            <w:tcMar>
              <w:top w:w="100" w:type="dxa"/>
              <w:start w:w="110" w:type="dxa"/>
              <w:bottom w:w="100" w:type="dxa"/>
              <w:end w:w="110" w:type="dxa"/>
            </w:tcMar>
            <w:vAlign w:val="center"/>
          </w:tcPr>
          <w:p>
            <w:pPr>
              <w:jc w:val="center"/>
            </w:pPr>
            <w:r>
              <w:rPr>
                <w:b/>
                <w:color w:val="FFFFFF"/>
                <w:sz w:val="15"/>
              </w:rPr>
              <w:t>Research finding</w:t>
            </w:r>
          </w:p>
        </w:tc>
        <w:tc>
          <w:tcPr>
            <w:tcW w:type="dxa" w:w="6912"/>
            <w:shd w:fill="17365D"/>
            <w:tcMar>
              <w:top w:w="100" w:type="dxa"/>
              <w:start w:w="110" w:type="dxa"/>
              <w:bottom w:w="100" w:type="dxa"/>
              <w:end w:w="110" w:type="dxa"/>
            </w:tcMar>
            <w:vAlign w:val="center"/>
          </w:tcPr>
          <w:p>
            <w:pPr>
              <w:jc w:val="center"/>
            </w:pPr>
            <w:r>
              <w:rPr>
                <w:b/>
                <w:color w:val="FFFFFF"/>
                <w:sz w:val="15"/>
              </w:rPr>
              <w:t>Implication for the ideal product</w:t>
            </w:r>
          </w:p>
        </w:tc>
      </w:tr>
      <w:tr>
        <w:trPr>
          <w:cantSplit/>
        </w:trPr>
        <w:tc>
          <w:tcPr>
            <w:tcW w:type="dxa" w:w="3528"/>
            <w:tcMar>
              <w:top w:w="90" w:type="dxa"/>
              <w:start w:w="110" w:type="dxa"/>
              <w:bottom w:w="90" w:type="dxa"/>
              <w:end w:w="110" w:type="dxa"/>
            </w:tcMar>
            <w:vAlign w:val="center"/>
          </w:tcPr>
          <w:p>
            <w:pPr>
              <w:spacing w:after="0"/>
            </w:pPr>
            <w:r>
              <w:rPr>
                <w:color w:val="243447"/>
                <w:sz w:val="15"/>
              </w:rPr>
              <w:t>Incrementality, attribution and cross-channel comparability are persistent trust problems.</w:t>
            </w:r>
          </w:p>
        </w:tc>
        <w:tc>
          <w:tcPr>
            <w:tcW w:type="dxa" w:w="6912"/>
            <w:tcMar>
              <w:top w:w="90" w:type="dxa"/>
              <w:start w:w="110" w:type="dxa"/>
              <w:bottom w:w="90" w:type="dxa"/>
              <w:end w:w="110" w:type="dxa"/>
            </w:tcMar>
            <w:vAlign w:val="center"/>
          </w:tcPr>
          <w:p>
            <w:pPr>
              <w:spacing w:after="0"/>
            </w:pPr>
            <w:r>
              <w:rPr>
                <w:color w:val="243447"/>
                <w:sz w:val="15"/>
              </w:rPr>
              <w:t>Make methodology, denominator, attribution scope and uncertainty visible in every result.</w:t>
            </w:r>
          </w:p>
        </w:tc>
      </w:tr>
      <w:tr>
        <w:trPr>
          <w:cantSplit/>
        </w:trPr>
        <w:tc>
          <w:tcPr>
            <w:tcW w:type="dxa" w:w="3528"/>
            <w:tcMar>
              <w:top w:w="90" w:type="dxa"/>
              <w:start w:w="110" w:type="dxa"/>
              <w:bottom w:w="90" w:type="dxa"/>
              <w:end w:w="110" w:type="dxa"/>
            </w:tcMar>
            <w:vAlign w:val="center"/>
            <w:shd w:fill="F7F9FC"/>
          </w:tcPr>
          <w:p>
            <w:pPr>
              <w:spacing w:after="0"/>
            </w:pPr>
            <w:r>
              <w:rPr>
                <w:color w:val="243447"/>
                <w:sz w:val="15"/>
              </w:rPr>
              <w:t>Retailers are highly protective of 1P data and skeptical of new point solutions.</w:t>
            </w:r>
          </w:p>
        </w:tc>
        <w:tc>
          <w:tcPr>
            <w:tcW w:type="dxa" w:w="6912"/>
            <w:tcMar>
              <w:top w:w="90" w:type="dxa"/>
              <w:start w:w="110" w:type="dxa"/>
              <w:bottom w:w="90" w:type="dxa"/>
              <w:end w:w="110" w:type="dxa"/>
            </w:tcMar>
            <w:vAlign w:val="center"/>
            <w:shd w:fill="F7F9FC"/>
          </w:tcPr>
          <w:p>
            <w:pPr>
              <w:spacing w:after="0"/>
            </w:pPr>
            <w:r>
              <w:rPr>
                <w:color w:val="243447"/>
                <w:sz w:val="15"/>
              </w:rPr>
              <w:t>Offer embedded deployment, clean-room execution and export of governed aggregates rather than raw shopper data.</w:t>
            </w:r>
          </w:p>
        </w:tc>
      </w:tr>
      <w:tr>
        <w:trPr>
          <w:cantSplit/>
        </w:trPr>
        <w:tc>
          <w:tcPr>
            <w:tcW w:type="dxa" w:w="3528"/>
            <w:tcMar>
              <w:top w:w="90" w:type="dxa"/>
              <w:start w:w="110" w:type="dxa"/>
              <w:bottom w:w="90" w:type="dxa"/>
              <w:end w:w="110" w:type="dxa"/>
            </w:tcMar>
            <w:vAlign w:val="center"/>
          </w:tcPr>
          <w:p>
            <w:pPr>
              <w:spacing w:after="0"/>
            </w:pPr>
            <w:r>
              <w:rPr>
                <w:color w:val="243447"/>
                <w:sz w:val="15"/>
              </w:rPr>
              <w:t>Advertisers want an independent standard and are more willing to pay than retailers.</w:t>
            </w:r>
          </w:p>
        </w:tc>
        <w:tc>
          <w:tcPr>
            <w:tcW w:type="dxa" w:w="6912"/>
            <w:tcMar>
              <w:top w:w="90" w:type="dxa"/>
              <w:start w:w="110" w:type="dxa"/>
              <w:bottom w:w="90" w:type="dxa"/>
              <w:end w:w="110" w:type="dxa"/>
            </w:tcMar>
            <w:vAlign w:val="center"/>
          </w:tcPr>
          <w:p>
            <w:pPr>
              <w:spacing w:after="0"/>
            </w:pPr>
            <w:r>
              <w:rPr>
                <w:color w:val="243447"/>
                <w:sz w:val="15"/>
              </w:rPr>
              <w:t>Support retailer-embedded delivery plus advertiser-facing certified outputs and normalized definitions.</w:t>
            </w:r>
          </w:p>
        </w:tc>
      </w:tr>
      <w:tr>
        <w:trPr>
          <w:cantSplit/>
        </w:trPr>
        <w:tc>
          <w:tcPr>
            <w:tcW w:type="dxa" w:w="3528"/>
            <w:tcMar>
              <w:top w:w="90" w:type="dxa"/>
              <w:start w:w="110" w:type="dxa"/>
              <w:bottom w:w="90" w:type="dxa"/>
              <w:end w:w="110" w:type="dxa"/>
            </w:tcMar>
            <w:vAlign w:val="center"/>
            <w:shd w:fill="F7F9FC"/>
          </w:tcPr>
          <w:p>
            <w:pPr>
              <w:spacing w:after="0"/>
            </w:pPr>
            <w:r>
              <w:rPr>
                <w:color w:val="243447"/>
                <w:sz w:val="15"/>
              </w:rPr>
              <w:t>Scale RMNs build in-house; mid-market RMNs have data science and workflow gaps.</w:t>
            </w:r>
          </w:p>
        </w:tc>
        <w:tc>
          <w:tcPr>
            <w:tcW w:type="dxa" w:w="6912"/>
            <w:tcMar>
              <w:top w:w="90" w:type="dxa"/>
              <w:start w:w="110" w:type="dxa"/>
              <w:bottom w:w="90" w:type="dxa"/>
              <w:end w:w="110" w:type="dxa"/>
            </w:tcMar>
            <w:vAlign w:val="center"/>
            <w:shd w:fill="F7F9FC"/>
          </w:tcPr>
          <w:p>
            <w:pPr>
              <w:spacing w:after="0"/>
            </w:pPr>
            <w:r>
              <w:rPr>
                <w:color w:val="243447"/>
                <w:sz w:val="15"/>
              </w:rPr>
              <w:t>Target mid-market and strategic bilateral partners first; provide configurable modules, not a one-size-fits-all SaaS promise.</w:t>
            </w:r>
          </w:p>
        </w:tc>
      </w:tr>
      <w:tr>
        <w:trPr>
          <w:cantSplit/>
        </w:trPr>
        <w:tc>
          <w:tcPr>
            <w:tcW w:type="dxa" w:w="3528"/>
            <w:tcMar>
              <w:top w:w="90" w:type="dxa"/>
              <w:start w:w="110" w:type="dxa"/>
              <w:bottom w:w="90" w:type="dxa"/>
              <w:end w:w="110" w:type="dxa"/>
            </w:tcMar>
            <w:vAlign w:val="center"/>
          </w:tcPr>
          <w:p>
            <w:pPr>
              <w:spacing w:after="0"/>
            </w:pPr>
            <w:r>
              <w:rPr>
                <w:color w:val="243447"/>
                <w:sz w:val="15"/>
              </w:rPr>
              <w:t>Planning tools primarily aggregate data supplied by RMNs and have limited independent measurement.</w:t>
            </w:r>
          </w:p>
        </w:tc>
        <w:tc>
          <w:tcPr>
            <w:tcW w:type="dxa" w:w="6912"/>
            <w:tcMar>
              <w:top w:w="90" w:type="dxa"/>
              <w:start w:w="110" w:type="dxa"/>
              <w:bottom w:w="90" w:type="dxa"/>
              <w:end w:w="110" w:type="dxa"/>
            </w:tcMar>
            <w:vAlign w:val="center"/>
          </w:tcPr>
          <w:p>
            <w:pPr>
              <w:spacing w:after="0"/>
            </w:pPr>
            <w:r>
              <w:rPr>
                <w:color w:val="243447"/>
                <w:sz w:val="15"/>
              </w:rPr>
              <w:t>Integrate with Skai/Pacvue-style tools through APIs; do not duplicate cross-RMN activation.</w:t>
            </w:r>
          </w:p>
        </w:tc>
      </w:tr>
      <w:tr>
        <w:trPr>
          <w:cantSplit/>
        </w:trPr>
        <w:tc>
          <w:tcPr>
            <w:tcW w:type="dxa" w:w="3528"/>
            <w:tcMar>
              <w:top w:w="90" w:type="dxa"/>
              <w:start w:w="110" w:type="dxa"/>
              <w:bottom w:w="90" w:type="dxa"/>
              <w:end w:w="110" w:type="dxa"/>
            </w:tcMar>
            <w:vAlign w:val="center"/>
            <w:shd w:fill="F7F9FC"/>
          </w:tcPr>
          <w:p>
            <w:pPr>
              <w:spacing w:after="0"/>
            </w:pPr>
            <w:r>
              <w:rPr>
                <w:color w:val="243447"/>
                <w:sz w:val="15"/>
              </w:rPr>
              <w:t>Reporting is delayed, manual and fragmented.</w:t>
            </w:r>
          </w:p>
        </w:tc>
        <w:tc>
          <w:tcPr>
            <w:tcW w:type="dxa" w:w="6912"/>
            <w:tcMar>
              <w:top w:w="90" w:type="dxa"/>
              <w:start w:w="110" w:type="dxa"/>
              <w:bottom w:w="90" w:type="dxa"/>
              <w:end w:w="110" w:type="dxa"/>
            </w:tcMar>
            <w:vAlign w:val="center"/>
            <w:shd w:fill="F7F9FC"/>
          </w:tcPr>
          <w:p>
            <w:pPr>
              <w:spacing w:after="0"/>
            </w:pPr>
            <w:r>
              <w:rPr>
                <w:color w:val="243447"/>
                <w:sz w:val="15"/>
              </w:rPr>
              <w:t>Provide self-service status, early directional reads, end-of-campaign certification, reusable report packs and APIs.</w:t>
            </w:r>
          </w:p>
        </w:tc>
      </w:tr>
      <w:tr>
        <w:trPr>
          <w:cantSplit/>
        </w:trPr>
        <w:tc>
          <w:tcPr>
            <w:tcW w:type="dxa" w:w="3528"/>
            <w:tcMar>
              <w:top w:w="90" w:type="dxa"/>
              <w:start w:w="110" w:type="dxa"/>
              <w:bottom w:w="90" w:type="dxa"/>
              <w:end w:w="110" w:type="dxa"/>
            </w:tcMar>
            <w:vAlign w:val="center"/>
          </w:tcPr>
          <w:p>
            <w:pPr>
              <w:spacing w:after="0"/>
            </w:pPr>
            <w:r>
              <w:rPr>
                <w:color w:val="243447"/>
                <w:sz w:val="15"/>
              </w:rPr>
              <w:t>Audience match loss and identity duplication distort performance.</w:t>
            </w:r>
          </w:p>
        </w:tc>
        <w:tc>
          <w:tcPr>
            <w:tcW w:type="dxa" w:w="6912"/>
            <w:tcMar>
              <w:top w:w="90" w:type="dxa"/>
              <w:start w:w="110" w:type="dxa"/>
              <w:bottom w:w="90" w:type="dxa"/>
              <w:end w:w="110" w:type="dxa"/>
            </w:tcMar>
            <w:vAlign w:val="center"/>
          </w:tcPr>
          <w:p>
            <w:pPr>
              <w:spacing w:after="0"/>
            </w:pPr>
            <w:r>
              <w:rPr>
                <w:color w:val="243447"/>
                <w:sz w:val="15"/>
              </w:rPr>
              <w:t>Show the audience funnel from built to measurable and quality-score each stage.</w:t>
            </w:r>
          </w:p>
        </w:tc>
      </w:tr>
      <w:tr>
        <w:trPr>
          <w:cantSplit/>
        </w:trPr>
        <w:tc>
          <w:tcPr>
            <w:tcW w:type="dxa" w:w="3528"/>
            <w:tcMar>
              <w:top w:w="90" w:type="dxa"/>
              <w:start w:w="110" w:type="dxa"/>
              <w:bottom w:w="90" w:type="dxa"/>
              <w:end w:w="110" w:type="dxa"/>
            </w:tcMar>
            <w:vAlign w:val="center"/>
            <w:shd w:fill="F7F9FC"/>
          </w:tcPr>
          <w:p>
            <w:pPr>
              <w:spacing w:after="0"/>
            </w:pPr>
            <w:r>
              <w:rPr>
                <w:color w:val="243447"/>
                <w:sz w:val="15"/>
              </w:rPr>
              <w:t>RMNs use different attribution windows, halo definitions and “incrementality” labels.</w:t>
            </w:r>
          </w:p>
        </w:tc>
        <w:tc>
          <w:tcPr>
            <w:tcW w:type="dxa" w:w="6912"/>
            <w:tcMar>
              <w:top w:w="90" w:type="dxa"/>
              <w:start w:w="110" w:type="dxa"/>
              <w:bottom w:w="90" w:type="dxa"/>
              <w:end w:w="110" w:type="dxa"/>
            </w:tcMar>
            <w:vAlign w:val="center"/>
            <w:shd w:fill="F7F9FC"/>
          </w:tcPr>
          <w:p>
            <w:pPr>
              <w:spacing w:after="0"/>
            </w:pPr>
            <w:r>
              <w:rPr>
                <w:color w:val="243447"/>
                <w:sz w:val="15"/>
              </w:rPr>
              <w:t>Create a metric contract registry and separate reported, normalized and causal metrics.</w:t>
            </w:r>
          </w:p>
        </w:tc>
      </w:tr>
      <w:tr>
        <w:trPr>
          <w:cantSplit/>
        </w:trPr>
        <w:tc>
          <w:tcPr>
            <w:tcW w:type="dxa" w:w="3528"/>
            <w:tcMar>
              <w:top w:w="90" w:type="dxa"/>
              <w:start w:w="110" w:type="dxa"/>
              <w:bottom w:w="90" w:type="dxa"/>
              <w:end w:w="110" w:type="dxa"/>
            </w:tcMar>
            <w:vAlign w:val="center"/>
          </w:tcPr>
          <w:p>
            <w:pPr>
              <w:spacing w:after="0"/>
            </w:pPr>
            <w:r>
              <w:rPr>
                <w:color w:val="243447"/>
                <w:sz w:val="15"/>
              </w:rPr>
              <w:t>Modern network scorecards treat sales, ROAS, new buyers, incrementality, audience-level reporting, creative-level reporting, basket and rest-of-market analysis as important capabilities.</w:t>
            </w:r>
          </w:p>
        </w:tc>
        <w:tc>
          <w:tcPr>
            <w:tcW w:type="dxa" w:w="6912"/>
            <w:tcMar>
              <w:top w:w="90" w:type="dxa"/>
              <w:start w:w="110" w:type="dxa"/>
              <w:bottom w:w="90" w:type="dxa"/>
              <w:end w:w="110" w:type="dxa"/>
            </w:tcMar>
            <w:vAlign w:val="center"/>
          </w:tcPr>
          <w:p>
            <w:pPr>
              <w:spacing w:after="0"/>
            </w:pPr>
            <w:r>
              <w:rPr>
                <w:color w:val="243447"/>
                <w:sz w:val="15"/>
              </w:rPr>
              <w:t>Use these as the KPI and visual backbone, phased by data availability.</w:t>
            </w:r>
          </w:p>
        </w:tc>
      </w:tr>
      <w:tr>
        <w:trPr>
          <w:cantSplit/>
        </w:trPr>
        <w:tc>
          <w:tcPr>
            <w:tcW w:type="dxa" w:w="3528"/>
            <w:tcMar>
              <w:top w:w="90" w:type="dxa"/>
              <w:start w:w="110" w:type="dxa"/>
              <w:bottom w:w="90" w:type="dxa"/>
              <w:end w:w="110" w:type="dxa"/>
            </w:tcMar>
            <w:vAlign w:val="center"/>
            <w:shd w:fill="F7F9FC"/>
          </w:tcPr>
          <w:p>
            <w:pPr>
              <w:spacing w:after="0"/>
            </w:pPr>
            <w:r>
              <w:rPr>
                <w:color w:val="243447"/>
                <w:sz w:val="15"/>
              </w:rPr>
              <w:t>AI-generated insights and performance summaries are becoming common.</w:t>
            </w:r>
          </w:p>
        </w:tc>
        <w:tc>
          <w:tcPr>
            <w:tcW w:type="dxa" w:w="6912"/>
            <w:tcMar>
              <w:top w:w="90" w:type="dxa"/>
              <w:start w:w="110" w:type="dxa"/>
              <w:bottom w:w="90" w:type="dxa"/>
              <w:end w:w="110" w:type="dxa"/>
            </w:tcMar>
            <w:vAlign w:val="center"/>
            <w:shd w:fill="F7F9FC"/>
          </w:tcPr>
          <w:p>
            <w:pPr>
              <w:spacing w:after="0"/>
            </w:pPr>
            <w:r>
              <w:rPr>
                <w:color w:val="243447"/>
                <w:sz w:val="15"/>
              </w:rPr>
              <w:t>Add governed AI explanation and recommendations after the metric layer is reliable.</w:t>
            </w:r>
          </w:p>
        </w:tc>
      </w:tr>
    </w:tbl>
    <w:p>
      <w:pPr>
        <w:spacing w:after="0"/>
      </w:pPr>
    </w:p>
    <w:p>
      <w:pPr>
        <w:pStyle w:val="Small"/>
        <w:spacing w:before="40"/>
      </w:pPr>
      <w:r>
        <w:rPr>
          <w:b/>
        </w:rPr>
        <w:t xml:space="preserve">Research basis: </w:t>
      </w:r>
      <w:r>
        <w:t>&lt;File&gt;250922_NIQ Retail Medida Sector Scan - Verbatims_vShare (1).docx&lt;/File&gt;; &lt;File&gt;2510123_Retail Media Sector Scan - Executive Readout - DRAFT_vShare.pdf&lt;/File&gt;; &lt;File&gt;MarsUnited_RetailMediaReportCardUS_2Q2026_Final.pdf&lt;/File&gt;.</w:t>
      </w:r>
    </w:p>
    <w:p>
      <w:r>
        <w:br w:type="page"/>
      </w:r>
    </w:p>
    <w:p>
      <w:pPr>
        <w:pStyle w:val="Heading1"/>
        <w:keepNext/>
      </w:pPr>
      <w:r>
        <w:t>3. Positioning, product principles and right to win</w:t>
      </w:r>
    </w:p>
    <w:p>
      <w:pPr>
        <w:pStyle w:val="Heading2"/>
        <w:keepNext/>
      </w:pPr>
      <w:r>
        <w:t>3.1 Recommended positioning</w:t>
      </w:r>
    </w:p>
    <w:tbl>
      <w:tblPr>
        <w:tblW w:type="auto" w:w="0"/>
        <w:tblLook w:firstColumn="1" w:firstRow="1" w:lastColumn="0" w:lastRow="0" w:noHBand="0" w:noVBand="1" w:val="04A0"/>
      </w:tblPr>
      <w:tblGrid>
        <w:gridCol w:w="10166"/>
      </w:tblGrid>
      <w:tr>
        <w:tc>
          <w:tcPr>
            <w:tcW w:type="dxa" w:w="10166"/>
            <w:shd w:fill="EAF2F8"/>
            <w:tcMar>
              <w:top w:w="125" w:type="dxa"/>
              <w:start w:w="145" w:type="dxa"/>
              <w:bottom w:w="125" w:type="dxa"/>
              <w:end w:w="145" w:type="dxa"/>
            </w:tcMar>
          </w:tcPr>
          <w:p>
            <w:pPr>
              <w:spacing w:after="0"/>
            </w:pPr>
            <w:r>
              <w:rPr>
                <w:b/>
                <w:color w:val="17365D"/>
              </w:rPr>
              <w:t xml:space="preserve">Working positioning  </w:t>
            </w:r>
            <w:r>
              <w:t>NIQ Activate Media Management Closed Loop is a privacy-safe campaign intelligence and causal measurement workspace that connects retailer audiences, media delivery and omnichannel transaction outcomes with transparent, standardized methodology.</w:t>
            </w:r>
          </w:p>
        </w:tc>
      </w:tr>
    </w:tbl>
    <w:p>
      <w:pPr>
        <w:spacing w:after="0"/>
      </w:pPr>
    </w:p>
    <w:p>
      <w:pPr>
        <w:pStyle w:val="Heading2"/>
        <w:keepNext/>
      </w:pPr>
      <w:r>
        <w:t>3.2 Differentiators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08"/>
            <w:shd w:fill="17365D"/>
            <w:tcMar>
              <w:top w:w="100" w:type="dxa"/>
              <w:start w:w="110" w:type="dxa"/>
              <w:bottom w:w="100" w:type="dxa"/>
              <w:end w:w="110" w:type="dxa"/>
            </w:tcMar>
            <w:vAlign w:val="center"/>
          </w:tcPr>
          <w:p>
            <w:pPr>
              <w:jc w:val="center"/>
            </w:pPr>
            <w:r>
              <w:rPr>
                <w:b/>
                <w:color w:val="FFFFFF"/>
                <w:sz w:val="15"/>
              </w:rPr>
              <w:t>Differentiator</w:t>
            </w:r>
          </w:p>
        </w:tc>
        <w:tc>
          <w:tcPr>
            <w:tcW w:type="dxa" w:w="7632"/>
            <w:shd w:fill="17365D"/>
            <w:tcMar>
              <w:top w:w="100" w:type="dxa"/>
              <w:start w:w="110" w:type="dxa"/>
              <w:bottom w:w="100" w:type="dxa"/>
              <w:end w:w="110" w:type="dxa"/>
            </w:tcMar>
            <w:vAlign w:val="center"/>
          </w:tcPr>
          <w:p>
            <w:pPr>
              <w:jc w:val="center"/>
            </w:pPr>
            <w:r>
              <w:rPr>
                <w:b/>
                <w:color w:val="FFFFFF"/>
                <w:sz w:val="15"/>
              </w:rPr>
              <w:t>Why it matters</w:t>
            </w:r>
          </w:p>
        </w:tc>
      </w:tr>
      <w:tr>
        <w:trPr>
          <w:cantSplit/>
        </w:trPr>
        <w:tc>
          <w:tcPr>
            <w:tcW w:type="dxa" w:w="2808"/>
            <w:tcMar>
              <w:top w:w="90" w:type="dxa"/>
              <w:start w:w="110" w:type="dxa"/>
              <w:bottom w:w="90" w:type="dxa"/>
              <w:end w:w="110" w:type="dxa"/>
            </w:tcMar>
            <w:vAlign w:val="center"/>
          </w:tcPr>
          <w:p>
            <w:pPr>
              <w:spacing w:after="0"/>
            </w:pPr>
            <w:r>
              <w:rPr>
                <w:color w:val="243447"/>
                <w:sz w:val="15"/>
              </w:rPr>
              <w:t>Retail transaction truth</w:t>
            </w:r>
          </w:p>
        </w:tc>
        <w:tc>
          <w:tcPr>
            <w:tcW w:type="dxa" w:w="7632"/>
            <w:tcMar>
              <w:top w:w="90" w:type="dxa"/>
              <w:start w:w="110" w:type="dxa"/>
              <w:bottom w:w="90" w:type="dxa"/>
              <w:end w:w="110" w:type="dxa"/>
            </w:tcMar>
            <w:vAlign w:val="center"/>
          </w:tcPr>
          <w:p>
            <w:pPr>
              <w:spacing w:after="0"/>
            </w:pPr>
            <w:r>
              <w:rPr>
                <w:color w:val="243447"/>
                <w:sz w:val="15"/>
              </w:rPr>
              <w:t>Links media activity to SKU-level purchase behavior, not only platform-reported conversions.</w:t>
            </w:r>
          </w:p>
        </w:tc>
      </w:tr>
      <w:tr>
        <w:trPr>
          <w:cantSplit/>
        </w:trPr>
        <w:tc>
          <w:tcPr>
            <w:tcW w:type="dxa" w:w="2808"/>
            <w:tcMar>
              <w:top w:w="90" w:type="dxa"/>
              <w:start w:w="110" w:type="dxa"/>
              <w:bottom w:w="90" w:type="dxa"/>
              <w:end w:w="110" w:type="dxa"/>
            </w:tcMar>
            <w:vAlign w:val="center"/>
            <w:shd w:fill="F7F9FC"/>
          </w:tcPr>
          <w:p>
            <w:pPr>
              <w:spacing w:after="0"/>
            </w:pPr>
            <w:r>
              <w:rPr>
                <w:color w:val="243447"/>
                <w:sz w:val="15"/>
              </w:rPr>
              <w:t>Trusted methodology</w:t>
            </w:r>
          </w:p>
        </w:tc>
        <w:tc>
          <w:tcPr>
            <w:tcW w:type="dxa" w:w="7632"/>
            <w:tcMar>
              <w:top w:w="90" w:type="dxa"/>
              <w:start w:w="110" w:type="dxa"/>
              <w:bottom w:w="90" w:type="dxa"/>
              <w:end w:w="110" w:type="dxa"/>
            </w:tcMar>
            <w:vAlign w:val="center"/>
            <w:shd w:fill="F7F9FC"/>
          </w:tcPr>
          <w:p>
            <w:pPr>
              <w:spacing w:after="0"/>
            </w:pPr>
            <w:r>
              <w:rPr>
                <w:color w:val="243447"/>
                <w:sz w:val="15"/>
              </w:rPr>
              <w:t>Separates attributed, normalized and incremental outcomes; publishes model and experiment quality.</w:t>
            </w:r>
          </w:p>
        </w:tc>
      </w:tr>
      <w:tr>
        <w:trPr>
          <w:cantSplit/>
        </w:trPr>
        <w:tc>
          <w:tcPr>
            <w:tcW w:type="dxa" w:w="2808"/>
            <w:tcMar>
              <w:top w:w="90" w:type="dxa"/>
              <w:start w:w="110" w:type="dxa"/>
              <w:bottom w:w="90" w:type="dxa"/>
              <w:end w:w="110" w:type="dxa"/>
            </w:tcMar>
            <w:vAlign w:val="center"/>
          </w:tcPr>
          <w:p>
            <w:pPr>
              <w:spacing w:after="0"/>
            </w:pPr>
            <w:r>
              <w:rPr>
                <w:color w:val="243447"/>
                <w:sz w:val="15"/>
              </w:rPr>
              <w:t>Product taxonomy and category context</w:t>
            </w:r>
          </w:p>
        </w:tc>
        <w:tc>
          <w:tcPr>
            <w:tcW w:type="dxa" w:w="7632"/>
            <w:tcMar>
              <w:top w:w="90" w:type="dxa"/>
              <w:start w:w="110" w:type="dxa"/>
              <w:bottom w:w="90" w:type="dxa"/>
              <w:end w:w="110" w:type="dxa"/>
            </w:tcMar>
            <w:vAlign w:val="center"/>
          </w:tcPr>
          <w:p>
            <w:pPr>
              <w:spacing w:after="0"/>
            </w:pPr>
            <w:r>
              <w:rPr>
                <w:color w:val="243447"/>
                <w:sz w:val="15"/>
              </w:rPr>
              <w:t>Reduces SKU misclassification and enables brand/category/halo/basket analysis.</w:t>
            </w:r>
          </w:p>
        </w:tc>
      </w:tr>
      <w:tr>
        <w:trPr>
          <w:cantSplit/>
        </w:trPr>
        <w:tc>
          <w:tcPr>
            <w:tcW w:type="dxa" w:w="2808"/>
            <w:tcMar>
              <w:top w:w="90" w:type="dxa"/>
              <w:start w:w="110" w:type="dxa"/>
              <w:bottom w:w="90" w:type="dxa"/>
              <w:end w:w="110" w:type="dxa"/>
            </w:tcMar>
            <w:vAlign w:val="center"/>
            <w:shd w:fill="F7F9FC"/>
          </w:tcPr>
          <w:p>
            <w:pPr>
              <w:spacing w:after="0"/>
            </w:pPr>
            <w:r>
              <w:rPr>
                <w:color w:val="243447"/>
                <w:sz w:val="15"/>
              </w:rPr>
              <w:t>Retailer-controlled deployment</w:t>
            </w:r>
          </w:p>
        </w:tc>
        <w:tc>
          <w:tcPr>
            <w:tcW w:type="dxa" w:w="7632"/>
            <w:tcMar>
              <w:top w:w="90" w:type="dxa"/>
              <w:start w:w="110" w:type="dxa"/>
              <w:bottom w:w="90" w:type="dxa"/>
              <w:end w:w="110" w:type="dxa"/>
            </w:tcMar>
            <w:vAlign w:val="center"/>
            <w:shd w:fill="F7F9FC"/>
          </w:tcPr>
          <w:p>
            <w:pPr>
              <w:spacing w:after="0"/>
            </w:pPr>
            <w:r>
              <w:rPr>
                <w:color w:val="243447"/>
                <w:sz w:val="15"/>
              </w:rPr>
              <w:t>Meets the market preference for keeping sensitive data inside controlled environments.</w:t>
            </w:r>
          </w:p>
        </w:tc>
      </w:tr>
      <w:tr>
        <w:trPr>
          <w:cantSplit/>
        </w:trPr>
        <w:tc>
          <w:tcPr>
            <w:tcW w:type="dxa" w:w="2808"/>
            <w:tcMar>
              <w:top w:w="90" w:type="dxa"/>
              <w:start w:w="110" w:type="dxa"/>
              <w:bottom w:w="90" w:type="dxa"/>
              <w:end w:w="110" w:type="dxa"/>
            </w:tcMar>
            <w:vAlign w:val="center"/>
          </w:tcPr>
          <w:p>
            <w:pPr>
              <w:spacing w:after="0"/>
              <w:jc w:val="center"/>
            </w:pPr>
            <w:r>
              <w:rPr>
                <w:color w:val="243447"/>
                <w:sz w:val="15"/>
              </w:rPr>
              <w:t>Full lineage</w:t>
            </w:r>
          </w:p>
        </w:tc>
        <w:tc>
          <w:tcPr>
            <w:tcW w:type="dxa" w:w="7632"/>
            <w:tcMar>
              <w:top w:w="90" w:type="dxa"/>
              <w:start w:w="110" w:type="dxa"/>
              <w:bottom w:w="90" w:type="dxa"/>
              <w:end w:w="110" w:type="dxa"/>
            </w:tcMar>
            <w:vAlign w:val="center"/>
          </w:tcPr>
          <w:p>
            <w:pPr>
              <w:spacing w:after="0"/>
            </w:pPr>
            <w:r>
              <w:rPr>
                <w:color w:val="243447"/>
                <w:sz w:val="15"/>
              </w:rPr>
              <w:t>Traces campaign brief → audience → export → match → exposure → product → transaction → KPI.</w:t>
            </w:r>
          </w:p>
        </w:tc>
      </w:tr>
      <w:tr>
        <w:trPr>
          <w:cantSplit/>
        </w:trPr>
        <w:tc>
          <w:tcPr>
            <w:tcW w:type="dxa" w:w="2808"/>
            <w:tcMar>
              <w:top w:w="90" w:type="dxa"/>
              <w:start w:w="110" w:type="dxa"/>
              <w:bottom w:w="90" w:type="dxa"/>
              <w:end w:w="110" w:type="dxa"/>
            </w:tcMar>
            <w:vAlign w:val="center"/>
            <w:shd w:fill="F7F9FC"/>
          </w:tcPr>
          <w:p>
            <w:pPr>
              <w:spacing w:after="0"/>
            </w:pPr>
            <w:r>
              <w:rPr>
                <w:color w:val="243447"/>
                <w:sz w:val="15"/>
              </w:rPr>
              <w:t>Planning-to-learning loop</w:t>
            </w:r>
          </w:p>
        </w:tc>
        <w:tc>
          <w:tcPr>
            <w:tcW w:type="dxa" w:w="7632"/>
            <w:tcMar>
              <w:top w:w="90" w:type="dxa"/>
              <w:start w:w="110" w:type="dxa"/>
              <w:bottom w:w="90" w:type="dxa"/>
              <w:end w:w="110" w:type="dxa"/>
            </w:tcMar>
            <w:vAlign w:val="center"/>
            <w:shd w:fill="F7F9FC"/>
          </w:tcPr>
          <w:p>
            <w:pPr>
              <w:spacing w:after="0"/>
            </w:pPr>
            <w:r>
              <w:rPr>
                <w:color w:val="243447"/>
                <w:sz w:val="15"/>
              </w:rPr>
              <w:t>Turns measured outcomes into the next audience, channel and budget recommendation.</w:t>
            </w:r>
          </w:p>
        </w:tc>
      </w:tr>
      <w:tr>
        <w:trPr>
          <w:cantSplit/>
        </w:trPr>
        <w:tc>
          <w:tcPr>
            <w:tcW w:type="dxa" w:w="2808"/>
            <w:tcMar>
              <w:top w:w="90" w:type="dxa"/>
              <w:start w:w="110" w:type="dxa"/>
              <w:bottom w:w="90" w:type="dxa"/>
              <w:end w:w="110" w:type="dxa"/>
            </w:tcMar>
            <w:vAlign w:val="center"/>
          </w:tcPr>
          <w:p>
            <w:pPr>
              <w:spacing w:after="0"/>
            </w:pPr>
            <w:r>
              <w:rPr>
                <w:color w:val="243447"/>
                <w:sz w:val="15"/>
              </w:rPr>
              <w:t>Layered experience</w:t>
            </w:r>
          </w:p>
        </w:tc>
        <w:tc>
          <w:tcPr>
            <w:tcW w:type="dxa" w:w="7632"/>
            <w:tcMar>
              <w:top w:w="90" w:type="dxa"/>
              <w:start w:w="110" w:type="dxa"/>
              <w:bottom w:w="90" w:type="dxa"/>
              <w:end w:w="110" w:type="dxa"/>
            </w:tcMar>
            <w:vAlign w:val="center"/>
          </w:tcPr>
          <w:p>
            <w:pPr>
              <w:spacing w:after="0"/>
            </w:pPr>
            <w:r>
              <w:rPr>
                <w:color w:val="243447"/>
                <w:sz w:val="15"/>
              </w:rPr>
              <w:t>Commercial users receive simple conclusions; analysts can inspect the evidence and diagnostics.</w:t>
            </w:r>
          </w:p>
        </w:tc>
      </w:tr>
    </w:tbl>
    <w:p>
      <w:pPr>
        <w:spacing w:after="0"/>
      </w:pPr>
    </w:p>
    <w:p>
      <w:pPr>
        <w:pStyle w:val="Heading2"/>
        <w:keepNext/>
      </w:pPr>
      <w:r>
        <w:t>3.3 Product principles</w:t>
      </w:r>
    </w:p>
    <w:p>
      <w:pPr>
        <w:pStyle w:val="ListBullet"/>
        <w:spacing w:after="50"/>
      </w:pPr>
      <w:r>
        <w:t>Evidence before elegance: a beautiful ROAS tile is unacceptable unless its calculation and population are recoverable.</w:t>
      </w:r>
    </w:p>
    <w:p>
      <w:pPr>
        <w:pStyle w:val="ListBullet"/>
        <w:spacing w:after="50"/>
      </w:pPr>
      <w:r>
        <w:t>No false comparability: only normalize metrics that are semantically comparable.</w:t>
      </w:r>
    </w:p>
    <w:p>
      <w:pPr>
        <w:pStyle w:val="ListBullet"/>
        <w:spacing w:after="50"/>
      </w:pPr>
      <w:r>
        <w:t>No false causality: attribution does not become incrementality through labeling.</w:t>
      </w:r>
    </w:p>
    <w:p>
      <w:pPr>
        <w:pStyle w:val="ListBullet"/>
        <w:spacing w:after="50"/>
      </w:pPr>
      <w:r>
        <w:t>Data minimization by design: move computation to data where possible.</w:t>
      </w:r>
    </w:p>
    <w:p>
      <w:pPr>
        <w:pStyle w:val="ListBullet"/>
        <w:spacing w:after="50"/>
      </w:pPr>
      <w:r>
        <w:t>Progressive disclosure: executive summary first, analyst detail one click away.</w:t>
      </w:r>
    </w:p>
    <w:p>
      <w:pPr>
        <w:pStyle w:val="ListBullet"/>
        <w:spacing w:after="50"/>
      </w:pPr>
      <w:r>
        <w:t>Methodology-aware product behavior: hide or qualify outcomes when quality gates fail.</w:t>
      </w:r>
    </w:p>
    <w:p>
      <w:pPr>
        <w:pStyle w:val="ListBullet"/>
        <w:spacing w:after="50"/>
      </w:pPr>
      <w:r>
        <w:t>Reuse over recreation: maintain canonical audiences, campaigns, product sets, metric contracts and report templates.</w:t>
      </w:r>
    </w:p>
    <w:p>
      <w:pPr>
        <w:pStyle w:val="ListBullet"/>
        <w:spacing w:after="50"/>
      </w:pPr>
      <w:r>
        <w:t>Every result should lead to an action: continue, stop, investigate, optimize, or redesign the next test.</w:t>
      </w:r>
    </w:p>
    <w:p>
      <w:r>
        <w:br w:type="page"/>
      </w:r>
    </w:p>
    <w:p>
      <w:pPr>
        <w:pStyle w:val="Heading1"/>
        <w:keepNext/>
      </w:pPr>
      <w:r>
        <w:t>4. Users, jobs and permissions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7365D"/>
            <w:tcMar>
              <w:top w:w="100" w:type="dxa"/>
              <w:start w:w="110" w:type="dxa"/>
              <w:bottom w:w="100" w:type="dxa"/>
              <w:end w:w="110" w:type="dxa"/>
            </w:tcMar>
            <w:vAlign w:val="center"/>
          </w:tcPr>
          <w:p>
            <w:pPr>
              <w:jc w:val="center"/>
            </w:pPr>
            <w:r>
              <w:rPr>
                <w:b/>
                <w:color w:val="FFFFFF"/>
                <w:sz w:val="15"/>
              </w:rPr>
              <w:t>Persona</w:t>
            </w:r>
          </w:p>
        </w:tc>
        <w:tc>
          <w:tcPr>
            <w:tcW w:type="dxa" w:w="4896"/>
            <w:shd w:fill="17365D"/>
            <w:tcMar>
              <w:top w:w="100" w:type="dxa"/>
              <w:start w:w="110" w:type="dxa"/>
              <w:bottom w:w="100" w:type="dxa"/>
              <w:end w:w="110" w:type="dxa"/>
            </w:tcMar>
            <w:vAlign w:val="center"/>
          </w:tcPr>
          <w:p>
            <w:pPr>
              <w:jc w:val="center"/>
            </w:pPr>
            <w:r>
              <w:rPr>
                <w:b/>
                <w:color w:val="FFFFFF"/>
                <w:sz w:val="15"/>
              </w:rPr>
              <w:t>Top jobs</w:t>
            </w:r>
          </w:p>
        </w:tc>
        <w:tc>
          <w:tcPr>
            <w:tcW w:type="dxa" w:w="3312"/>
            <w:shd w:fill="17365D"/>
            <w:tcMar>
              <w:top w:w="100" w:type="dxa"/>
              <w:start w:w="110" w:type="dxa"/>
              <w:bottom w:w="100" w:type="dxa"/>
              <w:end w:w="110" w:type="dxa"/>
            </w:tcMar>
            <w:vAlign w:val="center"/>
          </w:tcPr>
          <w:p>
            <w:pPr>
              <w:jc w:val="center"/>
            </w:pPr>
            <w:r>
              <w:rPr>
                <w:b/>
                <w:color w:val="FFFFFF"/>
                <w:sz w:val="15"/>
              </w:rPr>
              <w:t>Default home</w:t>
            </w:r>
          </w:p>
        </w:tc>
      </w:tr>
      <w:tr>
        <w:trPr>
          <w:cantSplit/>
        </w:trPr>
        <w:tc>
          <w:tcPr>
            <w:tcW w:type="dxa" w:w="2232"/>
            <w:tcMar>
              <w:top w:w="90" w:type="dxa"/>
              <w:start w:w="110" w:type="dxa"/>
              <w:bottom w:w="90" w:type="dxa"/>
              <w:end w:w="110" w:type="dxa"/>
            </w:tcMar>
            <w:vAlign w:val="center"/>
          </w:tcPr>
          <w:p>
            <w:pPr>
              <w:spacing w:after="0"/>
            </w:pPr>
            <w:r>
              <w:rPr>
                <w:color w:val="243447"/>
                <w:sz w:val="15"/>
              </w:rPr>
              <w:t>RMN sales / account manager</w:t>
            </w:r>
          </w:p>
        </w:tc>
        <w:tc>
          <w:tcPr>
            <w:tcW w:type="dxa" w:w="4896"/>
            <w:tcMar>
              <w:top w:w="90" w:type="dxa"/>
              <w:start w:w="110" w:type="dxa"/>
              <w:bottom w:w="90" w:type="dxa"/>
              <w:end w:w="110" w:type="dxa"/>
            </w:tcMar>
            <w:vAlign w:val="center"/>
          </w:tcPr>
          <w:p>
            <w:pPr>
              <w:spacing w:after="0"/>
            </w:pPr>
            <w:r>
              <w:rPr>
                <w:color w:val="243447"/>
                <w:sz w:val="15"/>
              </w:rPr>
              <w:t>Build a client story, prove performance, support renewals and JBP</w:t>
            </w:r>
          </w:p>
        </w:tc>
        <w:tc>
          <w:tcPr>
            <w:tcW w:type="dxa" w:w="3312"/>
            <w:tcMar>
              <w:top w:w="90" w:type="dxa"/>
              <w:start w:w="110" w:type="dxa"/>
              <w:bottom w:w="90" w:type="dxa"/>
              <w:end w:w="110" w:type="dxa"/>
            </w:tcMar>
            <w:vAlign w:val="center"/>
          </w:tcPr>
          <w:p>
            <w:pPr>
              <w:spacing w:after="0"/>
            </w:pPr>
            <w:r>
              <w:rPr>
                <w:color w:val="243447"/>
                <w:sz w:val="15"/>
              </w:rPr>
              <w:t>Portfolio summary and campaign story</w:t>
            </w:r>
          </w:p>
        </w:tc>
      </w:tr>
      <w:tr>
        <w:trPr>
          <w:cantSplit/>
        </w:trPr>
        <w:tc>
          <w:tcPr>
            <w:tcW w:type="dxa" w:w="2232"/>
            <w:tcMar>
              <w:top w:w="90" w:type="dxa"/>
              <w:start w:w="110" w:type="dxa"/>
              <w:bottom w:w="90" w:type="dxa"/>
              <w:end w:w="110" w:type="dxa"/>
            </w:tcMar>
            <w:vAlign w:val="center"/>
            <w:shd w:fill="F7F9FC"/>
          </w:tcPr>
          <w:p>
            <w:pPr>
              <w:spacing w:after="0"/>
            </w:pPr>
            <w:r>
              <w:rPr>
                <w:color w:val="243447"/>
                <w:sz w:val="15"/>
              </w:rPr>
              <w:t>Campaign operations manager</w:t>
            </w:r>
          </w:p>
        </w:tc>
        <w:tc>
          <w:tcPr>
            <w:tcW w:type="dxa" w:w="4896"/>
            <w:tcMar>
              <w:top w:w="90" w:type="dxa"/>
              <w:start w:w="110" w:type="dxa"/>
              <w:bottom w:w="90" w:type="dxa"/>
              <w:end w:w="110" w:type="dxa"/>
            </w:tcMar>
            <w:vAlign w:val="center"/>
            <w:shd w:fill="F7F9FC"/>
          </w:tcPr>
          <w:p>
            <w:pPr>
              <w:spacing w:after="0"/>
            </w:pPr>
            <w:r>
              <w:rPr>
                <w:color w:val="243447"/>
                <w:sz w:val="15"/>
              </w:rPr>
              <w:t>Onboard campaign, monitor data, reconcile delivery, correct mappings</w:t>
            </w:r>
          </w:p>
        </w:tc>
        <w:tc>
          <w:tcPr>
            <w:tcW w:type="dxa" w:w="3312"/>
            <w:tcMar>
              <w:top w:w="90" w:type="dxa"/>
              <w:start w:w="110" w:type="dxa"/>
              <w:bottom w:w="90" w:type="dxa"/>
              <w:end w:w="110" w:type="dxa"/>
            </w:tcMar>
            <w:vAlign w:val="center"/>
            <w:shd w:fill="F7F9FC"/>
          </w:tcPr>
          <w:p>
            <w:pPr>
              <w:spacing w:after="0"/>
            </w:pPr>
            <w:r>
              <w:rPr>
                <w:color w:val="243447"/>
                <w:sz w:val="15"/>
              </w:rPr>
              <w:t>Campaign workspace and data readiness</w:t>
            </w:r>
          </w:p>
        </w:tc>
      </w:tr>
      <w:tr>
        <w:trPr>
          <w:cantSplit/>
        </w:trPr>
        <w:tc>
          <w:tcPr>
            <w:tcW w:type="dxa" w:w="2232"/>
            <w:tcMar>
              <w:top w:w="90" w:type="dxa"/>
              <w:start w:w="110" w:type="dxa"/>
              <w:bottom w:w="90" w:type="dxa"/>
              <w:end w:w="110" w:type="dxa"/>
            </w:tcMar>
            <w:vAlign w:val="center"/>
          </w:tcPr>
          <w:p>
            <w:pPr>
              <w:spacing w:after="0"/>
            </w:pPr>
            <w:r>
              <w:rPr>
                <w:color w:val="243447"/>
                <w:sz w:val="15"/>
              </w:rPr>
              <w:t>Retail media analyst</w:t>
            </w:r>
          </w:p>
        </w:tc>
        <w:tc>
          <w:tcPr>
            <w:tcW w:type="dxa" w:w="4896"/>
            <w:tcMar>
              <w:top w:w="90" w:type="dxa"/>
              <w:start w:w="110" w:type="dxa"/>
              <w:bottom w:w="90" w:type="dxa"/>
              <w:end w:w="110" w:type="dxa"/>
            </w:tcMar>
            <w:vAlign w:val="center"/>
          </w:tcPr>
          <w:p>
            <w:pPr>
              <w:spacing w:after="0"/>
            </w:pPr>
            <w:r>
              <w:rPr>
                <w:color w:val="243447"/>
                <w:sz w:val="15"/>
              </w:rPr>
              <w:t>Investigate conversion, sales, audience and creative performance</w:t>
            </w:r>
          </w:p>
        </w:tc>
        <w:tc>
          <w:tcPr>
            <w:tcW w:type="dxa" w:w="3312"/>
            <w:tcMar>
              <w:top w:w="90" w:type="dxa"/>
              <w:start w:w="110" w:type="dxa"/>
              <w:bottom w:w="90" w:type="dxa"/>
              <w:end w:w="110" w:type="dxa"/>
            </w:tcMar>
            <w:vAlign w:val="center"/>
          </w:tcPr>
          <w:p>
            <w:pPr>
              <w:spacing w:after="0"/>
            </w:pPr>
            <w:r>
              <w:rPr>
                <w:color w:val="243447"/>
                <w:sz w:val="15"/>
              </w:rPr>
              <w:t>Measurement explorer</w:t>
            </w:r>
          </w:p>
        </w:tc>
      </w:tr>
      <w:tr>
        <w:trPr>
          <w:cantSplit/>
        </w:trPr>
        <w:tc>
          <w:tcPr>
            <w:tcW w:type="dxa" w:w="2232"/>
            <w:tcMar>
              <w:top w:w="90" w:type="dxa"/>
              <w:start w:w="110" w:type="dxa"/>
              <w:bottom w:w="90" w:type="dxa"/>
              <w:end w:w="110" w:type="dxa"/>
            </w:tcMar>
            <w:vAlign w:val="center"/>
            <w:shd w:fill="F7F9FC"/>
          </w:tcPr>
          <w:p>
            <w:pPr>
              <w:spacing w:after="0"/>
              <w:jc w:val="center"/>
            </w:pPr>
            <w:r>
              <w:rPr>
                <w:color w:val="243447"/>
                <w:sz w:val="15"/>
              </w:rPr>
              <w:t>Data scientist</w:t>
            </w:r>
          </w:p>
        </w:tc>
        <w:tc>
          <w:tcPr>
            <w:tcW w:type="dxa" w:w="4896"/>
            <w:tcMar>
              <w:top w:w="90" w:type="dxa"/>
              <w:start w:w="110" w:type="dxa"/>
              <w:bottom w:w="90" w:type="dxa"/>
              <w:end w:w="110" w:type="dxa"/>
            </w:tcMar>
            <w:vAlign w:val="center"/>
            <w:shd w:fill="F7F9FC"/>
          </w:tcPr>
          <w:p>
            <w:pPr>
              <w:spacing w:after="0"/>
            </w:pPr>
            <w:r>
              <w:rPr>
                <w:color w:val="243447"/>
                <w:sz w:val="15"/>
              </w:rPr>
              <w:t>Design and validate experiments, approve methods, diagnose bias</w:t>
            </w:r>
          </w:p>
        </w:tc>
        <w:tc>
          <w:tcPr>
            <w:tcW w:type="dxa" w:w="3312"/>
            <w:tcMar>
              <w:top w:w="90" w:type="dxa"/>
              <w:start w:w="110" w:type="dxa"/>
              <w:bottom w:w="90" w:type="dxa"/>
              <w:end w:w="110" w:type="dxa"/>
            </w:tcMar>
            <w:vAlign w:val="center"/>
            <w:shd w:fill="F7F9FC"/>
          </w:tcPr>
          <w:p>
            <w:pPr>
              <w:spacing w:after="0"/>
              <w:jc w:val="center"/>
            </w:pPr>
            <w:r>
              <w:rPr>
                <w:color w:val="243447"/>
                <w:sz w:val="15"/>
              </w:rPr>
              <w:t>Experiment lab</w:t>
            </w:r>
          </w:p>
        </w:tc>
      </w:tr>
      <w:tr>
        <w:trPr>
          <w:cantSplit/>
        </w:trPr>
        <w:tc>
          <w:tcPr>
            <w:tcW w:type="dxa" w:w="2232"/>
            <w:tcMar>
              <w:top w:w="90" w:type="dxa"/>
              <w:start w:w="110" w:type="dxa"/>
              <w:bottom w:w="90" w:type="dxa"/>
              <w:end w:w="110" w:type="dxa"/>
            </w:tcMar>
            <w:vAlign w:val="center"/>
          </w:tcPr>
          <w:p>
            <w:pPr>
              <w:spacing w:after="0"/>
            </w:pPr>
            <w:r>
              <w:rPr>
                <w:color w:val="243447"/>
                <w:sz w:val="15"/>
              </w:rPr>
              <w:t>Advertiser / agency viewer</w:t>
            </w:r>
          </w:p>
        </w:tc>
        <w:tc>
          <w:tcPr>
            <w:tcW w:type="dxa" w:w="4896"/>
            <w:tcMar>
              <w:top w:w="90" w:type="dxa"/>
              <w:start w:w="110" w:type="dxa"/>
              <w:bottom w:w="90" w:type="dxa"/>
              <w:end w:w="110" w:type="dxa"/>
            </w:tcMar>
            <w:vAlign w:val="center"/>
          </w:tcPr>
          <w:p>
            <w:pPr>
              <w:spacing w:after="0"/>
            </w:pPr>
            <w:r>
              <w:rPr>
                <w:color w:val="243447"/>
                <w:sz w:val="15"/>
              </w:rPr>
              <w:t>Review transparent, standardized results and exports</w:t>
            </w:r>
          </w:p>
        </w:tc>
        <w:tc>
          <w:tcPr>
            <w:tcW w:type="dxa" w:w="3312"/>
            <w:tcMar>
              <w:top w:w="90" w:type="dxa"/>
              <w:start w:w="110" w:type="dxa"/>
              <w:bottom w:w="90" w:type="dxa"/>
              <w:end w:w="110" w:type="dxa"/>
            </w:tcMar>
            <w:vAlign w:val="center"/>
          </w:tcPr>
          <w:p>
            <w:pPr>
              <w:spacing w:after="0"/>
            </w:pPr>
            <w:r>
              <w:rPr>
                <w:color w:val="243447"/>
                <w:sz w:val="15"/>
              </w:rPr>
              <w:t>Shared campaign report</w:t>
            </w:r>
          </w:p>
        </w:tc>
      </w:tr>
      <w:tr>
        <w:trPr>
          <w:cantSplit/>
        </w:trPr>
        <w:tc>
          <w:tcPr>
            <w:tcW w:type="dxa" w:w="2232"/>
            <w:tcMar>
              <w:top w:w="90" w:type="dxa"/>
              <w:start w:w="110" w:type="dxa"/>
              <w:bottom w:w="90" w:type="dxa"/>
              <w:end w:w="110" w:type="dxa"/>
            </w:tcMar>
            <w:vAlign w:val="center"/>
            <w:shd w:fill="F7F9FC"/>
          </w:tcPr>
          <w:p>
            <w:pPr>
              <w:spacing w:after="0"/>
            </w:pPr>
            <w:r>
              <w:rPr>
                <w:color w:val="243447"/>
                <w:sz w:val="15"/>
              </w:rPr>
              <w:t>Retailer administrator</w:t>
            </w:r>
          </w:p>
        </w:tc>
        <w:tc>
          <w:tcPr>
            <w:tcW w:type="dxa" w:w="4896"/>
            <w:tcMar>
              <w:top w:w="90" w:type="dxa"/>
              <w:start w:w="110" w:type="dxa"/>
              <w:bottom w:w="90" w:type="dxa"/>
              <w:end w:w="110" w:type="dxa"/>
            </w:tcMar>
            <w:vAlign w:val="center"/>
            <w:shd w:fill="F7F9FC"/>
          </w:tcPr>
          <w:p>
            <w:pPr>
              <w:spacing w:after="0"/>
            </w:pPr>
            <w:r>
              <w:rPr>
                <w:color w:val="243447"/>
                <w:sz w:val="15"/>
              </w:rPr>
              <w:t>Configure taxonomies, IDs, partner capabilities, access and retention</w:t>
            </w:r>
          </w:p>
        </w:tc>
        <w:tc>
          <w:tcPr>
            <w:tcW w:type="dxa" w:w="3312"/>
            <w:tcMar>
              <w:top w:w="90" w:type="dxa"/>
              <w:start w:w="110" w:type="dxa"/>
              <w:bottom w:w="90" w:type="dxa"/>
              <w:end w:w="110" w:type="dxa"/>
            </w:tcMar>
            <w:vAlign w:val="center"/>
            <w:shd w:fill="F7F9FC"/>
          </w:tcPr>
          <w:p>
            <w:pPr>
              <w:spacing w:after="0"/>
            </w:pPr>
            <w:r>
              <w:rPr>
                <w:color w:val="243447"/>
                <w:sz w:val="15"/>
              </w:rPr>
              <w:t>Administration and governance</w:t>
            </w:r>
          </w:p>
        </w:tc>
      </w:tr>
      <w:tr>
        <w:trPr>
          <w:cantSplit/>
        </w:trPr>
        <w:tc>
          <w:tcPr>
            <w:tcW w:type="dxa" w:w="2232"/>
            <w:tcMar>
              <w:top w:w="90" w:type="dxa"/>
              <w:start w:w="110" w:type="dxa"/>
              <w:bottom w:w="90" w:type="dxa"/>
              <w:end w:w="110" w:type="dxa"/>
            </w:tcMar>
            <w:vAlign w:val="center"/>
          </w:tcPr>
          <w:p>
            <w:pPr>
              <w:spacing w:after="0"/>
            </w:pPr>
            <w:r>
              <w:rPr>
                <w:color w:val="243447"/>
                <w:sz w:val="15"/>
              </w:rPr>
              <w:t>NIQ service / support</w:t>
            </w:r>
          </w:p>
        </w:tc>
        <w:tc>
          <w:tcPr>
            <w:tcW w:type="dxa" w:w="4896"/>
            <w:tcMar>
              <w:top w:w="90" w:type="dxa"/>
              <w:start w:w="110" w:type="dxa"/>
              <w:bottom w:w="90" w:type="dxa"/>
              <w:end w:w="110" w:type="dxa"/>
            </w:tcMar>
            <w:vAlign w:val="center"/>
          </w:tcPr>
          <w:p>
            <w:pPr>
              <w:spacing w:after="0"/>
            </w:pPr>
            <w:r>
              <w:rPr>
                <w:color w:val="243447"/>
                <w:sz w:val="15"/>
              </w:rPr>
              <w:t>Onboard data, monitor pipelines, certify outputs</w:t>
            </w:r>
          </w:p>
        </w:tc>
        <w:tc>
          <w:tcPr>
            <w:tcW w:type="dxa" w:w="3312"/>
            <w:tcMar>
              <w:top w:w="90" w:type="dxa"/>
              <w:start w:w="110" w:type="dxa"/>
              <w:bottom w:w="90" w:type="dxa"/>
              <w:end w:w="110" w:type="dxa"/>
            </w:tcMar>
            <w:vAlign w:val="center"/>
          </w:tcPr>
          <w:p>
            <w:pPr>
              <w:spacing w:after="0"/>
            </w:pPr>
            <w:r>
              <w:rPr>
                <w:color w:val="243447"/>
                <w:sz w:val="15"/>
              </w:rPr>
              <w:t>Operations console</w:t>
            </w:r>
          </w:p>
        </w:tc>
      </w:tr>
    </w:tbl>
    <w:p>
      <w:pPr>
        <w:spacing w:after="0"/>
      </w:pPr>
    </w:p>
    <w:p>
      <w:pPr>
        <w:pStyle w:val="Heading2"/>
        <w:keepNext/>
      </w:pPr>
      <w:r>
        <w:t>4.1 Permission model</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2232"/>
            <w:shd w:fill="17365D"/>
            <w:tcMar>
              <w:top w:w="100" w:type="dxa"/>
              <w:start w:w="110" w:type="dxa"/>
              <w:bottom w:w="100" w:type="dxa"/>
              <w:end w:w="110" w:type="dxa"/>
            </w:tcMar>
            <w:vAlign w:val="center"/>
          </w:tcPr>
          <w:p>
            <w:pPr>
              <w:jc w:val="center"/>
            </w:pPr>
            <w:r>
              <w:rPr>
                <w:b/>
                <w:color w:val="FFFFFF"/>
                <w:sz w:val="14"/>
              </w:rPr>
              <w:t>Role capability</w:t>
            </w:r>
          </w:p>
        </w:tc>
        <w:tc>
          <w:tcPr>
            <w:tcW w:type="dxa" w:w="1512"/>
            <w:shd w:fill="17365D"/>
            <w:tcMar>
              <w:top w:w="100" w:type="dxa"/>
              <w:start w:w="110" w:type="dxa"/>
              <w:bottom w:w="100" w:type="dxa"/>
              <w:end w:w="110" w:type="dxa"/>
            </w:tcMar>
            <w:vAlign w:val="center"/>
          </w:tcPr>
          <w:p>
            <w:pPr>
              <w:jc w:val="center"/>
            </w:pPr>
            <w:r>
              <w:rPr>
                <w:b/>
                <w:color w:val="FFFFFF"/>
                <w:sz w:val="14"/>
              </w:rPr>
              <w:t>View aggregates</w:t>
            </w:r>
          </w:p>
        </w:tc>
        <w:tc>
          <w:tcPr>
            <w:tcW w:type="dxa" w:w="1800"/>
            <w:shd w:fill="17365D"/>
            <w:tcMar>
              <w:top w:w="100" w:type="dxa"/>
              <w:start w:w="110" w:type="dxa"/>
              <w:bottom w:w="100" w:type="dxa"/>
              <w:end w:w="110" w:type="dxa"/>
            </w:tcMar>
            <w:vAlign w:val="center"/>
          </w:tcPr>
          <w:p>
            <w:pPr>
              <w:jc w:val="center"/>
            </w:pPr>
            <w:r>
              <w:rPr>
                <w:b/>
                <w:color w:val="FFFFFF"/>
                <w:sz w:val="14"/>
              </w:rPr>
              <w:t>View pseudonymous detail</w:t>
            </w:r>
          </w:p>
        </w:tc>
        <w:tc>
          <w:tcPr>
            <w:tcW w:type="dxa" w:w="1656"/>
            <w:shd w:fill="17365D"/>
            <w:tcMar>
              <w:top w:w="100" w:type="dxa"/>
              <w:start w:w="110" w:type="dxa"/>
              <w:bottom w:w="100" w:type="dxa"/>
              <w:end w:w="110" w:type="dxa"/>
            </w:tcMar>
            <w:vAlign w:val="center"/>
          </w:tcPr>
          <w:p>
            <w:pPr>
              <w:jc w:val="center"/>
            </w:pPr>
            <w:r>
              <w:rPr>
                <w:b/>
                <w:color w:val="FFFFFF"/>
                <w:sz w:val="14"/>
              </w:rPr>
              <w:t>Configure method</w:t>
            </w:r>
          </w:p>
        </w:tc>
        <w:tc>
          <w:tcPr>
            <w:tcW w:type="dxa" w:w="1944"/>
            <w:shd w:fill="17365D"/>
            <w:tcMar>
              <w:top w:w="100" w:type="dxa"/>
              <w:start w:w="110" w:type="dxa"/>
              <w:bottom w:w="100" w:type="dxa"/>
              <w:end w:w="110" w:type="dxa"/>
            </w:tcMar>
            <w:vAlign w:val="center"/>
          </w:tcPr>
          <w:p>
            <w:pPr>
              <w:jc w:val="center"/>
            </w:pPr>
            <w:r>
              <w:rPr>
                <w:b/>
                <w:color w:val="FFFFFF"/>
                <w:sz w:val="14"/>
              </w:rPr>
              <w:t>Export</w:t>
            </w:r>
          </w:p>
        </w:tc>
        <w:tc>
          <w:tcPr>
            <w:tcW w:type="dxa" w:w="1440"/>
            <w:shd w:fill="17365D"/>
            <w:tcMar>
              <w:top w:w="100" w:type="dxa"/>
              <w:start w:w="110" w:type="dxa"/>
              <w:bottom w:w="100" w:type="dxa"/>
              <w:end w:w="110" w:type="dxa"/>
            </w:tcMar>
            <w:vAlign w:val="center"/>
          </w:tcPr>
          <w:p>
            <w:pPr>
              <w:jc w:val="center"/>
            </w:pPr>
            <w:r>
              <w:rPr>
                <w:b/>
                <w:color w:val="FFFFFF"/>
                <w:sz w:val="14"/>
              </w:rPr>
              <w:t>Approve/certify</w:t>
            </w:r>
          </w:p>
        </w:tc>
      </w:tr>
      <w:tr>
        <w:trPr>
          <w:cantSplit/>
        </w:trPr>
        <w:tc>
          <w:tcPr>
            <w:tcW w:type="dxa" w:w="2232"/>
            <w:tcMar>
              <w:top w:w="90" w:type="dxa"/>
              <w:start w:w="110" w:type="dxa"/>
              <w:bottom w:w="90" w:type="dxa"/>
              <w:end w:w="110" w:type="dxa"/>
            </w:tcMar>
            <w:vAlign w:val="center"/>
          </w:tcPr>
          <w:p>
            <w:pPr>
              <w:spacing w:after="0"/>
              <w:jc w:val="center"/>
            </w:pPr>
            <w:r>
              <w:rPr>
                <w:color w:val="243447"/>
                <w:sz w:val="14"/>
              </w:rPr>
              <w:t>Advertiser viewer</w:t>
            </w:r>
          </w:p>
        </w:tc>
        <w:tc>
          <w:tcPr>
            <w:tcW w:type="dxa" w:w="1512"/>
            <w:tcMar>
              <w:top w:w="90" w:type="dxa"/>
              <w:start w:w="110" w:type="dxa"/>
              <w:bottom w:w="90" w:type="dxa"/>
              <w:end w:w="110" w:type="dxa"/>
            </w:tcMar>
            <w:vAlign w:val="center"/>
          </w:tcPr>
          <w:p>
            <w:pPr>
              <w:spacing w:after="0"/>
              <w:jc w:val="center"/>
            </w:pPr>
            <w:r>
              <w:rPr>
                <w:color w:val="243447"/>
                <w:sz w:val="14"/>
              </w:rPr>
              <w:t>Yes</w:t>
            </w:r>
          </w:p>
        </w:tc>
        <w:tc>
          <w:tcPr>
            <w:tcW w:type="dxa" w:w="1800"/>
            <w:tcMar>
              <w:top w:w="90" w:type="dxa"/>
              <w:start w:w="110" w:type="dxa"/>
              <w:bottom w:w="90" w:type="dxa"/>
              <w:end w:w="110" w:type="dxa"/>
            </w:tcMar>
            <w:vAlign w:val="center"/>
          </w:tcPr>
          <w:p>
            <w:pPr>
              <w:spacing w:after="0"/>
              <w:jc w:val="center"/>
            </w:pPr>
            <w:r>
              <w:rPr>
                <w:color w:val="243447"/>
                <w:sz w:val="14"/>
              </w:rPr>
              <w:t>No</w:t>
            </w:r>
          </w:p>
        </w:tc>
        <w:tc>
          <w:tcPr>
            <w:tcW w:type="dxa" w:w="1656"/>
            <w:tcMar>
              <w:top w:w="90" w:type="dxa"/>
              <w:start w:w="110" w:type="dxa"/>
              <w:bottom w:w="90" w:type="dxa"/>
              <w:end w:w="110" w:type="dxa"/>
            </w:tcMar>
            <w:vAlign w:val="center"/>
          </w:tcPr>
          <w:p>
            <w:pPr>
              <w:spacing w:after="0"/>
              <w:jc w:val="center"/>
            </w:pPr>
            <w:r>
              <w:rPr>
                <w:color w:val="243447"/>
                <w:sz w:val="14"/>
              </w:rPr>
              <w:t>No</w:t>
            </w:r>
          </w:p>
        </w:tc>
        <w:tc>
          <w:tcPr>
            <w:tcW w:type="dxa" w:w="1944"/>
            <w:tcMar>
              <w:top w:w="90" w:type="dxa"/>
              <w:start w:w="110" w:type="dxa"/>
              <w:bottom w:w="90" w:type="dxa"/>
              <w:end w:w="110" w:type="dxa"/>
            </w:tcMar>
            <w:vAlign w:val="center"/>
          </w:tcPr>
          <w:p>
            <w:pPr>
              <w:spacing w:after="0"/>
            </w:pPr>
            <w:r>
              <w:rPr>
                <w:color w:val="243447"/>
                <w:sz w:val="14"/>
              </w:rPr>
              <w:t>Summary/API governed</w:t>
            </w:r>
          </w:p>
        </w:tc>
        <w:tc>
          <w:tcPr>
            <w:tcW w:type="dxa" w:w="1440"/>
            <w:tcMar>
              <w:top w:w="90" w:type="dxa"/>
              <w:start w:w="110" w:type="dxa"/>
              <w:bottom w:w="90" w:type="dxa"/>
              <w:end w:w="110" w:type="dxa"/>
            </w:tcMar>
            <w:vAlign w:val="center"/>
          </w:tcPr>
          <w:p>
            <w:pPr>
              <w:spacing w:after="0"/>
              <w:jc w:val="center"/>
            </w:pPr>
            <w:r>
              <w:rPr>
                <w:color w:val="243447"/>
                <w:sz w:val="14"/>
              </w:rPr>
              <w:t>No</w:t>
            </w:r>
          </w:p>
        </w:tc>
      </w:tr>
      <w:tr>
        <w:trPr>
          <w:cantSplit/>
        </w:trPr>
        <w:tc>
          <w:tcPr>
            <w:tcW w:type="dxa" w:w="2232"/>
            <w:tcMar>
              <w:top w:w="90" w:type="dxa"/>
              <w:start w:w="110" w:type="dxa"/>
              <w:bottom w:w="90" w:type="dxa"/>
              <w:end w:w="110" w:type="dxa"/>
            </w:tcMar>
            <w:vAlign w:val="center"/>
            <w:shd w:fill="F7F9FC"/>
          </w:tcPr>
          <w:p>
            <w:pPr>
              <w:spacing w:after="0"/>
              <w:jc w:val="center"/>
            </w:pPr>
            <w:r>
              <w:rPr>
                <w:color w:val="243447"/>
                <w:sz w:val="14"/>
              </w:rPr>
              <w:t>Retailer analyst</w:t>
            </w:r>
          </w:p>
        </w:tc>
        <w:tc>
          <w:tcPr>
            <w:tcW w:type="dxa" w:w="1512"/>
            <w:tcMar>
              <w:top w:w="90" w:type="dxa"/>
              <w:start w:w="110" w:type="dxa"/>
              <w:bottom w:w="90" w:type="dxa"/>
              <w:end w:w="110" w:type="dxa"/>
            </w:tcMar>
            <w:vAlign w:val="center"/>
            <w:shd w:fill="F7F9FC"/>
          </w:tcPr>
          <w:p>
            <w:pPr>
              <w:spacing w:after="0"/>
              <w:jc w:val="center"/>
            </w:pPr>
            <w:r>
              <w:rPr>
                <w:color w:val="243447"/>
                <w:sz w:val="14"/>
              </w:rPr>
              <w:t>Yes</w:t>
            </w:r>
          </w:p>
        </w:tc>
        <w:tc>
          <w:tcPr>
            <w:tcW w:type="dxa" w:w="1800"/>
            <w:tcMar>
              <w:top w:w="90" w:type="dxa"/>
              <w:start w:w="110" w:type="dxa"/>
              <w:bottom w:w="90" w:type="dxa"/>
              <w:end w:w="110" w:type="dxa"/>
            </w:tcMar>
            <w:vAlign w:val="center"/>
            <w:shd w:fill="F7F9FC"/>
          </w:tcPr>
          <w:p>
            <w:pPr>
              <w:spacing w:after="0"/>
              <w:jc w:val="center"/>
            </w:pPr>
            <w:r>
              <w:rPr>
                <w:color w:val="243447"/>
                <w:sz w:val="14"/>
              </w:rPr>
              <w:t>As permitted</w:t>
            </w:r>
          </w:p>
        </w:tc>
        <w:tc>
          <w:tcPr>
            <w:tcW w:type="dxa" w:w="1656"/>
            <w:tcMar>
              <w:top w:w="90" w:type="dxa"/>
              <w:start w:w="110" w:type="dxa"/>
              <w:bottom w:w="90" w:type="dxa"/>
              <w:end w:w="110" w:type="dxa"/>
            </w:tcMar>
            <w:vAlign w:val="center"/>
            <w:shd w:fill="F7F9FC"/>
          </w:tcPr>
          <w:p>
            <w:pPr>
              <w:spacing w:after="0"/>
              <w:jc w:val="center"/>
            </w:pPr>
            <w:r>
              <w:rPr>
                <w:color w:val="243447"/>
                <w:sz w:val="14"/>
              </w:rPr>
              <w:t>No</w:t>
            </w:r>
          </w:p>
        </w:tc>
        <w:tc>
          <w:tcPr>
            <w:tcW w:type="dxa" w:w="1944"/>
            <w:tcMar>
              <w:top w:w="90" w:type="dxa"/>
              <w:start w:w="110" w:type="dxa"/>
              <w:bottom w:w="90" w:type="dxa"/>
              <w:end w:w="110" w:type="dxa"/>
            </w:tcMar>
            <w:vAlign w:val="center"/>
            <w:shd w:fill="F7F9FC"/>
          </w:tcPr>
          <w:p>
            <w:pPr>
              <w:spacing w:after="0"/>
              <w:jc w:val="center"/>
            </w:pPr>
            <w:r>
              <w:rPr>
                <w:color w:val="243447"/>
                <w:sz w:val="14"/>
              </w:rPr>
              <w:t>Detailed governed</w:t>
            </w:r>
          </w:p>
        </w:tc>
        <w:tc>
          <w:tcPr>
            <w:tcW w:type="dxa" w:w="1440"/>
            <w:tcMar>
              <w:top w:w="90" w:type="dxa"/>
              <w:start w:w="110" w:type="dxa"/>
              <w:bottom w:w="90" w:type="dxa"/>
              <w:end w:w="110" w:type="dxa"/>
            </w:tcMar>
            <w:vAlign w:val="center"/>
            <w:shd w:fill="F7F9FC"/>
          </w:tcPr>
          <w:p>
            <w:pPr>
              <w:spacing w:after="0"/>
              <w:jc w:val="center"/>
            </w:pPr>
            <w:r>
              <w:rPr>
                <w:color w:val="243447"/>
                <w:sz w:val="14"/>
              </w:rPr>
              <w:t>No</w:t>
            </w:r>
          </w:p>
        </w:tc>
      </w:tr>
      <w:tr>
        <w:trPr>
          <w:cantSplit/>
        </w:trPr>
        <w:tc>
          <w:tcPr>
            <w:tcW w:type="dxa" w:w="2232"/>
            <w:tcMar>
              <w:top w:w="90" w:type="dxa"/>
              <w:start w:w="110" w:type="dxa"/>
              <w:bottom w:w="90" w:type="dxa"/>
              <w:end w:w="110" w:type="dxa"/>
            </w:tcMar>
            <w:vAlign w:val="center"/>
          </w:tcPr>
          <w:p>
            <w:pPr>
              <w:spacing w:after="0"/>
              <w:jc w:val="center"/>
            </w:pPr>
            <w:r>
              <w:rPr>
                <w:color w:val="243447"/>
                <w:sz w:val="14"/>
              </w:rPr>
              <w:t>Data scientist</w:t>
            </w:r>
          </w:p>
        </w:tc>
        <w:tc>
          <w:tcPr>
            <w:tcW w:type="dxa" w:w="1512"/>
            <w:tcMar>
              <w:top w:w="90" w:type="dxa"/>
              <w:start w:w="110" w:type="dxa"/>
              <w:bottom w:w="90" w:type="dxa"/>
              <w:end w:w="110" w:type="dxa"/>
            </w:tcMar>
            <w:vAlign w:val="center"/>
          </w:tcPr>
          <w:p>
            <w:pPr>
              <w:spacing w:after="0"/>
              <w:jc w:val="center"/>
            </w:pPr>
            <w:r>
              <w:rPr>
                <w:color w:val="243447"/>
                <w:sz w:val="14"/>
              </w:rPr>
              <w:t>Yes</w:t>
            </w:r>
          </w:p>
        </w:tc>
        <w:tc>
          <w:tcPr>
            <w:tcW w:type="dxa" w:w="1800"/>
            <w:tcMar>
              <w:top w:w="90" w:type="dxa"/>
              <w:start w:w="110" w:type="dxa"/>
              <w:bottom w:w="90" w:type="dxa"/>
              <w:end w:w="110" w:type="dxa"/>
            </w:tcMar>
            <w:vAlign w:val="center"/>
          </w:tcPr>
          <w:p>
            <w:pPr>
              <w:spacing w:after="0"/>
            </w:pPr>
            <w:r>
              <w:rPr>
                <w:color w:val="243447"/>
                <w:sz w:val="14"/>
              </w:rPr>
              <w:t>Secure environment only</w:t>
            </w:r>
          </w:p>
        </w:tc>
        <w:tc>
          <w:tcPr>
            <w:tcW w:type="dxa" w:w="1656"/>
            <w:tcMar>
              <w:top w:w="90" w:type="dxa"/>
              <w:start w:w="110" w:type="dxa"/>
              <w:bottom w:w="90" w:type="dxa"/>
              <w:end w:w="110" w:type="dxa"/>
            </w:tcMar>
            <w:vAlign w:val="center"/>
          </w:tcPr>
          <w:p>
            <w:pPr>
              <w:spacing w:after="0"/>
              <w:jc w:val="center"/>
            </w:pPr>
            <w:r>
              <w:rPr>
                <w:color w:val="243447"/>
                <w:sz w:val="14"/>
              </w:rPr>
              <w:t>Yes</w:t>
            </w:r>
          </w:p>
        </w:tc>
        <w:tc>
          <w:tcPr>
            <w:tcW w:type="dxa" w:w="1944"/>
            <w:tcMar>
              <w:top w:w="90" w:type="dxa"/>
              <w:start w:w="110" w:type="dxa"/>
              <w:bottom w:w="90" w:type="dxa"/>
              <w:end w:w="110" w:type="dxa"/>
            </w:tcMar>
            <w:vAlign w:val="center"/>
          </w:tcPr>
          <w:p>
            <w:pPr>
              <w:spacing w:after="0"/>
              <w:jc w:val="center"/>
            </w:pPr>
            <w:r>
              <w:rPr>
                <w:color w:val="243447"/>
                <w:sz w:val="14"/>
              </w:rPr>
              <w:t>Diagnostics only</w:t>
            </w:r>
          </w:p>
        </w:tc>
        <w:tc>
          <w:tcPr>
            <w:tcW w:type="dxa" w:w="1440"/>
            <w:tcMar>
              <w:top w:w="90" w:type="dxa"/>
              <w:start w:w="110" w:type="dxa"/>
              <w:bottom w:w="90" w:type="dxa"/>
              <w:end w:w="110" w:type="dxa"/>
            </w:tcMar>
            <w:vAlign w:val="center"/>
          </w:tcPr>
          <w:p>
            <w:pPr>
              <w:spacing w:after="0"/>
              <w:jc w:val="center"/>
            </w:pPr>
            <w:r>
              <w:rPr>
                <w:color w:val="243447"/>
                <w:sz w:val="14"/>
              </w:rPr>
              <w:t>Yes</w:t>
            </w:r>
          </w:p>
        </w:tc>
      </w:tr>
      <w:tr>
        <w:trPr>
          <w:cantSplit/>
        </w:trPr>
        <w:tc>
          <w:tcPr>
            <w:tcW w:type="dxa" w:w="2232"/>
            <w:tcMar>
              <w:top w:w="90" w:type="dxa"/>
              <w:start w:w="110" w:type="dxa"/>
              <w:bottom w:w="90" w:type="dxa"/>
              <w:end w:w="110" w:type="dxa"/>
            </w:tcMar>
            <w:vAlign w:val="center"/>
            <w:shd w:fill="F7F9FC"/>
          </w:tcPr>
          <w:p>
            <w:pPr>
              <w:spacing w:after="0"/>
              <w:jc w:val="center"/>
            </w:pPr>
            <w:r>
              <w:rPr>
                <w:color w:val="243447"/>
                <w:sz w:val="14"/>
              </w:rPr>
              <w:t>Operations</w:t>
            </w:r>
          </w:p>
        </w:tc>
        <w:tc>
          <w:tcPr>
            <w:tcW w:type="dxa" w:w="1512"/>
            <w:tcMar>
              <w:top w:w="90" w:type="dxa"/>
              <w:start w:w="110" w:type="dxa"/>
              <w:bottom w:w="90" w:type="dxa"/>
              <w:end w:w="110" w:type="dxa"/>
            </w:tcMar>
            <w:vAlign w:val="center"/>
            <w:shd w:fill="F7F9FC"/>
          </w:tcPr>
          <w:p>
            <w:pPr>
              <w:spacing w:after="0"/>
              <w:jc w:val="center"/>
            </w:pPr>
            <w:r>
              <w:rPr>
                <w:color w:val="243447"/>
                <w:sz w:val="14"/>
              </w:rPr>
              <w:t>Yes</w:t>
            </w:r>
          </w:p>
        </w:tc>
        <w:tc>
          <w:tcPr>
            <w:tcW w:type="dxa" w:w="1800"/>
            <w:tcMar>
              <w:top w:w="90" w:type="dxa"/>
              <w:start w:w="110" w:type="dxa"/>
              <w:bottom w:w="90" w:type="dxa"/>
              <w:end w:w="110" w:type="dxa"/>
            </w:tcMar>
            <w:vAlign w:val="center"/>
            <w:shd w:fill="F7F9FC"/>
          </w:tcPr>
          <w:p>
            <w:pPr>
              <w:spacing w:after="0"/>
            </w:pPr>
            <w:r>
              <w:rPr>
                <w:color w:val="243447"/>
                <w:sz w:val="14"/>
              </w:rPr>
              <w:t>Limited troubleshooting</w:t>
            </w:r>
          </w:p>
        </w:tc>
        <w:tc>
          <w:tcPr>
            <w:tcW w:type="dxa" w:w="1656"/>
            <w:tcMar>
              <w:top w:w="90" w:type="dxa"/>
              <w:start w:w="110" w:type="dxa"/>
              <w:bottom w:w="90" w:type="dxa"/>
              <w:end w:w="110" w:type="dxa"/>
            </w:tcMar>
            <w:vAlign w:val="center"/>
            <w:shd w:fill="F7F9FC"/>
          </w:tcPr>
          <w:p>
            <w:pPr>
              <w:spacing w:after="0"/>
              <w:jc w:val="center"/>
            </w:pPr>
            <w:r>
              <w:rPr>
                <w:color w:val="243447"/>
                <w:sz w:val="14"/>
              </w:rPr>
              <w:t>No</w:t>
            </w:r>
          </w:p>
        </w:tc>
        <w:tc>
          <w:tcPr>
            <w:tcW w:type="dxa" w:w="1944"/>
            <w:tcMar>
              <w:top w:w="90" w:type="dxa"/>
              <w:start w:w="110" w:type="dxa"/>
              <w:bottom w:w="90" w:type="dxa"/>
              <w:end w:w="110" w:type="dxa"/>
            </w:tcMar>
            <w:vAlign w:val="center"/>
            <w:shd w:fill="F7F9FC"/>
          </w:tcPr>
          <w:p>
            <w:pPr>
              <w:spacing w:after="0"/>
              <w:jc w:val="center"/>
            </w:pPr>
            <w:r>
              <w:rPr>
                <w:color w:val="243447"/>
                <w:sz w:val="14"/>
              </w:rPr>
              <w:t>Operational</w:t>
            </w:r>
          </w:p>
        </w:tc>
        <w:tc>
          <w:tcPr>
            <w:tcW w:type="dxa" w:w="1440"/>
            <w:tcMar>
              <w:top w:w="90" w:type="dxa"/>
              <w:start w:w="110" w:type="dxa"/>
              <w:bottom w:w="90" w:type="dxa"/>
              <w:end w:w="110" w:type="dxa"/>
            </w:tcMar>
            <w:vAlign w:val="center"/>
            <w:shd w:fill="F7F9FC"/>
          </w:tcPr>
          <w:p>
            <w:pPr>
              <w:spacing w:after="0"/>
              <w:jc w:val="center"/>
            </w:pPr>
            <w:r>
              <w:rPr>
                <w:color w:val="243447"/>
                <w:sz w:val="14"/>
              </w:rPr>
              <w:t>No</w:t>
            </w:r>
          </w:p>
        </w:tc>
      </w:tr>
      <w:tr>
        <w:trPr>
          <w:cantSplit/>
        </w:trPr>
        <w:tc>
          <w:tcPr>
            <w:tcW w:type="dxa" w:w="2232"/>
            <w:tcMar>
              <w:top w:w="90" w:type="dxa"/>
              <w:start w:w="110" w:type="dxa"/>
              <w:bottom w:w="90" w:type="dxa"/>
              <w:end w:w="110" w:type="dxa"/>
            </w:tcMar>
            <w:vAlign w:val="center"/>
          </w:tcPr>
          <w:p>
            <w:pPr>
              <w:spacing w:after="0"/>
              <w:jc w:val="center"/>
            </w:pPr>
            <w:r>
              <w:rPr>
                <w:color w:val="243447"/>
                <w:sz w:val="14"/>
              </w:rPr>
              <w:t>Administrator</w:t>
            </w:r>
          </w:p>
        </w:tc>
        <w:tc>
          <w:tcPr>
            <w:tcW w:type="dxa" w:w="1512"/>
            <w:tcMar>
              <w:top w:w="90" w:type="dxa"/>
              <w:start w:w="110" w:type="dxa"/>
              <w:bottom w:w="90" w:type="dxa"/>
              <w:end w:w="110" w:type="dxa"/>
            </w:tcMar>
            <w:vAlign w:val="center"/>
          </w:tcPr>
          <w:p>
            <w:pPr>
              <w:spacing w:after="0"/>
              <w:jc w:val="center"/>
            </w:pPr>
            <w:r>
              <w:rPr>
                <w:color w:val="243447"/>
                <w:sz w:val="14"/>
              </w:rPr>
              <w:t>Yes</w:t>
            </w:r>
          </w:p>
        </w:tc>
        <w:tc>
          <w:tcPr>
            <w:tcW w:type="dxa" w:w="1800"/>
            <w:tcMar>
              <w:top w:w="90" w:type="dxa"/>
              <w:start w:w="110" w:type="dxa"/>
              <w:bottom w:w="90" w:type="dxa"/>
              <w:end w:w="110" w:type="dxa"/>
            </w:tcMar>
            <w:vAlign w:val="center"/>
          </w:tcPr>
          <w:p>
            <w:pPr>
              <w:spacing w:after="0"/>
              <w:jc w:val="center"/>
            </w:pPr>
            <w:r>
              <w:rPr>
                <w:color w:val="243447"/>
                <w:sz w:val="14"/>
              </w:rPr>
              <w:t>Policy-dependent</w:t>
            </w:r>
          </w:p>
        </w:tc>
        <w:tc>
          <w:tcPr>
            <w:tcW w:type="dxa" w:w="1656"/>
            <w:tcMar>
              <w:top w:w="90" w:type="dxa"/>
              <w:start w:w="110" w:type="dxa"/>
              <w:bottom w:w="90" w:type="dxa"/>
              <w:end w:w="110" w:type="dxa"/>
            </w:tcMar>
            <w:vAlign w:val="center"/>
          </w:tcPr>
          <w:p>
            <w:pPr>
              <w:spacing w:after="0"/>
              <w:jc w:val="center"/>
            </w:pPr>
            <w:r>
              <w:rPr>
                <w:color w:val="243447"/>
                <w:sz w:val="14"/>
              </w:rPr>
              <w:t>Policy only</w:t>
            </w:r>
          </w:p>
        </w:tc>
        <w:tc>
          <w:tcPr>
            <w:tcW w:type="dxa" w:w="1944"/>
            <w:tcMar>
              <w:top w:w="90" w:type="dxa"/>
              <w:start w:w="110" w:type="dxa"/>
              <w:bottom w:w="90" w:type="dxa"/>
              <w:end w:w="110" w:type="dxa"/>
            </w:tcMar>
            <w:vAlign w:val="center"/>
          </w:tcPr>
          <w:p>
            <w:pPr>
              <w:spacing w:after="0"/>
              <w:jc w:val="center"/>
            </w:pPr>
            <w:r>
              <w:rPr>
                <w:color w:val="243447"/>
                <w:sz w:val="14"/>
              </w:rPr>
              <w:t>Policy-dependent</w:t>
            </w:r>
          </w:p>
        </w:tc>
        <w:tc>
          <w:tcPr>
            <w:tcW w:type="dxa" w:w="1440"/>
            <w:tcMar>
              <w:top w:w="90" w:type="dxa"/>
              <w:start w:w="110" w:type="dxa"/>
              <w:bottom w:w="90" w:type="dxa"/>
              <w:end w:w="110" w:type="dxa"/>
            </w:tcMar>
            <w:vAlign w:val="center"/>
          </w:tcPr>
          <w:p>
            <w:pPr>
              <w:spacing w:after="0"/>
              <w:jc w:val="center"/>
            </w:pPr>
            <w:r>
              <w:rPr>
                <w:color w:val="243447"/>
                <w:sz w:val="14"/>
              </w:rPr>
              <w:t>No</w:t>
            </w:r>
          </w:p>
        </w:tc>
      </w:tr>
    </w:tbl>
    <w:p>
      <w:pPr>
        <w:spacing w:after="0"/>
      </w:pPr>
    </w:p>
    <w:p>
      <w:r>
        <w:br w:type="page"/>
      </w:r>
    </w:p>
    <w:p>
      <w:pPr>
        <w:pStyle w:val="Heading1"/>
        <w:keepNext/>
      </w:pPr>
      <w:r>
        <w:t>5. Product architecture and capability 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7365D"/>
            <w:tcMar>
              <w:top w:w="100" w:type="dxa"/>
              <w:start w:w="110" w:type="dxa"/>
              <w:bottom w:w="100" w:type="dxa"/>
              <w:end w:w="110" w:type="dxa"/>
            </w:tcMar>
            <w:vAlign w:val="center"/>
          </w:tcPr>
          <w:p>
            <w:pPr>
              <w:jc w:val="center"/>
            </w:pPr>
            <w:r>
              <w:rPr>
                <w:b/>
                <w:color w:val="FFFFFF"/>
                <w:sz w:val="15"/>
              </w:rPr>
              <w:t>Layer</w:t>
            </w:r>
          </w:p>
        </w:tc>
        <w:tc>
          <w:tcPr>
            <w:tcW w:type="dxa" w:w="8064"/>
            <w:shd w:fill="17365D"/>
            <w:tcMar>
              <w:top w:w="100" w:type="dxa"/>
              <w:start w:w="110" w:type="dxa"/>
              <w:bottom w:w="100" w:type="dxa"/>
              <w:end w:w="110" w:type="dxa"/>
            </w:tcMar>
            <w:vAlign w:val="center"/>
          </w:tcPr>
          <w:p>
            <w:pPr>
              <w:jc w:val="center"/>
            </w:pPr>
            <w:r>
              <w:rPr>
                <w:b/>
                <w:color w:val="FFFFFF"/>
                <w:sz w:val="15"/>
              </w:rPr>
              <w:t>Capabilities</w:t>
            </w:r>
          </w:p>
        </w:tc>
      </w:tr>
      <w:tr>
        <w:trPr>
          <w:cantSplit/>
        </w:trPr>
        <w:tc>
          <w:tcPr>
            <w:tcW w:type="dxa" w:w="2376"/>
            <w:tcMar>
              <w:top w:w="90" w:type="dxa"/>
              <w:start w:w="110" w:type="dxa"/>
              <w:bottom w:w="90" w:type="dxa"/>
              <w:end w:w="110" w:type="dxa"/>
            </w:tcMar>
            <w:vAlign w:val="center"/>
          </w:tcPr>
          <w:p>
            <w:pPr>
              <w:spacing w:after="0"/>
              <w:jc w:val="center"/>
            </w:pPr>
            <w:r>
              <w:rPr>
                <w:color w:val="243447"/>
                <w:sz w:val="15"/>
              </w:rPr>
              <w:t>Experience</w:t>
            </w:r>
          </w:p>
        </w:tc>
        <w:tc>
          <w:tcPr>
            <w:tcW w:type="dxa" w:w="8064"/>
            <w:tcMar>
              <w:top w:w="90" w:type="dxa"/>
              <w:start w:w="110" w:type="dxa"/>
              <w:bottom w:w="90" w:type="dxa"/>
              <w:end w:w="110" w:type="dxa"/>
            </w:tcMar>
            <w:vAlign w:val="center"/>
          </w:tcPr>
          <w:p>
            <w:pPr>
              <w:spacing w:after="0"/>
            </w:pPr>
            <w:r>
              <w:rPr>
                <w:color w:val="243447"/>
                <w:sz w:val="15"/>
              </w:rPr>
              <w:t>Portfolio home; campaign workspace; report builder; experiment lab; shared report; admin console</w:t>
            </w:r>
          </w:p>
        </w:tc>
      </w:tr>
      <w:tr>
        <w:trPr>
          <w:cantSplit/>
        </w:trPr>
        <w:tc>
          <w:tcPr>
            <w:tcW w:type="dxa" w:w="2376"/>
            <w:tcMar>
              <w:top w:w="90" w:type="dxa"/>
              <w:start w:w="110" w:type="dxa"/>
              <w:bottom w:w="90" w:type="dxa"/>
              <w:end w:w="110" w:type="dxa"/>
            </w:tcMar>
            <w:vAlign w:val="center"/>
            <w:shd w:fill="F7F9FC"/>
          </w:tcPr>
          <w:p>
            <w:pPr>
              <w:spacing w:after="0"/>
              <w:jc w:val="center"/>
            </w:pPr>
            <w:r>
              <w:rPr>
                <w:color w:val="243447"/>
                <w:sz w:val="15"/>
              </w:rPr>
              <w:t>Workflow</w:t>
            </w:r>
          </w:p>
        </w:tc>
        <w:tc>
          <w:tcPr>
            <w:tcW w:type="dxa" w:w="8064"/>
            <w:tcMar>
              <w:top w:w="90" w:type="dxa"/>
              <w:start w:w="110" w:type="dxa"/>
              <w:bottom w:w="90" w:type="dxa"/>
              <w:end w:w="110" w:type="dxa"/>
            </w:tcMar>
            <w:vAlign w:val="center"/>
            <w:shd w:fill="F7F9FC"/>
          </w:tcPr>
          <w:p>
            <w:pPr>
              <w:spacing w:after="0"/>
            </w:pPr>
            <w:r>
              <w:rPr>
                <w:color w:val="243447"/>
                <w:sz w:val="15"/>
              </w:rPr>
              <w:t>Campaign intake; readiness checklist; audience lineage; measurement plan; approval; report publishing; learning capture</w:t>
            </w:r>
          </w:p>
        </w:tc>
      </w:tr>
      <w:tr>
        <w:trPr>
          <w:cantSplit/>
        </w:trPr>
        <w:tc>
          <w:tcPr>
            <w:tcW w:type="dxa" w:w="2376"/>
            <w:tcMar>
              <w:top w:w="90" w:type="dxa"/>
              <w:start w:w="110" w:type="dxa"/>
              <w:bottom w:w="90" w:type="dxa"/>
              <w:end w:w="110" w:type="dxa"/>
            </w:tcMar>
            <w:vAlign w:val="center"/>
          </w:tcPr>
          <w:p>
            <w:pPr>
              <w:spacing w:after="0"/>
            </w:pPr>
            <w:r>
              <w:rPr>
                <w:color w:val="243447"/>
                <w:sz w:val="15"/>
              </w:rPr>
              <w:t>Semantic measurement</w:t>
            </w:r>
          </w:p>
        </w:tc>
        <w:tc>
          <w:tcPr>
            <w:tcW w:type="dxa" w:w="8064"/>
            <w:tcMar>
              <w:top w:w="90" w:type="dxa"/>
              <w:start w:w="110" w:type="dxa"/>
              <w:bottom w:w="90" w:type="dxa"/>
              <w:end w:w="110" w:type="dxa"/>
            </w:tcMar>
            <w:vAlign w:val="center"/>
          </w:tcPr>
          <w:p>
            <w:pPr>
              <w:spacing w:after="0"/>
            </w:pPr>
            <w:r>
              <w:rPr>
                <w:color w:val="243447"/>
                <w:sz w:val="15"/>
              </w:rPr>
              <w:t>Metric registry; normalized dimensions; attribution; incrementality; benchmarks; confidence and quality status</w:t>
            </w:r>
          </w:p>
        </w:tc>
      </w:tr>
      <w:tr>
        <w:trPr>
          <w:cantSplit/>
        </w:trPr>
        <w:tc>
          <w:tcPr>
            <w:tcW w:type="dxa" w:w="2376"/>
            <w:tcMar>
              <w:top w:w="90" w:type="dxa"/>
              <w:start w:w="110" w:type="dxa"/>
              <w:bottom w:w="90" w:type="dxa"/>
              <w:end w:w="110" w:type="dxa"/>
            </w:tcMar>
            <w:vAlign w:val="center"/>
            <w:shd w:fill="F7F9FC"/>
          </w:tcPr>
          <w:p>
            <w:pPr>
              <w:spacing w:after="0"/>
              <w:jc w:val="center"/>
            </w:pPr>
            <w:r>
              <w:rPr>
                <w:color w:val="243447"/>
                <w:sz w:val="15"/>
              </w:rPr>
              <w:t>Data products</w:t>
            </w:r>
          </w:p>
        </w:tc>
        <w:tc>
          <w:tcPr>
            <w:tcW w:type="dxa" w:w="8064"/>
            <w:tcMar>
              <w:top w:w="90" w:type="dxa"/>
              <w:start w:w="110" w:type="dxa"/>
              <w:bottom w:w="90" w:type="dxa"/>
              <w:end w:w="110" w:type="dxa"/>
            </w:tcMar>
            <w:vAlign w:val="center"/>
            <w:shd w:fill="F7F9FC"/>
          </w:tcPr>
          <w:p>
            <w:pPr>
              <w:spacing w:after="0"/>
            </w:pPr>
            <w:r>
              <w:rPr>
                <w:color w:val="243447"/>
                <w:sz w:val="15"/>
              </w:rPr>
              <w:t>Campaign metadata; audience versions; delivery funnel; exposures; promoted products; transactions; costs; experiment assignments</w:t>
            </w:r>
          </w:p>
        </w:tc>
      </w:tr>
      <w:tr>
        <w:trPr>
          <w:cantSplit/>
        </w:trPr>
        <w:tc>
          <w:tcPr>
            <w:tcW w:type="dxa" w:w="2376"/>
            <w:tcMar>
              <w:top w:w="90" w:type="dxa"/>
              <w:start w:w="110" w:type="dxa"/>
              <w:bottom w:w="90" w:type="dxa"/>
              <w:end w:w="110" w:type="dxa"/>
            </w:tcMar>
            <w:vAlign w:val="center"/>
          </w:tcPr>
          <w:p>
            <w:pPr>
              <w:spacing w:after="0"/>
              <w:jc w:val="center"/>
            </w:pPr>
            <w:r>
              <w:rPr>
                <w:color w:val="243447"/>
                <w:sz w:val="15"/>
              </w:rPr>
              <w:t>Integration</w:t>
            </w:r>
          </w:p>
        </w:tc>
        <w:tc>
          <w:tcPr>
            <w:tcW w:type="dxa" w:w="8064"/>
            <w:tcMar>
              <w:top w:w="90" w:type="dxa"/>
              <w:start w:w="110" w:type="dxa"/>
              <w:bottom w:w="90" w:type="dxa"/>
              <w:end w:w="110" w:type="dxa"/>
            </w:tcMar>
            <w:vAlign w:val="center"/>
          </w:tcPr>
          <w:p>
            <w:pPr>
              <w:spacing w:after="0"/>
            </w:pPr>
            <w:r>
              <w:rPr>
                <w:color w:val="243447"/>
                <w:sz w:val="15"/>
              </w:rPr>
              <w:t>Batch/API/CDP; DSP/ad server; clean room; transaction lake; product hierarchy; MMM/export APIs</w:t>
            </w:r>
          </w:p>
        </w:tc>
      </w:tr>
      <w:tr>
        <w:trPr>
          <w:cantSplit/>
        </w:trPr>
        <w:tc>
          <w:tcPr>
            <w:tcW w:type="dxa" w:w="2376"/>
            <w:tcMar>
              <w:top w:w="90" w:type="dxa"/>
              <w:start w:w="110" w:type="dxa"/>
              <w:bottom w:w="90" w:type="dxa"/>
              <w:end w:w="110" w:type="dxa"/>
            </w:tcMar>
            <w:vAlign w:val="center"/>
            <w:shd w:fill="F7F9FC"/>
          </w:tcPr>
          <w:p>
            <w:pPr>
              <w:spacing w:after="0"/>
              <w:jc w:val="center"/>
            </w:pPr>
            <w:r>
              <w:rPr>
                <w:color w:val="243447"/>
                <w:sz w:val="15"/>
              </w:rPr>
              <w:t>Governance</w:t>
            </w:r>
          </w:p>
        </w:tc>
        <w:tc>
          <w:tcPr>
            <w:tcW w:type="dxa" w:w="8064"/>
            <w:tcMar>
              <w:top w:w="90" w:type="dxa"/>
              <w:start w:w="110" w:type="dxa"/>
              <w:bottom w:w="90" w:type="dxa"/>
              <w:end w:w="110" w:type="dxa"/>
            </w:tcMar>
            <w:vAlign w:val="center"/>
            <w:shd w:fill="F7F9FC"/>
          </w:tcPr>
          <w:p>
            <w:pPr>
              <w:spacing w:after="0"/>
            </w:pPr>
            <w:r>
              <w:rPr>
                <w:color w:val="243447"/>
                <w:sz w:val="15"/>
              </w:rPr>
              <w:t>Identity policy; access; retention; methodology versions; data quality; audit trail; certification</w:t>
            </w:r>
          </w:p>
        </w:tc>
      </w:tr>
    </w:tbl>
    <w:p>
      <w:pPr>
        <w:spacing w:after="0"/>
      </w:pPr>
    </w:p>
    <w:p>
      <w:pPr>
        <w:pStyle w:val="Heading2"/>
        <w:keepNext/>
      </w:pPr>
      <w:r>
        <w:t>5.1 Channel capability tiers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7365D"/>
            <w:tcMar>
              <w:top w:w="100" w:type="dxa"/>
              <w:start w:w="110" w:type="dxa"/>
              <w:bottom w:w="100" w:type="dxa"/>
              <w:end w:w="110" w:type="dxa"/>
            </w:tcMar>
            <w:vAlign w:val="center"/>
          </w:tcPr>
          <w:p>
            <w:pPr>
              <w:jc w:val="center"/>
            </w:pPr>
            <w:r>
              <w:rPr>
                <w:b/>
                <w:color w:val="FFFFFF"/>
                <w:sz w:val="15"/>
              </w:rPr>
              <w:t>Tier</w:t>
            </w:r>
          </w:p>
        </w:tc>
        <w:tc>
          <w:tcPr>
            <w:tcW w:type="dxa" w:w="4248"/>
            <w:shd w:fill="17365D"/>
            <w:tcMar>
              <w:top w:w="100" w:type="dxa"/>
              <w:start w:w="110" w:type="dxa"/>
              <w:bottom w:w="100" w:type="dxa"/>
              <w:end w:w="110" w:type="dxa"/>
            </w:tcMar>
            <w:vAlign w:val="center"/>
          </w:tcPr>
          <w:p>
            <w:pPr>
              <w:jc w:val="center"/>
            </w:pPr>
            <w:r>
              <w:rPr>
                <w:b/>
                <w:color w:val="FFFFFF"/>
                <w:sz w:val="15"/>
              </w:rPr>
              <w:t>Available data</w:t>
            </w:r>
          </w:p>
        </w:tc>
        <w:tc>
          <w:tcPr>
            <w:tcW w:type="dxa" w:w="3816"/>
            <w:shd w:fill="17365D"/>
            <w:tcMar>
              <w:top w:w="100" w:type="dxa"/>
              <w:start w:w="110" w:type="dxa"/>
              <w:bottom w:w="100" w:type="dxa"/>
              <w:end w:w="110" w:type="dxa"/>
            </w:tcMar>
            <w:vAlign w:val="center"/>
          </w:tcPr>
          <w:p>
            <w:pPr>
              <w:jc w:val="center"/>
            </w:pPr>
            <w:r>
              <w:rPr>
                <w:b/>
                <w:color w:val="FFFFFF"/>
                <w:sz w:val="15"/>
              </w:rPr>
              <w:t>Permitted measurement</w:t>
            </w:r>
          </w:p>
        </w:tc>
      </w:tr>
      <w:tr>
        <w:trPr>
          <w:cantSplit/>
        </w:trPr>
        <w:tc>
          <w:tcPr>
            <w:tcW w:type="dxa" w:w="2376"/>
            <w:tcMar>
              <w:top w:w="90" w:type="dxa"/>
              <w:start w:w="110" w:type="dxa"/>
              <w:bottom w:w="90" w:type="dxa"/>
              <w:end w:w="110" w:type="dxa"/>
            </w:tcMar>
            <w:vAlign w:val="center"/>
          </w:tcPr>
          <w:p>
            <w:pPr>
              <w:spacing w:after="0"/>
            </w:pPr>
            <w:r>
              <w:rPr>
                <w:color w:val="243447"/>
                <w:sz w:val="15"/>
              </w:rPr>
              <w:t>A. Deterministic exposure</w:t>
            </w:r>
          </w:p>
        </w:tc>
        <w:tc>
          <w:tcPr>
            <w:tcW w:type="dxa" w:w="4248"/>
            <w:tcMar>
              <w:top w:w="90" w:type="dxa"/>
              <w:start w:w="110" w:type="dxa"/>
              <w:bottom w:w="90" w:type="dxa"/>
              <w:end w:w="110" w:type="dxa"/>
            </w:tcMar>
            <w:vAlign w:val="center"/>
          </w:tcPr>
          <w:p>
            <w:pPr>
              <w:spacing w:after="0"/>
            </w:pPr>
            <w:r>
              <w:rPr>
                <w:color w:val="243447"/>
                <w:sz w:val="15"/>
              </w:rPr>
              <w:t>Shopper-level impression/click with timestamp plus transactions</w:t>
            </w:r>
          </w:p>
        </w:tc>
        <w:tc>
          <w:tcPr>
            <w:tcW w:type="dxa" w:w="3816"/>
            <w:tcMar>
              <w:top w:w="90" w:type="dxa"/>
              <w:start w:w="110" w:type="dxa"/>
              <w:bottom w:w="90" w:type="dxa"/>
              <w:end w:w="110" w:type="dxa"/>
            </w:tcMar>
            <w:vAlign w:val="center"/>
          </w:tcPr>
          <w:p>
            <w:pPr>
              <w:spacing w:after="0"/>
            </w:pPr>
            <w:r>
              <w:rPr>
                <w:color w:val="243447"/>
                <w:sz w:val="15"/>
              </w:rPr>
              <w:t>Delivery, attribution, conversion, frequency, incrementality with valid experiment</w:t>
            </w:r>
          </w:p>
        </w:tc>
      </w:tr>
      <w:tr>
        <w:trPr>
          <w:cantSplit/>
        </w:trPr>
        <w:tc>
          <w:tcPr>
            <w:tcW w:type="dxa" w:w="2376"/>
            <w:tcMar>
              <w:top w:w="90" w:type="dxa"/>
              <w:start w:w="110" w:type="dxa"/>
              <w:bottom w:w="90" w:type="dxa"/>
              <w:end w:w="110" w:type="dxa"/>
            </w:tcMar>
            <w:vAlign w:val="center"/>
            <w:shd w:fill="F7F9FC"/>
          </w:tcPr>
          <w:p>
            <w:pPr>
              <w:spacing w:after="0"/>
            </w:pPr>
            <w:r>
              <w:rPr>
                <w:color w:val="243447"/>
                <w:sz w:val="15"/>
              </w:rPr>
              <w:t>B. Matched target membership</w:t>
            </w:r>
          </w:p>
        </w:tc>
        <w:tc>
          <w:tcPr>
            <w:tcW w:type="dxa" w:w="4248"/>
            <w:tcMar>
              <w:top w:w="90" w:type="dxa"/>
              <w:start w:w="110" w:type="dxa"/>
              <w:bottom w:w="90" w:type="dxa"/>
              <w:end w:w="110" w:type="dxa"/>
            </w:tcMar>
            <w:vAlign w:val="center"/>
            <w:shd w:fill="F7F9FC"/>
          </w:tcPr>
          <w:p>
            <w:pPr>
              <w:spacing w:after="0"/>
            </w:pPr>
            <w:r>
              <w:rPr>
                <w:color w:val="243447"/>
                <w:sz w:val="15"/>
              </w:rPr>
              <w:t>Pushed/matched audience and aggregate delivery; no exposed identity</w:t>
            </w:r>
          </w:p>
        </w:tc>
        <w:tc>
          <w:tcPr>
            <w:tcW w:type="dxa" w:w="3816"/>
            <w:tcMar>
              <w:top w:w="90" w:type="dxa"/>
              <w:start w:w="110" w:type="dxa"/>
              <w:bottom w:w="90" w:type="dxa"/>
              <w:end w:w="110" w:type="dxa"/>
            </w:tcMar>
            <w:vAlign w:val="center"/>
            <w:shd w:fill="F7F9FC"/>
          </w:tcPr>
          <w:p>
            <w:pPr>
              <w:spacing w:after="0"/>
            </w:pPr>
            <w:r>
              <w:rPr>
                <w:color w:val="243447"/>
                <w:sz w:val="15"/>
              </w:rPr>
              <w:t>Intent-to-treat test/control, aggregate attribution where valid, no exposed-user claims</w:t>
            </w:r>
          </w:p>
        </w:tc>
      </w:tr>
      <w:tr>
        <w:trPr>
          <w:cantSplit/>
        </w:trPr>
        <w:tc>
          <w:tcPr>
            <w:tcW w:type="dxa" w:w="2376"/>
            <w:tcMar>
              <w:top w:w="90" w:type="dxa"/>
              <w:start w:w="110" w:type="dxa"/>
              <w:bottom w:w="90" w:type="dxa"/>
              <w:end w:w="110" w:type="dxa"/>
            </w:tcMar>
            <w:vAlign w:val="center"/>
          </w:tcPr>
          <w:p>
            <w:pPr>
              <w:spacing w:after="0"/>
            </w:pPr>
            <w:r>
              <w:rPr>
                <w:color w:val="243447"/>
                <w:sz w:val="15"/>
              </w:rPr>
              <w:t>C. Aggregate platform metrics</w:t>
            </w:r>
          </w:p>
        </w:tc>
        <w:tc>
          <w:tcPr>
            <w:tcW w:type="dxa" w:w="4248"/>
            <w:tcMar>
              <w:top w:w="90" w:type="dxa"/>
              <w:start w:w="110" w:type="dxa"/>
              <w:bottom w:w="90" w:type="dxa"/>
              <w:end w:w="110" w:type="dxa"/>
            </w:tcMar>
            <w:vAlign w:val="center"/>
          </w:tcPr>
          <w:p>
            <w:pPr>
              <w:spacing w:after="0"/>
            </w:pPr>
            <w:r>
              <w:rPr>
                <w:color w:val="243447"/>
                <w:sz w:val="15"/>
              </w:rPr>
              <w:t>Campaign totals only</w:t>
            </w:r>
          </w:p>
        </w:tc>
        <w:tc>
          <w:tcPr>
            <w:tcW w:type="dxa" w:w="3816"/>
            <w:tcMar>
              <w:top w:w="90" w:type="dxa"/>
              <w:start w:w="110" w:type="dxa"/>
              <w:bottom w:w="90" w:type="dxa"/>
              <w:end w:w="110" w:type="dxa"/>
            </w:tcMar>
            <w:vAlign w:val="center"/>
          </w:tcPr>
          <w:p>
            <w:pPr>
              <w:spacing w:after="0"/>
            </w:pPr>
            <w:r>
              <w:rPr>
                <w:color w:val="243447"/>
                <w:sz w:val="15"/>
              </w:rPr>
              <w:t>Standard media reporting and directional normalized comparison</w:t>
            </w:r>
          </w:p>
        </w:tc>
      </w:tr>
      <w:tr>
        <w:trPr>
          <w:cantSplit/>
        </w:trPr>
        <w:tc>
          <w:tcPr>
            <w:tcW w:type="dxa" w:w="2376"/>
            <w:tcMar>
              <w:top w:w="90" w:type="dxa"/>
              <w:start w:w="110" w:type="dxa"/>
              <w:bottom w:w="90" w:type="dxa"/>
              <w:end w:w="110" w:type="dxa"/>
            </w:tcMar>
            <w:vAlign w:val="center"/>
            <w:shd w:fill="F7F9FC"/>
          </w:tcPr>
          <w:p>
            <w:pPr>
              <w:spacing w:after="0"/>
            </w:pPr>
            <w:r>
              <w:rPr>
                <w:color w:val="243447"/>
                <w:sz w:val="15"/>
              </w:rPr>
              <w:t>D. Store/geo treatment</w:t>
            </w:r>
          </w:p>
        </w:tc>
        <w:tc>
          <w:tcPr>
            <w:tcW w:type="dxa" w:w="4248"/>
            <w:tcMar>
              <w:top w:w="90" w:type="dxa"/>
              <w:start w:w="110" w:type="dxa"/>
              <w:bottom w:w="90" w:type="dxa"/>
              <w:end w:w="110" w:type="dxa"/>
            </w:tcMar>
            <w:vAlign w:val="center"/>
            <w:shd w:fill="F7F9FC"/>
          </w:tcPr>
          <w:p>
            <w:pPr>
              <w:spacing w:after="0"/>
            </w:pPr>
            <w:r>
              <w:rPr>
                <w:color w:val="243447"/>
                <w:sz w:val="15"/>
              </w:rPr>
              <w:t>Store-level exposure or placement plus store sales</w:t>
            </w:r>
          </w:p>
        </w:tc>
        <w:tc>
          <w:tcPr>
            <w:tcW w:type="dxa" w:w="3816"/>
            <w:tcMar>
              <w:top w:w="90" w:type="dxa"/>
              <w:start w:w="110" w:type="dxa"/>
              <w:bottom w:w="90" w:type="dxa"/>
              <w:end w:w="110" w:type="dxa"/>
            </w:tcMar>
            <w:vAlign w:val="center"/>
            <w:shd w:fill="F7F9FC"/>
          </w:tcPr>
          <w:p>
            <w:pPr>
              <w:spacing w:after="0"/>
            </w:pPr>
            <w:r>
              <w:rPr>
                <w:color w:val="243447"/>
                <w:sz w:val="15"/>
              </w:rPr>
              <w:t>Matched market, difference-in-differences, store lift</w:t>
            </w:r>
          </w:p>
        </w:tc>
      </w:tr>
      <w:tr>
        <w:trPr>
          <w:cantSplit/>
        </w:trPr>
        <w:tc>
          <w:tcPr>
            <w:tcW w:type="dxa" w:w="2376"/>
            <w:tcMar>
              <w:top w:w="90" w:type="dxa"/>
              <w:start w:w="110" w:type="dxa"/>
              <w:bottom w:w="90" w:type="dxa"/>
              <w:end w:w="110" w:type="dxa"/>
            </w:tcMar>
            <w:vAlign w:val="center"/>
          </w:tcPr>
          <w:p>
            <w:pPr>
              <w:spacing w:after="0"/>
            </w:pPr>
            <w:r>
              <w:rPr>
                <w:color w:val="243447"/>
                <w:sz w:val="15"/>
              </w:rPr>
              <w:t>E. External/rest-of-market</w:t>
            </w:r>
          </w:p>
        </w:tc>
        <w:tc>
          <w:tcPr>
            <w:tcW w:type="dxa" w:w="4248"/>
            <w:tcMar>
              <w:top w:w="90" w:type="dxa"/>
              <w:start w:w="110" w:type="dxa"/>
              <w:bottom w:w="90" w:type="dxa"/>
              <w:end w:w="110" w:type="dxa"/>
            </w:tcMar>
            <w:vAlign w:val="center"/>
          </w:tcPr>
          <w:p>
            <w:pPr>
              <w:spacing w:after="0"/>
            </w:pPr>
            <w:r>
              <w:rPr>
                <w:color w:val="243447"/>
                <w:sz w:val="15"/>
              </w:rPr>
              <w:t>NIQ panel/POS outside retailer</w:t>
            </w:r>
          </w:p>
        </w:tc>
        <w:tc>
          <w:tcPr>
            <w:tcW w:type="dxa" w:w="3816"/>
            <w:tcMar>
              <w:top w:w="90" w:type="dxa"/>
              <w:start w:w="110" w:type="dxa"/>
              <w:bottom w:w="90" w:type="dxa"/>
              <w:end w:w="110" w:type="dxa"/>
            </w:tcMar>
            <w:vAlign w:val="center"/>
          </w:tcPr>
          <w:p>
            <w:pPr>
              <w:spacing w:after="0"/>
            </w:pPr>
            <w:r>
              <w:rPr>
                <w:color w:val="243447"/>
                <w:sz w:val="15"/>
              </w:rPr>
              <w:t>Halo/rest-of-market and broader market outcomes with coverage disclosure</w:t>
            </w:r>
          </w:p>
        </w:tc>
      </w:tr>
    </w:tbl>
    <w:p>
      <w:pPr>
        <w:spacing w:after="0"/>
      </w:pPr>
    </w:p>
    <w:tbl>
      <w:tblPr>
        <w:tblW w:type="auto" w:w="0"/>
        <w:tblLook w:firstColumn="1" w:firstRow="1" w:lastColumn="0" w:lastRow="0" w:noHBand="0" w:noVBand="1" w:val="04A0"/>
      </w:tblPr>
      <w:tblGrid>
        <w:gridCol w:w="10166"/>
      </w:tblGrid>
      <w:tr>
        <w:tc>
          <w:tcPr>
            <w:tcW w:type="dxa" w:w="10166"/>
            <w:shd w:fill="FFF2CC"/>
            <w:tcMar>
              <w:top w:w="125" w:type="dxa"/>
              <w:start w:w="145" w:type="dxa"/>
              <w:bottom w:w="125" w:type="dxa"/>
              <w:end w:w="145" w:type="dxa"/>
            </w:tcMar>
          </w:tcPr>
          <w:p>
            <w:pPr>
              <w:spacing w:after="0"/>
            </w:pPr>
            <w:r>
              <w:rPr>
                <w:b/>
                <w:color w:val="17365D"/>
              </w:rPr>
              <w:t xml:space="preserve">UX rule  </w:t>
            </w:r>
            <w:r>
              <w:t>The product must automatically adapt available KPIs and language to the channel capability tier. It should never show a shopper-level conversion funnel when only aggregate media data is available.</w:t>
            </w:r>
          </w:p>
        </w:tc>
      </w:tr>
    </w:tbl>
    <w:p>
      <w:pPr>
        <w:spacing w:after="0"/>
      </w:pPr>
    </w:p>
    <w:p>
      <w:r>
        <w:br w:type="page"/>
      </w:r>
    </w:p>
    <w:p>
      <w:pPr>
        <w:pStyle w:val="Heading1"/>
        <w:keepNext/>
      </w:pPr>
      <w:r>
        <w:t>6. Navigation and information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100" w:type="dxa"/>
              <w:start w:w="110" w:type="dxa"/>
              <w:bottom w:w="100" w:type="dxa"/>
              <w:end w:w="110" w:type="dxa"/>
            </w:tcMar>
            <w:vAlign w:val="center"/>
          </w:tcPr>
          <w:p>
            <w:pPr>
              <w:jc w:val="center"/>
            </w:pPr>
            <w:r>
              <w:rPr>
                <w:b/>
                <w:color w:val="FFFFFF"/>
                <w:sz w:val="15"/>
              </w:rPr>
              <w:t>Primary navigation</w:t>
            </w:r>
          </w:p>
        </w:tc>
        <w:tc>
          <w:tcPr>
            <w:tcW w:type="dxa" w:w="7560"/>
            <w:shd w:fill="17365D"/>
            <w:tcMar>
              <w:top w:w="100" w:type="dxa"/>
              <w:start w:w="110" w:type="dxa"/>
              <w:bottom w:w="100" w:type="dxa"/>
              <w:end w:w="110" w:type="dxa"/>
            </w:tcMar>
            <w:vAlign w:val="center"/>
          </w:tcPr>
          <w:p>
            <w:pPr>
              <w:jc w:val="center"/>
            </w:pPr>
            <w:r>
              <w:rPr>
                <w:b/>
                <w:color w:val="FFFFFF"/>
                <w:sz w:val="15"/>
              </w:rPr>
              <w:t>Purpose</w:t>
            </w:r>
          </w:p>
        </w:tc>
      </w:tr>
      <w:tr>
        <w:trPr>
          <w:cantSplit/>
        </w:trPr>
        <w:tc>
          <w:tcPr>
            <w:tcW w:type="dxa" w:w="2880"/>
            <w:tcMar>
              <w:top w:w="90" w:type="dxa"/>
              <w:start w:w="110" w:type="dxa"/>
              <w:bottom w:w="90" w:type="dxa"/>
              <w:end w:w="110" w:type="dxa"/>
            </w:tcMar>
            <w:vAlign w:val="center"/>
          </w:tcPr>
          <w:p>
            <w:pPr>
              <w:spacing w:after="0"/>
              <w:jc w:val="center"/>
            </w:pPr>
            <w:r>
              <w:rPr>
                <w:color w:val="243447"/>
                <w:sz w:val="15"/>
              </w:rPr>
              <w:t>Home</w:t>
            </w:r>
          </w:p>
        </w:tc>
        <w:tc>
          <w:tcPr>
            <w:tcW w:type="dxa" w:w="7560"/>
            <w:tcMar>
              <w:top w:w="90" w:type="dxa"/>
              <w:start w:w="110" w:type="dxa"/>
              <w:bottom w:w="90" w:type="dxa"/>
              <w:end w:w="110" w:type="dxa"/>
            </w:tcMar>
            <w:vAlign w:val="center"/>
          </w:tcPr>
          <w:p>
            <w:pPr>
              <w:spacing w:after="0"/>
            </w:pPr>
            <w:r>
              <w:rPr>
                <w:color w:val="243447"/>
                <w:sz w:val="15"/>
              </w:rPr>
              <w:t>Portfolio health, active campaigns, alerts and recent certified outcomes</w:t>
            </w:r>
          </w:p>
        </w:tc>
      </w:tr>
      <w:tr>
        <w:trPr>
          <w:cantSplit/>
        </w:trPr>
        <w:tc>
          <w:tcPr>
            <w:tcW w:type="dxa" w:w="2880"/>
            <w:tcMar>
              <w:top w:w="90" w:type="dxa"/>
              <w:start w:w="110" w:type="dxa"/>
              <w:bottom w:w="90" w:type="dxa"/>
              <w:end w:w="110" w:type="dxa"/>
            </w:tcMar>
            <w:vAlign w:val="center"/>
            <w:shd w:fill="F7F9FC"/>
          </w:tcPr>
          <w:p>
            <w:pPr>
              <w:spacing w:after="0"/>
              <w:jc w:val="center"/>
            </w:pPr>
            <w:r>
              <w:rPr>
                <w:color w:val="243447"/>
                <w:sz w:val="15"/>
              </w:rPr>
              <w:t>Plan</w:t>
            </w:r>
          </w:p>
        </w:tc>
        <w:tc>
          <w:tcPr>
            <w:tcW w:type="dxa" w:w="7560"/>
            <w:tcMar>
              <w:top w:w="90" w:type="dxa"/>
              <w:start w:w="110" w:type="dxa"/>
              <w:bottom w:w="90" w:type="dxa"/>
              <w:end w:w="110" w:type="dxa"/>
            </w:tcMar>
            <w:vAlign w:val="center"/>
            <w:shd w:fill="F7F9FC"/>
          </w:tcPr>
          <w:p>
            <w:pPr>
              <w:spacing w:after="0"/>
            </w:pPr>
            <w:r>
              <w:rPr>
                <w:color w:val="243447"/>
                <w:sz w:val="15"/>
              </w:rPr>
              <w:t>Opportunity, objectives, audience and measurement-plan creation</w:t>
            </w:r>
          </w:p>
        </w:tc>
      </w:tr>
      <w:tr>
        <w:trPr>
          <w:cantSplit/>
        </w:trPr>
        <w:tc>
          <w:tcPr>
            <w:tcW w:type="dxa" w:w="2880"/>
            <w:tcMar>
              <w:top w:w="90" w:type="dxa"/>
              <w:start w:w="110" w:type="dxa"/>
              <w:bottom w:w="90" w:type="dxa"/>
              <w:end w:w="110" w:type="dxa"/>
            </w:tcMar>
            <w:vAlign w:val="center"/>
          </w:tcPr>
          <w:p>
            <w:pPr>
              <w:spacing w:after="0"/>
              <w:jc w:val="center"/>
            </w:pPr>
            <w:r>
              <w:rPr>
                <w:color w:val="243447"/>
                <w:sz w:val="15"/>
              </w:rPr>
              <w:t>Campaigns</w:t>
            </w:r>
          </w:p>
        </w:tc>
        <w:tc>
          <w:tcPr>
            <w:tcW w:type="dxa" w:w="7560"/>
            <w:tcMar>
              <w:top w:w="90" w:type="dxa"/>
              <w:start w:w="110" w:type="dxa"/>
              <w:bottom w:w="90" w:type="dxa"/>
              <w:end w:w="110" w:type="dxa"/>
            </w:tcMar>
            <w:vAlign w:val="center"/>
          </w:tcPr>
          <w:p>
            <w:pPr>
              <w:spacing w:after="0"/>
            </w:pPr>
            <w:r>
              <w:rPr>
                <w:color w:val="243447"/>
                <w:sz w:val="15"/>
              </w:rPr>
              <w:t>Campaign registry, channel campaigns, readiness, delivery and status</w:t>
            </w:r>
          </w:p>
        </w:tc>
      </w:tr>
      <w:tr>
        <w:trPr>
          <w:cantSplit/>
        </w:trPr>
        <w:tc>
          <w:tcPr>
            <w:tcW w:type="dxa" w:w="2880"/>
            <w:tcMar>
              <w:top w:w="90" w:type="dxa"/>
              <w:start w:w="110" w:type="dxa"/>
              <w:bottom w:w="90" w:type="dxa"/>
              <w:end w:w="110" w:type="dxa"/>
            </w:tcMar>
            <w:vAlign w:val="center"/>
            <w:shd w:fill="F7F9FC"/>
          </w:tcPr>
          <w:p>
            <w:pPr>
              <w:spacing w:after="0"/>
              <w:jc w:val="center"/>
            </w:pPr>
            <w:r>
              <w:rPr>
                <w:color w:val="243447"/>
                <w:sz w:val="15"/>
              </w:rPr>
              <w:t>Measure</w:t>
            </w:r>
          </w:p>
        </w:tc>
        <w:tc>
          <w:tcPr>
            <w:tcW w:type="dxa" w:w="7560"/>
            <w:tcMar>
              <w:top w:w="90" w:type="dxa"/>
              <w:start w:w="110" w:type="dxa"/>
              <w:bottom w:w="90" w:type="dxa"/>
              <w:end w:w="110" w:type="dxa"/>
            </w:tcMar>
            <w:vAlign w:val="center"/>
            <w:shd w:fill="F7F9FC"/>
          </w:tcPr>
          <w:p>
            <w:pPr>
              <w:spacing w:after="0"/>
            </w:pPr>
            <w:r>
              <w:rPr>
                <w:color w:val="243447"/>
                <w:sz w:val="15"/>
              </w:rPr>
              <w:t>Attribution, incrementality, diagnostics, audience, creative, basket and market views</w:t>
            </w:r>
          </w:p>
        </w:tc>
      </w:tr>
      <w:tr>
        <w:trPr>
          <w:cantSplit/>
        </w:trPr>
        <w:tc>
          <w:tcPr>
            <w:tcW w:type="dxa" w:w="2880"/>
            <w:tcMar>
              <w:top w:w="90" w:type="dxa"/>
              <w:start w:w="110" w:type="dxa"/>
              <w:bottom w:w="90" w:type="dxa"/>
              <w:end w:w="110" w:type="dxa"/>
            </w:tcMar>
            <w:vAlign w:val="center"/>
          </w:tcPr>
          <w:p>
            <w:pPr>
              <w:spacing w:after="0"/>
              <w:jc w:val="center"/>
            </w:pPr>
            <w:r>
              <w:rPr>
                <w:color w:val="243447"/>
                <w:sz w:val="15"/>
              </w:rPr>
              <w:t>Reports</w:t>
            </w:r>
          </w:p>
        </w:tc>
        <w:tc>
          <w:tcPr>
            <w:tcW w:type="dxa" w:w="7560"/>
            <w:tcMar>
              <w:top w:w="90" w:type="dxa"/>
              <w:start w:w="110" w:type="dxa"/>
              <w:bottom w:w="90" w:type="dxa"/>
              <w:end w:w="110" w:type="dxa"/>
            </w:tcMar>
            <w:vAlign w:val="center"/>
          </w:tcPr>
          <w:p>
            <w:pPr>
              <w:spacing w:after="0"/>
            </w:pPr>
            <w:r>
              <w:rPr>
                <w:color w:val="243447"/>
                <w:sz w:val="15"/>
              </w:rPr>
              <w:t>Saved report packs, shared links, scheduled exports and APIs</w:t>
            </w:r>
          </w:p>
        </w:tc>
      </w:tr>
      <w:tr>
        <w:trPr>
          <w:cantSplit/>
        </w:trPr>
        <w:tc>
          <w:tcPr>
            <w:tcW w:type="dxa" w:w="2880"/>
            <w:tcMar>
              <w:top w:w="90" w:type="dxa"/>
              <w:start w:w="110" w:type="dxa"/>
              <w:bottom w:w="90" w:type="dxa"/>
              <w:end w:w="110" w:type="dxa"/>
            </w:tcMar>
            <w:vAlign w:val="center"/>
            <w:shd w:fill="F7F9FC"/>
          </w:tcPr>
          <w:p>
            <w:pPr>
              <w:spacing w:after="0"/>
              <w:jc w:val="center"/>
            </w:pPr>
            <w:r>
              <w:rPr>
                <w:color w:val="243447"/>
                <w:sz w:val="15"/>
              </w:rPr>
              <w:t>Experiments</w:t>
            </w:r>
          </w:p>
        </w:tc>
        <w:tc>
          <w:tcPr>
            <w:tcW w:type="dxa" w:w="7560"/>
            <w:tcMar>
              <w:top w:w="90" w:type="dxa"/>
              <w:start w:w="110" w:type="dxa"/>
              <w:bottom w:w="90" w:type="dxa"/>
              <w:end w:w="110" w:type="dxa"/>
            </w:tcMar>
            <w:vAlign w:val="center"/>
            <w:shd w:fill="F7F9FC"/>
          </w:tcPr>
          <w:p>
            <w:pPr>
              <w:spacing w:after="0"/>
            </w:pPr>
            <w:r>
              <w:rPr>
                <w:color w:val="243447"/>
                <w:sz w:val="15"/>
              </w:rPr>
              <w:t>Design, power, assignment, balance, leakage, approval and methodology version</w:t>
            </w:r>
          </w:p>
        </w:tc>
      </w:tr>
      <w:tr>
        <w:trPr>
          <w:cantSplit/>
        </w:trPr>
        <w:tc>
          <w:tcPr>
            <w:tcW w:type="dxa" w:w="2880"/>
            <w:tcMar>
              <w:top w:w="90" w:type="dxa"/>
              <w:start w:w="110" w:type="dxa"/>
              <w:bottom w:w="90" w:type="dxa"/>
              <w:end w:w="110" w:type="dxa"/>
            </w:tcMar>
            <w:vAlign w:val="center"/>
          </w:tcPr>
          <w:p>
            <w:pPr>
              <w:spacing w:after="0"/>
            </w:pPr>
            <w:r>
              <w:rPr>
                <w:color w:val="243447"/>
                <w:sz w:val="15"/>
              </w:rPr>
              <w:t>Data &amp; integrations</w:t>
            </w:r>
          </w:p>
        </w:tc>
        <w:tc>
          <w:tcPr>
            <w:tcW w:type="dxa" w:w="7560"/>
            <w:tcMar>
              <w:top w:w="90" w:type="dxa"/>
              <w:start w:w="110" w:type="dxa"/>
              <w:bottom w:w="90" w:type="dxa"/>
              <w:end w:w="110" w:type="dxa"/>
            </w:tcMar>
            <w:vAlign w:val="center"/>
          </w:tcPr>
          <w:p>
            <w:pPr>
              <w:spacing w:after="0"/>
            </w:pPr>
            <w:r>
              <w:rPr>
                <w:color w:val="243447"/>
                <w:sz w:val="15"/>
              </w:rPr>
              <w:t>Feeds, mappings, capabilities, failures, freshness and reconciliation</w:t>
            </w:r>
          </w:p>
        </w:tc>
      </w:tr>
      <w:tr>
        <w:trPr>
          <w:cantSplit/>
        </w:trPr>
        <w:tc>
          <w:tcPr>
            <w:tcW w:type="dxa" w:w="2880"/>
            <w:tcMar>
              <w:top w:w="90" w:type="dxa"/>
              <w:start w:w="110" w:type="dxa"/>
              <w:bottom w:w="90" w:type="dxa"/>
              <w:end w:w="110" w:type="dxa"/>
            </w:tcMar>
            <w:vAlign w:val="center"/>
            <w:shd w:fill="F7F9FC"/>
          </w:tcPr>
          <w:p>
            <w:pPr>
              <w:spacing w:after="0"/>
              <w:jc w:val="center"/>
            </w:pPr>
            <w:r>
              <w:rPr>
                <w:color w:val="243447"/>
                <w:sz w:val="15"/>
              </w:rPr>
              <w:t>Admin</w:t>
            </w:r>
          </w:p>
        </w:tc>
        <w:tc>
          <w:tcPr>
            <w:tcW w:type="dxa" w:w="7560"/>
            <w:tcMar>
              <w:top w:w="90" w:type="dxa"/>
              <w:start w:w="110" w:type="dxa"/>
              <w:bottom w:w="90" w:type="dxa"/>
              <w:end w:w="110" w:type="dxa"/>
            </w:tcMar>
            <w:vAlign w:val="center"/>
            <w:shd w:fill="F7F9FC"/>
          </w:tcPr>
          <w:p>
            <w:pPr>
              <w:spacing w:after="0"/>
            </w:pPr>
            <w:r>
              <w:rPr>
                <w:color w:val="243447"/>
                <w:sz w:val="15"/>
              </w:rPr>
              <w:t>Taxonomies, metric contracts, privacy, access, retention and certification rules</w:t>
            </w:r>
          </w:p>
        </w:tc>
      </w:tr>
    </w:tbl>
    <w:p>
      <w:pPr>
        <w:spacing w:after="0"/>
      </w:pPr>
    </w:p>
    <w:p>
      <w:pPr>
        <w:pStyle w:val="Heading3"/>
        <w:keepNext/>
      </w:pPr>
      <w:r>
        <w:t>Home page wireframe</w:t>
      </w:r>
    </w:p>
    <w:tbl>
      <w:tblPr>
        <w:tblStyle w:val="TableGrid"/>
        <w:tblW w:type="auto" w:w="0"/>
        <w:tblLook w:firstColumn="1" w:firstRow="1" w:lastColumn="0" w:lastRow="0" w:noHBand="0" w:noVBand="1" w:val="04A0"/>
      </w:tblPr>
      <w:tblGrid>
        <w:gridCol w:w="10166"/>
      </w:tblGrid>
      <w:tr>
        <w:tc>
          <w:tcPr>
            <w:tcW w:type="dxa" w:w="10166"/>
            <w:shd w:fill="F7F9FC"/>
            <w:tcMar>
              <w:top w:w="140" w:type="dxa"/>
              <w:start w:w="150" w:type="dxa"/>
              <w:bottom w:w="140" w:type="dxa"/>
              <w:end w:w="150" w:type="dxa"/>
            </w:tcMar>
          </w:tcPr>
          <w:p>
            <w:r>
              <w:rPr>
                <w:b/>
                <w:color w:val="2F75B5"/>
              </w:rPr>
              <w:t>Top bar</w:t>
            </w:r>
            <w:r>
              <w:br/>
              <w:t>Retailer | Market | Date | Data freshness | Global search | Alerts</w:t>
            </w:r>
          </w:p>
          <w:p>
            <w:r>
              <w:rPr>
                <w:b/>
                <w:color w:val="2F75B5"/>
              </w:rPr>
              <w:t>Portfolio scorecards</w:t>
            </w:r>
            <w:r>
              <w:br/>
              <w:t>Active campaigns | Measured spend | Attributed sales | Incremental sales | Certified campaigns | Data-quality exceptions</w:t>
            </w:r>
          </w:p>
          <w:p>
            <w:r>
              <w:rPr>
                <w:b/>
                <w:color w:val="2F75B5"/>
              </w:rPr>
              <w:t>Campaign status board</w:t>
            </w:r>
            <w:r>
              <w:br/>
              <w:t>Rows by advertiser initiative with readiness, delivery, measurement tier, latest result and owner</w:t>
            </w:r>
          </w:p>
          <w:p>
            <w:r>
              <w:rPr>
                <w:b/>
                <w:color w:val="2F75B5"/>
              </w:rPr>
              <w:t>Action center</w:t>
            </w:r>
            <w:r>
              <w:br/>
              <w:t>Missing creative-SKU mappings; low match; underpowered tests; delayed exposure feeds; reports awaiting approval</w:t>
            </w:r>
          </w:p>
          <w:p>
            <w:r>
              <w:rPr>
                <w:b/>
                <w:color w:val="2F75B5"/>
              </w:rPr>
              <w:t>Learning stream</w:t>
            </w:r>
            <w:r>
              <w:br/>
              <w:t>Top audience, channel and creative learnings; benchmark movement; recommended next actions</w:t>
            </w:r>
          </w:p>
        </w:tc>
      </w:tr>
    </w:tbl>
    <w:p>
      <w:pPr>
        <w:spacing w:after="0"/>
      </w:pPr>
    </w:p>
    <w:p>
      <w:r>
        <w:br w:type="page"/>
      </w:r>
    </w:p>
    <w:p>
      <w:pPr>
        <w:pStyle w:val="Heading1"/>
        <w:keepNext/>
      </w:pPr>
      <w:r>
        <w:t>7. End-to-end proposed flows</w:t>
      </w:r>
    </w:p>
    <w:p>
      <w:pPr>
        <w:pStyle w:val="Heading2"/>
        <w:keepNext/>
      </w:pPr>
      <w:r>
        <w:t>7.1 Flow A: Create a measurement-ready campaign</w:t>
      </w:r>
    </w:p>
    <w:p>
      <w:pPr>
        <w:pStyle w:val="ListNumber"/>
        <w:spacing w:after="50"/>
      </w:pPr>
      <w:r>
        <w:t>Create or select an advertiser initiative that can contain multiple channel campaigns.</w:t>
      </w:r>
    </w:p>
    <w:p>
      <w:pPr>
        <w:pStyle w:val="ListNumber"/>
        <w:spacing w:after="50"/>
      </w:pPr>
      <w:r>
        <w:t>Capture objective, success decision, budget, promoted products, campaign dates, markets and channels.</w:t>
      </w:r>
    </w:p>
    <w:p>
      <w:pPr>
        <w:pStyle w:val="ListNumber"/>
        <w:spacing w:after="50"/>
      </w:pPr>
      <w:r>
        <w:t>Connect or select a reusable audience version and show estimated built size.</w:t>
      </w:r>
    </w:p>
    <w:p>
      <w:pPr>
        <w:pStyle w:val="ListNumber"/>
        <w:spacing w:after="50"/>
      </w:pPr>
      <w:r>
        <w:t>Select a measurement tier based on channel capability and available identity/exposure data.</w:t>
      </w:r>
    </w:p>
    <w:p>
      <w:pPr>
        <w:pStyle w:val="ListNumber"/>
        <w:spacing w:after="50"/>
      </w:pPr>
      <w:r>
        <w:t>Configure attribution scope, product halo and time windows from an approved template.</w:t>
      </w:r>
    </w:p>
    <w:p>
      <w:pPr>
        <w:pStyle w:val="ListNumber"/>
        <w:spacing w:after="50"/>
      </w:pPr>
      <w:r>
        <w:t>Choose experiment design if incrementality is required; run power and feasibility checks.</w:t>
      </w:r>
    </w:p>
    <w:p>
      <w:pPr>
        <w:pStyle w:val="ListNumber"/>
        <w:spacing w:after="50"/>
      </w:pPr>
      <w:r>
        <w:t>Validate required mappings and data feeds through a readiness checklist.</w:t>
      </w:r>
    </w:p>
    <w:p>
      <w:pPr>
        <w:pStyle w:val="ListNumber"/>
        <w:spacing w:after="50"/>
      </w:pPr>
      <w:r>
        <w:t>Approve and lock the measurement plan before launch; preserve a versioned audit record.</w:t>
      </w:r>
    </w:p>
    <w:p>
      <w:pPr>
        <w:pStyle w:val="Heading2"/>
        <w:keepNext/>
      </w:pPr>
      <w:r>
        <w:t>7.2 Flow B: Monitor campaign and data readiness</w:t>
      </w:r>
    </w:p>
    <w:p>
      <w:pPr>
        <w:pStyle w:val="ListNumber"/>
        <w:spacing w:after="50"/>
      </w:pPr>
      <w:r>
        <w:t>Receive audience export acknowledgement, match and rejection outcomes.</w:t>
      </w:r>
    </w:p>
    <w:p>
      <w:pPr>
        <w:pStyle w:val="ListNumber"/>
        <w:spacing w:after="50"/>
      </w:pPr>
      <w:r>
        <w:t>Display the population funnel and compare actual match against historical expectation.</w:t>
      </w:r>
    </w:p>
    <w:p>
      <w:pPr>
        <w:pStyle w:val="ListNumber"/>
        <w:spacing w:after="50"/>
      </w:pPr>
      <w:r>
        <w:t>Ingest campaign, media, exposure and cost data; validate completeness and freshness.</w:t>
      </w:r>
    </w:p>
    <w:p>
      <w:pPr>
        <w:pStyle w:val="ListNumber"/>
        <w:spacing w:after="50"/>
      </w:pPr>
      <w:r>
        <w:t>Flag missing IDs, late files, unexpected duplication, unmapped creatives and invalid product dates.</w:t>
      </w:r>
    </w:p>
    <w:p>
      <w:pPr>
        <w:pStyle w:val="ListNumber"/>
        <w:spacing w:after="50"/>
      </w:pPr>
      <w:r>
        <w:t>Provide early delivery/conversion reads only where data latency and method permit.</w:t>
      </w:r>
    </w:p>
    <w:p>
      <w:pPr>
        <w:pStyle w:val="ListNumber"/>
        <w:spacing w:after="50"/>
      </w:pPr>
      <w:r>
        <w:t>Recommend operational fixes, but clearly separate delivery optimization from causal conclusions.</w:t>
      </w:r>
    </w:p>
    <w:p>
      <w:pPr>
        <w:pStyle w:val="Heading2"/>
        <w:keepNext/>
      </w:pPr>
      <w:r>
        <w:t>7.3 Flow C: Produce and approve closed-loop results</w:t>
      </w:r>
    </w:p>
    <w:p>
      <w:pPr>
        <w:pStyle w:val="ListNumber"/>
        <w:spacing w:after="50"/>
      </w:pPr>
      <w:r>
        <w:t>Close or freeze the analysis window after transaction maturity.</w:t>
      </w:r>
    </w:p>
    <w:p>
      <w:pPr>
        <w:pStyle w:val="ListNumber"/>
        <w:spacing w:after="50"/>
      </w:pPr>
      <w:r>
        <w:t>Run attribution using the locked product scope, exposure rule and window.</w:t>
      </w:r>
    </w:p>
    <w:p>
      <w:pPr>
        <w:pStyle w:val="ListNumber"/>
        <w:spacing w:after="50"/>
      </w:pPr>
      <w:r>
        <w:t>Run incrementality only if experiment and sample quality gates pass.</w:t>
      </w:r>
    </w:p>
    <w:p>
      <w:pPr>
        <w:pStyle w:val="ListNumber"/>
        <w:spacing w:after="50"/>
      </w:pPr>
      <w:r>
        <w:t>Review executive results, delivery diagnostics, audience, creative, basket and time-based views.</w:t>
      </w:r>
    </w:p>
    <w:p>
      <w:pPr>
        <w:pStyle w:val="ListNumber"/>
        <w:spacing w:after="50"/>
      </w:pPr>
      <w:r>
        <w:t>Compare reported platform metrics with NIQ-normalized outcomes and explain differences.</w:t>
      </w:r>
    </w:p>
    <w:p>
      <w:pPr>
        <w:pStyle w:val="ListNumber"/>
        <w:spacing w:after="50"/>
      </w:pPr>
      <w:r>
        <w:t>Approve/certify the report; publish retailer and advertiser views with appropriate detail.</w:t>
      </w:r>
    </w:p>
    <w:p>
      <w:pPr>
        <w:pStyle w:val="ListNumber"/>
        <w:spacing w:after="50"/>
      </w:pPr>
      <w:r>
        <w:t>Capture reusable learnings and recommended changes for the next plan.</w:t>
      </w:r>
    </w:p>
    <w:p>
      <w:pPr>
        <w:pStyle w:val="Heading2"/>
        <w:keepNext/>
      </w:pPr>
      <w:r>
        <w:t>7.4 Flow D: Analyst investigation</w:t>
      </w:r>
    </w:p>
    <w:p>
      <w:pPr>
        <w:pStyle w:val="ListNumber"/>
        <w:spacing w:after="50"/>
      </w:pPr>
      <w:r>
        <w:t>Open any KPI and inspect numerator, denominator, universe, period and method version.</w:t>
      </w:r>
    </w:p>
    <w:p>
      <w:pPr>
        <w:pStyle w:val="ListNumber"/>
        <w:spacing w:after="50"/>
      </w:pPr>
      <w:r>
        <w:t>Drill from initiative to channel campaign, ad group, creative, audience and promoted SKU.</w:t>
      </w:r>
    </w:p>
    <w:p>
      <w:pPr>
        <w:pStyle w:val="ListNumber"/>
        <w:spacing w:after="50"/>
      </w:pPr>
      <w:r>
        <w:t>Change approved analytical cuts without changing the locked primary result.</w:t>
      </w:r>
    </w:p>
    <w:p>
      <w:pPr>
        <w:pStyle w:val="ListNumber"/>
        <w:spacing w:after="50"/>
      </w:pPr>
      <w:r>
        <w:t>Inspect control balance, leakage, match attrition and sensitivity.</w:t>
      </w:r>
    </w:p>
    <w:p>
      <w:pPr>
        <w:pStyle w:val="ListNumber"/>
        <w:spacing w:after="50"/>
      </w:pPr>
      <w:r>
        <w:t>Save an investigation as a reusable view, annotate it and attach it to the final report.</w:t>
      </w:r>
    </w:p>
    <w:p>
      <w:r>
        <w:br w:type="page"/>
      </w:r>
    </w:p>
    <w:p>
      <w:pPr>
        <w:pStyle w:val="Heading1"/>
        <w:keepNext/>
      </w:pPr>
      <w:r>
        <w:t>8. Screen-level product experience</w:t>
      </w:r>
    </w:p>
    <w:p>
      <w:pPr>
        <w:pStyle w:val="Heading3"/>
        <w:keepNext/>
      </w:pPr>
      <w:r>
        <w:t>Screen 1: Campaign setup wizard</w:t>
      </w:r>
    </w:p>
    <w:tbl>
      <w:tblPr>
        <w:tblStyle w:val="TableGrid"/>
        <w:tblW w:type="auto" w:w="0"/>
        <w:tblLook w:firstColumn="1" w:firstRow="1" w:lastColumn="0" w:lastRow="0" w:noHBand="0" w:noVBand="1" w:val="04A0"/>
      </w:tblPr>
      <w:tblGrid>
        <w:gridCol w:w="10166"/>
      </w:tblGrid>
      <w:tr>
        <w:tc>
          <w:tcPr>
            <w:tcW w:type="dxa" w:w="10166"/>
            <w:shd w:fill="F7F9FC"/>
            <w:tcMar>
              <w:top w:w="140" w:type="dxa"/>
              <w:start w:w="150" w:type="dxa"/>
              <w:bottom w:w="140" w:type="dxa"/>
              <w:end w:w="150" w:type="dxa"/>
            </w:tcMar>
          </w:tcPr>
          <w:p>
            <w:r>
              <w:rPr>
                <w:b/>
                <w:color w:val="2F75B5"/>
              </w:rPr>
              <w:t>Step rail</w:t>
            </w:r>
            <w:r>
              <w:br/>
              <w:t>Business objective → Products &amp; halo → Audience → Channels → Measurement method → Windows → Review</w:t>
            </w:r>
          </w:p>
          <w:p>
            <w:r>
              <w:rPr>
                <w:b/>
                <w:color w:val="2F75B5"/>
              </w:rPr>
              <w:t>Main panel</w:t>
            </w:r>
            <w:r>
              <w:br/>
              <w:t>Context-specific fields with defaults from retailer and channel templates</w:t>
            </w:r>
          </w:p>
          <w:p>
            <w:r>
              <w:rPr>
                <w:b/>
                <w:color w:val="2F75B5"/>
              </w:rPr>
              <w:t>Insight rail</w:t>
            </w:r>
            <w:r>
              <w:br/>
              <w:t>Expected match, minimum detectable effect, sample warning, required data and historical benchmark</w:t>
            </w:r>
          </w:p>
          <w:p>
            <w:r>
              <w:rPr>
                <w:b/>
                <w:color w:val="2F75B5"/>
              </w:rPr>
              <w:t>Completion state</w:t>
            </w:r>
            <w:r>
              <w:br/>
              <w:t>Green: ready; Amber: result will be directional; Red: cannot claim incrementality</w:t>
            </w:r>
          </w:p>
        </w:tc>
      </w:tr>
    </w:tbl>
    <w:p>
      <w:pPr>
        <w:spacing w:after="0"/>
      </w:pPr>
    </w:p>
    <w:p>
      <w:pPr>
        <w:pStyle w:val="Heading3"/>
        <w:keepNext/>
      </w:pPr>
      <w:r>
        <w:t>Screen 2: Campaign workspace</w:t>
      </w:r>
    </w:p>
    <w:tbl>
      <w:tblPr>
        <w:tblStyle w:val="TableGrid"/>
        <w:tblW w:type="auto" w:w="0"/>
        <w:tblLook w:firstColumn="1" w:firstRow="1" w:lastColumn="0" w:lastRow="0" w:noHBand="0" w:noVBand="1" w:val="04A0"/>
      </w:tblPr>
      <w:tblGrid>
        <w:gridCol w:w="10166"/>
      </w:tblGrid>
      <w:tr>
        <w:tc>
          <w:tcPr>
            <w:tcW w:type="dxa" w:w="10166"/>
            <w:shd w:fill="F7F9FC"/>
            <w:tcMar>
              <w:top w:w="140" w:type="dxa"/>
              <w:start w:w="150" w:type="dxa"/>
              <w:bottom w:w="140" w:type="dxa"/>
              <w:end w:w="150" w:type="dxa"/>
            </w:tcMar>
          </w:tcPr>
          <w:p>
            <w:r>
              <w:rPr>
                <w:b/>
                <w:color w:val="2F75B5"/>
              </w:rPr>
              <w:t>Header</w:t>
            </w:r>
            <w:r>
              <w:br/>
              <w:t>Initiative name, advertiser, owner, dates, status, measurement tier and certification status</w:t>
            </w:r>
          </w:p>
          <w:p>
            <w:r>
              <w:rPr>
                <w:b/>
                <w:color w:val="2F75B5"/>
              </w:rPr>
              <w:t>Tabs</w:t>
            </w:r>
            <w:r>
              <w:br/>
              <w:t>Overview | Delivery | Attribution | Incrementality | Audience | Creative | Basket | Market | Data quality</w:t>
            </w:r>
          </w:p>
          <w:p>
            <w:r>
              <w:rPr>
                <w:b/>
                <w:color w:val="2F75B5"/>
              </w:rPr>
              <w:t>Persistent context</w:t>
            </w:r>
            <w:r>
              <w:br/>
              <w:t>Budget, products, audience version, channels, window, method and data freshness</w:t>
            </w:r>
          </w:p>
          <w:p>
            <w:r>
              <w:rPr>
                <w:b/>
                <w:color w:val="2F75B5"/>
              </w:rPr>
              <w:t>Action panel</w:t>
            </w:r>
            <w:r>
              <w:br/>
              <w:t>Issues requiring mapping, data, sampling or approval action</w:t>
            </w:r>
          </w:p>
        </w:tc>
      </w:tr>
    </w:tbl>
    <w:p>
      <w:pPr>
        <w:spacing w:after="0"/>
      </w:pPr>
    </w:p>
    <w:p>
      <w:pPr>
        <w:pStyle w:val="Heading3"/>
        <w:keepNext/>
      </w:pPr>
      <w:r>
        <w:t>Screen 3: Executive campaign story</w:t>
      </w:r>
    </w:p>
    <w:tbl>
      <w:tblPr>
        <w:tblStyle w:val="TableGrid"/>
        <w:tblW w:type="auto" w:w="0"/>
        <w:tblLook w:firstColumn="1" w:firstRow="1" w:lastColumn="0" w:lastRow="0" w:noHBand="0" w:noVBand="1" w:val="04A0"/>
      </w:tblPr>
      <w:tblGrid>
        <w:gridCol w:w="10166"/>
      </w:tblGrid>
      <w:tr>
        <w:tc>
          <w:tcPr>
            <w:tcW w:type="dxa" w:w="10166"/>
            <w:shd w:fill="F7F9FC"/>
            <w:tcMar>
              <w:top w:w="140" w:type="dxa"/>
              <w:start w:w="150" w:type="dxa"/>
              <w:bottom w:w="140" w:type="dxa"/>
              <w:end w:w="150" w:type="dxa"/>
            </w:tcMar>
          </w:tcPr>
          <w:p>
            <w:r>
              <w:rPr>
                <w:b/>
                <w:color w:val="2F75B5"/>
              </w:rPr>
              <w:t>Hero conclusion</w:t>
            </w:r>
            <w:r>
              <w:br/>
              <w:t>One plain-language conclusion with confidence/quality badge</w:t>
            </w:r>
          </w:p>
          <w:p>
            <w:r>
              <w:rPr>
                <w:b/>
                <w:color w:val="2F75B5"/>
              </w:rPr>
              <w:t>Outcome row</w:t>
            </w:r>
            <w:r>
              <w:br/>
              <w:t>Incremental sales | iROAS | New buyers | Attributed sales | ROAS | Reach</w:t>
            </w:r>
          </w:p>
          <w:p>
            <w:r>
              <w:rPr>
                <w:b/>
                <w:color w:val="2F75B5"/>
              </w:rPr>
              <w:t>Drivers</w:t>
            </w:r>
            <w:r>
              <w:br/>
              <w:t>Audience, channel, creative and product contributions</w:t>
            </w:r>
          </w:p>
          <w:p>
            <w:r>
              <w:rPr>
                <w:b/>
                <w:color w:val="2F75B5"/>
              </w:rPr>
              <w:t>Decision</w:t>
            </w:r>
            <w:r>
              <w:br/>
              <w:t>What to repeat, stop, test and investigate</w:t>
            </w:r>
          </w:p>
          <w:p>
            <w:r>
              <w:rPr>
                <w:b/>
                <w:color w:val="2F75B5"/>
              </w:rPr>
              <w:t>Method footer</w:t>
            </w:r>
            <w:r>
              <w:br/>
              <w:t>Attribution scope, control type, period, measured population and limitations</w:t>
            </w:r>
          </w:p>
        </w:tc>
      </w:tr>
    </w:tbl>
    <w:p>
      <w:pPr>
        <w:spacing w:after="0"/>
      </w:pPr>
    </w:p>
    <w:p>
      <w:pPr>
        <w:pStyle w:val="Heading3"/>
        <w:keepNext/>
      </w:pPr>
      <w:r>
        <w:t>Screen 4: Analyst measurement explorer</w:t>
      </w:r>
    </w:p>
    <w:tbl>
      <w:tblPr>
        <w:tblStyle w:val="TableGrid"/>
        <w:tblW w:type="auto" w:w="0"/>
        <w:tblLook w:firstColumn="1" w:firstRow="1" w:lastColumn="0" w:lastRow="0" w:noHBand="0" w:noVBand="1" w:val="04A0"/>
      </w:tblPr>
      <w:tblGrid>
        <w:gridCol w:w="10166"/>
      </w:tblGrid>
      <w:tr>
        <w:tc>
          <w:tcPr>
            <w:tcW w:type="dxa" w:w="10166"/>
            <w:shd w:fill="F7F9FC"/>
            <w:tcMar>
              <w:top w:w="140" w:type="dxa"/>
              <w:start w:w="150" w:type="dxa"/>
              <w:bottom w:w="140" w:type="dxa"/>
              <w:end w:w="150" w:type="dxa"/>
            </w:tcMar>
          </w:tcPr>
          <w:p>
            <w:r>
              <w:rPr>
                <w:b/>
                <w:color w:val="2F75B5"/>
              </w:rPr>
              <w:t>Filter bar</w:t>
            </w:r>
            <w:r>
              <w:br/>
              <w:t>Initiative, campaign, channel, placement, audience, creative, product, store/banner, period</w:t>
            </w:r>
          </w:p>
          <w:p>
            <w:r>
              <w:rPr>
                <w:b/>
                <w:color w:val="2F75B5"/>
              </w:rPr>
              <w:t>Metric selector</w:t>
            </w:r>
            <w:r>
              <w:br/>
              <w:t>Reported | Normalized | Attributed | Incremental</w:t>
            </w:r>
          </w:p>
          <w:p>
            <w:r>
              <w:rPr>
                <w:b/>
                <w:color w:val="2F75B5"/>
              </w:rPr>
              <w:t>Visualization</w:t>
            </w:r>
            <w:r>
              <w:br/>
              <w:t>Trend/funnel/decomposition/cohort/comparison selected by question</w:t>
            </w:r>
          </w:p>
          <w:p>
            <w:r>
              <w:rPr>
                <w:b/>
                <w:color w:val="2F75B5"/>
              </w:rPr>
              <w:t>Evidence drawer</w:t>
            </w:r>
            <w:r>
              <w:br/>
              <w:t>Formula, numerator, denominator, source fields, model/version, exclusions and data-quality checks</w:t>
            </w:r>
          </w:p>
        </w:tc>
      </w:tr>
    </w:tbl>
    <w:p>
      <w:pPr>
        <w:spacing w:after="0"/>
      </w:pPr>
    </w:p>
    <w:p>
      <w:r>
        <w:br w:type="page"/>
      </w:r>
    </w:p>
    <w:p>
      <w:pPr>
        <w:pStyle w:val="Heading1"/>
        <w:keepNext/>
      </w:pPr>
      <w:r>
        <w:t>9. Proposed KPI framework</w:t>
      </w:r>
    </w:p>
    <w:p>
      <w:r>
        <w:t>The tool should separate four metric classes. Mixing them creates the exact trust problem described in the research.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7365D"/>
            <w:tcMar>
              <w:top w:w="100" w:type="dxa"/>
              <w:start w:w="110" w:type="dxa"/>
              <w:bottom w:w="100" w:type="dxa"/>
              <w:end w:w="110" w:type="dxa"/>
            </w:tcMar>
            <w:vAlign w:val="center"/>
          </w:tcPr>
          <w:p>
            <w:pPr>
              <w:jc w:val="center"/>
            </w:pPr>
            <w:r>
              <w:rPr>
                <w:b/>
                <w:color w:val="FFFFFF"/>
                <w:sz w:val="15"/>
              </w:rPr>
              <w:t>Class</w:t>
            </w:r>
          </w:p>
        </w:tc>
        <w:tc>
          <w:tcPr>
            <w:tcW w:type="dxa" w:w="3744"/>
            <w:shd w:fill="17365D"/>
            <w:tcMar>
              <w:top w:w="100" w:type="dxa"/>
              <w:start w:w="110" w:type="dxa"/>
              <w:bottom w:w="100" w:type="dxa"/>
              <w:end w:w="110" w:type="dxa"/>
            </w:tcMar>
            <w:vAlign w:val="center"/>
          </w:tcPr>
          <w:p>
            <w:pPr>
              <w:jc w:val="center"/>
            </w:pPr>
            <w:r>
              <w:rPr>
                <w:b/>
                <w:color w:val="FFFFFF"/>
                <w:sz w:val="15"/>
              </w:rPr>
              <w:t>Meaning</w:t>
            </w:r>
          </w:p>
        </w:tc>
        <w:tc>
          <w:tcPr>
            <w:tcW w:type="dxa" w:w="4968"/>
            <w:shd w:fill="17365D"/>
            <w:tcMar>
              <w:top w:w="100" w:type="dxa"/>
              <w:start w:w="110" w:type="dxa"/>
              <w:bottom w:w="100" w:type="dxa"/>
              <w:end w:w="110" w:type="dxa"/>
            </w:tcMar>
            <w:vAlign w:val="center"/>
          </w:tcPr>
          <w:p>
            <w:pPr>
              <w:jc w:val="center"/>
            </w:pPr>
            <w:r>
              <w:rPr>
                <w:b/>
                <w:color w:val="FFFFFF"/>
                <w:sz w:val="15"/>
              </w:rPr>
              <w:t>Examples</w:t>
            </w:r>
          </w:p>
        </w:tc>
      </w:tr>
      <w:tr>
        <w:trPr>
          <w:cantSplit/>
        </w:trPr>
        <w:tc>
          <w:tcPr>
            <w:tcW w:type="dxa" w:w="2088"/>
            <w:tcMar>
              <w:top w:w="90" w:type="dxa"/>
              <w:start w:w="110" w:type="dxa"/>
              <w:bottom w:w="90" w:type="dxa"/>
              <w:end w:w="110" w:type="dxa"/>
            </w:tcMar>
            <w:vAlign w:val="center"/>
          </w:tcPr>
          <w:p>
            <w:pPr>
              <w:spacing w:after="0"/>
              <w:jc w:val="center"/>
            </w:pPr>
            <w:r>
              <w:rPr>
                <w:color w:val="243447"/>
                <w:sz w:val="15"/>
              </w:rPr>
              <w:t>Media delivery</w:t>
            </w:r>
          </w:p>
        </w:tc>
        <w:tc>
          <w:tcPr>
            <w:tcW w:type="dxa" w:w="3744"/>
            <w:tcMar>
              <w:top w:w="90" w:type="dxa"/>
              <w:start w:w="110" w:type="dxa"/>
              <w:bottom w:w="90" w:type="dxa"/>
              <w:end w:w="110" w:type="dxa"/>
            </w:tcMar>
            <w:vAlign w:val="center"/>
          </w:tcPr>
          <w:p>
            <w:pPr>
              <w:spacing w:after="0"/>
            </w:pPr>
            <w:r>
              <w:rPr>
                <w:color w:val="243447"/>
                <w:sz w:val="15"/>
              </w:rPr>
              <w:t>What the media platform delivered</w:t>
            </w:r>
          </w:p>
        </w:tc>
        <w:tc>
          <w:tcPr>
            <w:tcW w:type="dxa" w:w="4968"/>
            <w:tcMar>
              <w:top w:w="90" w:type="dxa"/>
              <w:start w:w="110" w:type="dxa"/>
              <w:bottom w:w="90" w:type="dxa"/>
              <w:end w:w="110" w:type="dxa"/>
            </w:tcMar>
            <w:vAlign w:val="center"/>
          </w:tcPr>
          <w:p>
            <w:pPr>
              <w:spacing w:after="0"/>
            </w:pPr>
            <w:r>
              <w:rPr>
                <w:color w:val="243447"/>
                <w:sz w:val="15"/>
              </w:rPr>
              <w:t>Spend, impressions, clicks, reach, frequency, CPM, CPC, CTR, viewability</w:t>
            </w:r>
          </w:p>
        </w:tc>
      </w:tr>
      <w:tr>
        <w:trPr>
          <w:cantSplit/>
        </w:trPr>
        <w:tc>
          <w:tcPr>
            <w:tcW w:type="dxa" w:w="2088"/>
            <w:tcMar>
              <w:top w:w="90" w:type="dxa"/>
              <w:start w:w="110" w:type="dxa"/>
              <w:bottom w:w="90" w:type="dxa"/>
              <w:end w:w="110" w:type="dxa"/>
            </w:tcMar>
            <w:vAlign w:val="center"/>
            <w:shd w:fill="F7F9FC"/>
          </w:tcPr>
          <w:p>
            <w:pPr>
              <w:spacing w:after="0"/>
            </w:pPr>
            <w:r>
              <w:rPr>
                <w:color w:val="243447"/>
                <w:sz w:val="15"/>
              </w:rPr>
              <w:t>Closed-loop attribution</w:t>
            </w:r>
          </w:p>
        </w:tc>
        <w:tc>
          <w:tcPr>
            <w:tcW w:type="dxa" w:w="3744"/>
            <w:tcMar>
              <w:top w:w="90" w:type="dxa"/>
              <w:start w:w="110" w:type="dxa"/>
              <w:bottom w:w="90" w:type="dxa"/>
              <w:end w:w="110" w:type="dxa"/>
            </w:tcMar>
            <w:vAlign w:val="center"/>
            <w:shd w:fill="F7F9FC"/>
          </w:tcPr>
          <w:p>
            <w:pPr>
              <w:spacing w:after="0"/>
            </w:pPr>
            <w:r>
              <w:rPr>
                <w:color w:val="243447"/>
                <w:sz w:val="15"/>
              </w:rPr>
              <w:t>Observed purchases associated with media under a rule</w:t>
            </w:r>
          </w:p>
        </w:tc>
        <w:tc>
          <w:tcPr>
            <w:tcW w:type="dxa" w:w="4968"/>
            <w:tcMar>
              <w:top w:w="90" w:type="dxa"/>
              <w:start w:w="110" w:type="dxa"/>
              <w:bottom w:w="90" w:type="dxa"/>
              <w:end w:w="110" w:type="dxa"/>
            </w:tcMar>
            <w:vAlign w:val="center"/>
            <w:shd w:fill="F7F9FC"/>
          </w:tcPr>
          <w:p>
            <w:pPr>
              <w:spacing w:after="0"/>
            </w:pPr>
            <w:r>
              <w:rPr>
                <w:color w:val="243447"/>
                <w:sz w:val="15"/>
              </w:rPr>
              <w:t>Attributed buyers/sales/units/trips, conversion rate, ROAS, new-to-brand, halo sales</w:t>
            </w:r>
          </w:p>
        </w:tc>
      </w:tr>
      <w:tr>
        <w:trPr>
          <w:cantSplit/>
        </w:trPr>
        <w:tc>
          <w:tcPr>
            <w:tcW w:type="dxa" w:w="2088"/>
            <w:tcMar>
              <w:top w:w="90" w:type="dxa"/>
              <w:start w:w="110" w:type="dxa"/>
              <w:bottom w:w="90" w:type="dxa"/>
              <w:end w:w="110" w:type="dxa"/>
            </w:tcMar>
            <w:vAlign w:val="center"/>
          </w:tcPr>
          <w:p>
            <w:pPr>
              <w:spacing w:after="0"/>
            </w:pPr>
            <w:r>
              <w:rPr>
                <w:color w:val="243447"/>
                <w:sz w:val="15"/>
              </w:rPr>
              <w:t>Causal incrementality</w:t>
            </w:r>
          </w:p>
        </w:tc>
        <w:tc>
          <w:tcPr>
            <w:tcW w:type="dxa" w:w="3744"/>
            <w:tcMar>
              <w:top w:w="90" w:type="dxa"/>
              <w:start w:w="110" w:type="dxa"/>
              <w:bottom w:w="90" w:type="dxa"/>
              <w:end w:w="110" w:type="dxa"/>
            </w:tcMar>
            <w:vAlign w:val="center"/>
          </w:tcPr>
          <w:p>
            <w:pPr>
              <w:spacing w:after="0"/>
            </w:pPr>
            <w:r>
              <w:rPr>
                <w:color w:val="243447"/>
                <w:sz w:val="15"/>
              </w:rPr>
              <w:t>Estimated outcomes caused by treatment</w:t>
            </w:r>
          </w:p>
        </w:tc>
        <w:tc>
          <w:tcPr>
            <w:tcW w:type="dxa" w:w="4968"/>
            <w:tcMar>
              <w:top w:w="90" w:type="dxa"/>
              <w:start w:w="110" w:type="dxa"/>
              <w:bottom w:w="90" w:type="dxa"/>
              <w:end w:w="110" w:type="dxa"/>
            </w:tcMar>
            <w:vAlign w:val="center"/>
          </w:tcPr>
          <w:p>
            <w:pPr>
              <w:spacing w:after="0"/>
            </w:pPr>
            <w:r>
              <w:rPr>
                <w:color w:val="243447"/>
                <w:sz w:val="15"/>
              </w:rPr>
              <w:t>Incremental buyers/sales/units/trips, lift %, iROAS, cost per incremental buyer</w:t>
            </w:r>
          </w:p>
        </w:tc>
      </w:tr>
      <w:tr>
        <w:trPr>
          <w:cantSplit/>
        </w:trPr>
        <w:tc>
          <w:tcPr>
            <w:tcW w:type="dxa" w:w="2088"/>
            <w:tcMar>
              <w:top w:w="90" w:type="dxa"/>
              <w:start w:w="110" w:type="dxa"/>
              <w:bottom w:w="90" w:type="dxa"/>
              <w:end w:w="110" w:type="dxa"/>
            </w:tcMar>
            <w:vAlign w:val="center"/>
            <w:shd w:fill="F7F9FC"/>
          </w:tcPr>
          <w:p>
            <w:pPr>
              <w:spacing w:after="0"/>
            </w:pPr>
            <w:r>
              <w:rPr>
                <w:color w:val="243447"/>
                <w:sz w:val="15"/>
              </w:rPr>
              <w:t>Strategic/diagnostic</w:t>
            </w:r>
          </w:p>
        </w:tc>
        <w:tc>
          <w:tcPr>
            <w:tcW w:type="dxa" w:w="3744"/>
            <w:tcMar>
              <w:top w:w="90" w:type="dxa"/>
              <w:start w:w="110" w:type="dxa"/>
              <w:bottom w:w="90" w:type="dxa"/>
              <w:end w:w="110" w:type="dxa"/>
            </w:tcMar>
            <w:vAlign w:val="center"/>
            <w:shd w:fill="F7F9FC"/>
          </w:tcPr>
          <w:p>
            <w:pPr>
              <w:spacing w:after="0"/>
            </w:pPr>
            <w:r>
              <w:rPr>
                <w:color w:val="243447"/>
                <w:sz w:val="15"/>
              </w:rPr>
              <w:t>Why performance occurred and what to do</w:t>
            </w:r>
          </w:p>
        </w:tc>
        <w:tc>
          <w:tcPr>
            <w:tcW w:type="dxa" w:w="4968"/>
            <w:tcMar>
              <w:top w:w="90" w:type="dxa"/>
              <w:start w:w="110" w:type="dxa"/>
              <w:bottom w:w="90" w:type="dxa"/>
              <w:end w:w="110" w:type="dxa"/>
            </w:tcMar>
            <w:vAlign w:val="center"/>
            <w:shd w:fill="F7F9FC"/>
          </w:tcPr>
          <w:p>
            <w:pPr>
              <w:spacing w:after="0"/>
            </w:pPr>
            <w:r>
              <w:rPr>
                <w:color w:val="243447"/>
                <w:sz w:val="15"/>
              </w:rPr>
              <w:t>Match, delivery, leakage, balance, product availability, basket, repeat, rest-of-market, benchmarks</w:t>
            </w:r>
          </w:p>
        </w:tc>
      </w:tr>
    </w:tbl>
    <w:p>
      <w:pPr>
        <w:spacing w:after="0"/>
      </w:pPr>
    </w:p>
    <w:p>
      <w:pPr>
        <w:pStyle w:val="Heading2"/>
        <w:keepNext/>
      </w:pPr>
      <w:r>
        <w:t>9.1 Media and delivery KPIs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tcMar>
              <w:top w:w="100" w:type="dxa"/>
              <w:start w:w="110" w:type="dxa"/>
              <w:bottom w:w="100" w:type="dxa"/>
              <w:end w:w="110" w:type="dxa"/>
            </w:tcMar>
            <w:vAlign w:val="center"/>
          </w:tcPr>
          <w:p>
            <w:pPr>
              <w:jc w:val="center"/>
            </w:pPr>
            <w:r>
              <w:rPr>
                <w:b/>
                <w:color w:val="FFFFFF"/>
                <w:sz w:val="14"/>
              </w:rPr>
              <w:t>KPI</w:t>
            </w:r>
          </w:p>
        </w:tc>
        <w:tc>
          <w:tcPr>
            <w:tcW w:type="dxa" w:w="4824"/>
            <w:shd w:fill="17365D"/>
            <w:tcMar>
              <w:top w:w="100" w:type="dxa"/>
              <w:start w:w="110" w:type="dxa"/>
              <w:bottom w:w="100" w:type="dxa"/>
              <w:end w:w="110" w:type="dxa"/>
            </w:tcMar>
            <w:vAlign w:val="center"/>
          </w:tcPr>
          <w:p>
            <w:pPr>
              <w:jc w:val="center"/>
            </w:pPr>
            <w:r>
              <w:rPr>
                <w:b/>
                <w:color w:val="FFFFFF"/>
                <w:sz w:val="14"/>
              </w:rPr>
              <w:t>Definition / denominator</w:t>
            </w:r>
          </w:p>
        </w:tc>
        <w:tc>
          <w:tcPr>
            <w:tcW w:type="dxa" w:w="4176"/>
            <w:shd w:fill="17365D"/>
            <w:tcMar>
              <w:top w:w="100" w:type="dxa"/>
              <w:start w:w="110" w:type="dxa"/>
              <w:bottom w:w="100" w:type="dxa"/>
              <w:end w:w="110" w:type="dxa"/>
            </w:tcMar>
            <w:vAlign w:val="center"/>
          </w:tcPr>
          <w:p>
            <w:pPr>
              <w:jc w:val="center"/>
            </w:pPr>
            <w:r>
              <w:rPr>
                <w:b/>
                <w:color w:val="FFFFFF"/>
                <w:sz w:val="14"/>
              </w:rPr>
              <w:t>Visual</w:t>
            </w:r>
          </w:p>
        </w:tc>
      </w:tr>
      <w:tr>
        <w:trPr>
          <w:cantSplit/>
        </w:trPr>
        <w:tc>
          <w:tcPr>
            <w:tcW w:type="dxa" w:w="1800"/>
            <w:tcMar>
              <w:top w:w="90" w:type="dxa"/>
              <w:start w:w="110" w:type="dxa"/>
              <w:bottom w:w="90" w:type="dxa"/>
              <w:end w:w="110" w:type="dxa"/>
            </w:tcMar>
            <w:vAlign w:val="center"/>
          </w:tcPr>
          <w:p>
            <w:pPr>
              <w:spacing w:after="0"/>
              <w:jc w:val="center"/>
            </w:pPr>
            <w:r>
              <w:rPr>
                <w:color w:val="243447"/>
                <w:sz w:val="14"/>
              </w:rPr>
              <w:t>Spend</w:t>
            </w:r>
          </w:p>
        </w:tc>
        <w:tc>
          <w:tcPr>
            <w:tcW w:type="dxa" w:w="4824"/>
            <w:tcMar>
              <w:top w:w="90" w:type="dxa"/>
              <w:start w:w="110" w:type="dxa"/>
              <w:bottom w:w="90" w:type="dxa"/>
              <w:end w:w="110" w:type="dxa"/>
            </w:tcMar>
            <w:vAlign w:val="center"/>
          </w:tcPr>
          <w:p>
            <w:pPr>
              <w:spacing w:after="0"/>
            </w:pPr>
            <w:r>
              <w:rPr>
                <w:color w:val="243447"/>
                <w:sz w:val="14"/>
              </w:rPr>
              <w:t>Media and included fees by defined cost scope</w:t>
            </w:r>
          </w:p>
        </w:tc>
        <w:tc>
          <w:tcPr>
            <w:tcW w:type="dxa" w:w="4176"/>
            <w:tcMar>
              <w:top w:w="90" w:type="dxa"/>
              <w:start w:w="110" w:type="dxa"/>
              <w:bottom w:w="90" w:type="dxa"/>
              <w:end w:w="110" w:type="dxa"/>
            </w:tcMar>
            <w:vAlign w:val="center"/>
          </w:tcPr>
          <w:p>
            <w:pPr>
              <w:spacing w:after="0"/>
            </w:pPr>
            <w:r>
              <w:rPr>
                <w:color w:val="243447"/>
                <w:sz w:val="14"/>
              </w:rPr>
              <w:t>Budget pacing bullet/line</w:t>
            </w:r>
          </w:p>
        </w:tc>
      </w:tr>
      <w:tr>
        <w:trPr>
          <w:cantSplit/>
        </w:trPr>
        <w:tc>
          <w:tcPr>
            <w:tcW w:type="dxa" w:w="1800"/>
            <w:tcMar>
              <w:top w:w="90" w:type="dxa"/>
              <w:start w:w="110" w:type="dxa"/>
              <w:bottom w:w="90" w:type="dxa"/>
              <w:end w:w="110" w:type="dxa"/>
            </w:tcMar>
            <w:vAlign w:val="center"/>
            <w:shd w:fill="F7F9FC"/>
          </w:tcPr>
          <w:p>
            <w:pPr>
              <w:spacing w:after="0"/>
              <w:jc w:val="center"/>
            </w:pPr>
            <w:r>
              <w:rPr>
                <w:color w:val="243447"/>
                <w:sz w:val="14"/>
              </w:rPr>
              <w:t>Impressions</w:t>
            </w:r>
          </w:p>
        </w:tc>
        <w:tc>
          <w:tcPr>
            <w:tcW w:type="dxa" w:w="4824"/>
            <w:tcMar>
              <w:top w:w="90" w:type="dxa"/>
              <w:start w:w="110" w:type="dxa"/>
              <w:bottom w:w="90" w:type="dxa"/>
              <w:end w:w="110" w:type="dxa"/>
            </w:tcMar>
            <w:vAlign w:val="center"/>
            <w:shd w:fill="F7F9FC"/>
          </w:tcPr>
          <w:p>
            <w:pPr>
              <w:spacing w:after="0"/>
            </w:pPr>
            <w:r>
              <w:rPr>
                <w:color w:val="243447"/>
                <w:sz w:val="14"/>
              </w:rPr>
              <w:t>Valid served impressions</w:t>
            </w:r>
          </w:p>
        </w:tc>
        <w:tc>
          <w:tcPr>
            <w:tcW w:type="dxa" w:w="4176"/>
            <w:tcMar>
              <w:top w:w="90" w:type="dxa"/>
              <w:start w:w="110" w:type="dxa"/>
              <w:bottom w:w="90" w:type="dxa"/>
              <w:end w:w="110" w:type="dxa"/>
            </w:tcMar>
            <w:vAlign w:val="center"/>
            <w:shd w:fill="F7F9FC"/>
          </w:tcPr>
          <w:p>
            <w:pPr>
              <w:spacing w:after="0"/>
            </w:pPr>
            <w:r>
              <w:rPr>
                <w:color w:val="243447"/>
                <w:sz w:val="14"/>
              </w:rPr>
              <w:t>Trend and channel stack</w:t>
            </w:r>
          </w:p>
        </w:tc>
      </w:tr>
      <w:tr>
        <w:trPr>
          <w:cantSplit/>
        </w:trPr>
        <w:tc>
          <w:tcPr>
            <w:tcW w:type="dxa" w:w="1800"/>
            <w:tcMar>
              <w:top w:w="90" w:type="dxa"/>
              <w:start w:w="110" w:type="dxa"/>
              <w:bottom w:w="90" w:type="dxa"/>
              <w:end w:w="110" w:type="dxa"/>
            </w:tcMar>
            <w:vAlign w:val="center"/>
          </w:tcPr>
          <w:p>
            <w:pPr>
              <w:spacing w:after="0"/>
              <w:jc w:val="center"/>
            </w:pPr>
            <w:r>
              <w:rPr>
                <w:color w:val="243447"/>
                <w:sz w:val="14"/>
              </w:rPr>
              <w:t>Unique reach</w:t>
            </w:r>
          </w:p>
        </w:tc>
        <w:tc>
          <w:tcPr>
            <w:tcW w:type="dxa" w:w="4824"/>
            <w:tcMar>
              <w:top w:w="90" w:type="dxa"/>
              <w:start w:w="110" w:type="dxa"/>
              <w:bottom w:w="90" w:type="dxa"/>
              <w:end w:w="110" w:type="dxa"/>
            </w:tcMar>
            <w:vAlign w:val="center"/>
          </w:tcPr>
          <w:p>
            <w:pPr>
              <w:spacing w:after="0"/>
            </w:pPr>
            <w:r>
              <w:rPr>
                <w:color w:val="243447"/>
                <w:sz w:val="14"/>
              </w:rPr>
              <w:t>Deduplicated reached identities where available</w:t>
            </w:r>
          </w:p>
        </w:tc>
        <w:tc>
          <w:tcPr>
            <w:tcW w:type="dxa" w:w="4176"/>
            <w:tcMar>
              <w:top w:w="90" w:type="dxa"/>
              <w:start w:w="110" w:type="dxa"/>
              <w:bottom w:w="90" w:type="dxa"/>
              <w:end w:w="110" w:type="dxa"/>
            </w:tcMar>
            <w:vAlign w:val="center"/>
          </w:tcPr>
          <w:p>
            <w:pPr>
              <w:spacing w:after="0"/>
            </w:pPr>
            <w:r>
              <w:rPr>
                <w:color w:val="243447"/>
                <w:sz w:val="14"/>
              </w:rPr>
              <w:t>Reach card plus coverage badge</w:t>
            </w:r>
          </w:p>
        </w:tc>
      </w:tr>
      <w:tr>
        <w:trPr>
          <w:cantSplit/>
        </w:trPr>
        <w:tc>
          <w:tcPr>
            <w:tcW w:type="dxa" w:w="1800"/>
            <w:tcMar>
              <w:top w:w="90" w:type="dxa"/>
              <w:start w:w="110" w:type="dxa"/>
              <w:bottom w:w="90" w:type="dxa"/>
              <w:end w:w="110" w:type="dxa"/>
            </w:tcMar>
            <w:vAlign w:val="center"/>
            <w:shd w:fill="F7F9FC"/>
          </w:tcPr>
          <w:p>
            <w:pPr>
              <w:spacing w:after="0"/>
              <w:jc w:val="center"/>
            </w:pPr>
            <w:r>
              <w:rPr>
                <w:color w:val="243447"/>
                <w:sz w:val="14"/>
              </w:rPr>
              <w:t>Frequency</w:t>
            </w:r>
          </w:p>
        </w:tc>
        <w:tc>
          <w:tcPr>
            <w:tcW w:type="dxa" w:w="4824"/>
            <w:tcMar>
              <w:top w:w="90" w:type="dxa"/>
              <w:start w:w="110" w:type="dxa"/>
              <w:bottom w:w="90" w:type="dxa"/>
              <w:end w:w="110" w:type="dxa"/>
            </w:tcMar>
            <w:vAlign w:val="center"/>
            <w:shd w:fill="F7F9FC"/>
          </w:tcPr>
          <w:p>
            <w:pPr>
              <w:spacing w:after="0"/>
            </w:pPr>
            <w:r>
              <w:rPr>
                <w:color w:val="243447"/>
                <w:sz w:val="14"/>
              </w:rPr>
              <w:t>Impressions / unique reach</w:t>
            </w:r>
          </w:p>
        </w:tc>
        <w:tc>
          <w:tcPr>
            <w:tcW w:type="dxa" w:w="4176"/>
            <w:tcMar>
              <w:top w:w="90" w:type="dxa"/>
              <w:start w:w="110" w:type="dxa"/>
              <w:bottom w:w="90" w:type="dxa"/>
              <w:end w:w="110" w:type="dxa"/>
            </w:tcMar>
            <w:vAlign w:val="center"/>
            <w:shd w:fill="F7F9FC"/>
          </w:tcPr>
          <w:p>
            <w:pPr>
              <w:spacing w:after="0"/>
            </w:pPr>
            <w:r>
              <w:rPr>
                <w:color w:val="243447"/>
                <w:sz w:val="14"/>
              </w:rPr>
              <w:t>Distribution or frequency bands</w:t>
            </w:r>
          </w:p>
        </w:tc>
      </w:tr>
      <w:tr>
        <w:trPr>
          <w:cantSplit/>
        </w:trPr>
        <w:tc>
          <w:tcPr>
            <w:tcW w:type="dxa" w:w="1800"/>
            <w:tcMar>
              <w:top w:w="90" w:type="dxa"/>
              <w:start w:w="110" w:type="dxa"/>
              <w:bottom w:w="90" w:type="dxa"/>
              <w:end w:w="110" w:type="dxa"/>
            </w:tcMar>
            <w:vAlign w:val="center"/>
          </w:tcPr>
          <w:p>
            <w:pPr>
              <w:spacing w:after="0"/>
              <w:jc w:val="center"/>
            </w:pPr>
            <w:r>
              <w:rPr>
                <w:color w:val="243447"/>
                <w:sz w:val="14"/>
              </w:rPr>
              <w:t>CTR</w:t>
            </w:r>
          </w:p>
        </w:tc>
        <w:tc>
          <w:tcPr>
            <w:tcW w:type="dxa" w:w="4824"/>
            <w:tcMar>
              <w:top w:w="90" w:type="dxa"/>
              <w:start w:w="110" w:type="dxa"/>
              <w:bottom w:w="90" w:type="dxa"/>
              <w:end w:w="110" w:type="dxa"/>
            </w:tcMar>
            <w:vAlign w:val="center"/>
          </w:tcPr>
          <w:p>
            <w:pPr>
              <w:spacing w:after="0"/>
            </w:pPr>
            <w:r>
              <w:rPr>
                <w:color w:val="243447"/>
                <w:sz w:val="14"/>
              </w:rPr>
              <w:t>Clicks / impressions</w:t>
            </w:r>
          </w:p>
        </w:tc>
        <w:tc>
          <w:tcPr>
            <w:tcW w:type="dxa" w:w="4176"/>
            <w:tcMar>
              <w:top w:w="90" w:type="dxa"/>
              <w:start w:w="110" w:type="dxa"/>
              <w:bottom w:w="90" w:type="dxa"/>
              <w:end w:w="110" w:type="dxa"/>
            </w:tcMar>
            <w:vAlign w:val="center"/>
          </w:tcPr>
          <w:p>
            <w:pPr>
              <w:spacing w:after="0"/>
            </w:pPr>
            <w:r>
              <w:rPr>
                <w:color w:val="243447"/>
                <w:sz w:val="14"/>
              </w:rPr>
              <w:t>Trend with benchmark</w:t>
            </w:r>
          </w:p>
        </w:tc>
      </w:tr>
      <w:tr>
        <w:trPr>
          <w:cantSplit/>
        </w:trPr>
        <w:tc>
          <w:tcPr>
            <w:tcW w:type="dxa" w:w="1800"/>
            <w:tcMar>
              <w:top w:w="90" w:type="dxa"/>
              <w:start w:w="110" w:type="dxa"/>
              <w:bottom w:w="90" w:type="dxa"/>
              <w:end w:w="110" w:type="dxa"/>
            </w:tcMar>
            <w:vAlign w:val="center"/>
            <w:shd w:fill="F7F9FC"/>
          </w:tcPr>
          <w:p>
            <w:pPr>
              <w:spacing w:after="0"/>
              <w:jc w:val="center"/>
            </w:pPr>
            <w:r>
              <w:rPr>
                <w:color w:val="243447"/>
                <w:sz w:val="14"/>
              </w:rPr>
              <w:t>CPM</w:t>
            </w:r>
          </w:p>
        </w:tc>
        <w:tc>
          <w:tcPr>
            <w:tcW w:type="dxa" w:w="4824"/>
            <w:tcMar>
              <w:top w:w="90" w:type="dxa"/>
              <w:start w:w="110" w:type="dxa"/>
              <w:bottom w:w="90" w:type="dxa"/>
              <w:end w:w="110" w:type="dxa"/>
            </w:tcMar>
            <w:vAlign w:val="center"/>
            <w:shd w:fill="F7F9FC"/>
          </w:tcPr>
          <w:p>
            <w:pPr>
              <w:spacing w:after="0"/>
            </w:pPr>
            <w:r>
              <w:rPr>
                <w:color w:val="243447"/>
                <w:sz w:val="14"/>
              </w:rPr>
              <w:t>Spend / impressions x 1,000</w:t>
            </w:r>
          </w:p>
        </w:tc>
        <w:tc>
          <w:tcPr>
            <w:tcW w:type="dxa" w:w="4176"/>
            <w:tcMar>
              <w:top w:w="90" w:type="dxa"/>
              <w:start w:w="110" w:type="dxa"/>
              <w:bottom w:w="90" w:type="dxa"/>
              <w:end w:w="110" w:type="dxa"/>
            </w:tcMar>
            <w:vAlign w:val="center"/>
            <w:shd w:fill="F7F9FC"/>
          </w:tcPr>
          <w:p>
            <w:pPr>
              <w:spacing w:after="0"/>
            </w:pPr>
            <w:r>
              <w:rPr>
                <w:color w:val="243447"/>
                <w:sz w:val="14"/>
              </w:rPr>
              <w:t>Channel comparison</w:t>
            </w:r>
          </w:p>
        </w:tc>
      </w:tr>
      <w:tr>
        <w:trPr>
          <w:cantSplit/>
        </w:trPr>
        <w:tc>
          <w:tcPr>
            <w:tcW w:type="dxa" w:w="1800"/>
            <w:tcMar>
              <w:top w:w="90" w:type="dxa"/>
              <w:start w:w="110" w:type="dxa"/>
              <w:bottom w:w="90" w:type="dxa"/>
              <w:end w:w="110" w:type="dxa"/>
            </w:tcMar>
            <w:vAlign w:val="center"/>
          </w:tcPr>
          <w:p>
            <w:pPr>
              <w:spacing w:after="0"/>
              <w:jc w:val="center"/>
            </w:pPr>
            <w:r>
              <w:rPr>
                <w:color w:val="243447"/>
                <w:sz w:val="14"/>
              </w:rPr>
              <w:t>CPC</w:t>
            </w:r>
          </w:p>
        </w:tc>
        <w:tc>
          <w:tcPr>
            <w:tcW w:type="dxa" w:w="4824"/>
            <w:tcMar>
              <w:top w:w="90" w:type="dxa"/>
              <w:start w:w="110" w:type="dxa"/>
              <w:bottom w:w="90" w:type="dxa"/>
              <w:end w:w="110" w:type="dxa"/>
            </w:tcMar>
            <w:vAlign w:val="center"/>
          </w:tcPr>
          <w:p>
            <w:pPr>
              <w:spacing w:after="0"/>
              <w:jc w:val="center"/>
            </w:pPr>
            <w:r>
              <w:rPr>
                <w:color w:val="243447"/>
                <w:sz w:val="14"/>
              </w:rPr>
              <w:t>Spend / clicks</w:t>
            </w:r>
          </w:p>
        </w:tc>
        <w:tc>
          <w:tcPr>
            <w:tcW w:type="dxa" w:w="4176"/>
            <w:tcMar>
              <w:top w:w="90" w:type="dxa"/>
              <w:start w:w="110" w:type="dxa"/>
              <w:bottom w:w="90" w:type="dxa"/>
              <w:end w:w="110" w:type="dxa"/>
            </w:tcMar>
            <w:vAlign w:val="center"/>
          </w:tcPr>
          <w:p>
            <w:pPr>
              <w:spacing w:after="0"/>
            </w:pPr>
            <w:r>
              <w:rPr>
                <w:color w:val="243447"/>
                <w:sz w:val="14"/>
              </w:rPr>
              <w:t>Channel/placement comparison</w:t>
            </w:r>
          </w:p>
        </w:tc>
      </w:tr>
      <w:tr>
        <w:trPr>
          <w:cantSplit/>
        </w:trPr>
        <w:tc>
          <w:tcPr>
            <w:tcW w:type="dxa" w:w="1800"/>
            <w:tcMar>
              <w:top w:w="90" w:type="dxa"/>
              <w:start w:w="110" w:type="dxa"/>
              <w:bottom w:w="90" w:type="dxa"/>
              <w:end w:w="110" w:type="dxa"/>
            </w:tcMar>
            <w:vAlign w:val="center"/>
            <w:shd w:fill="F7F9FC"/>
          </w:tcPr>
          <w:p>
            <w:pPr>
              <w:spacing w:after="0"/>
            </w:pPr>
            <w:r>
              <w:rPr>
                <w:color w:val="243447"/>
                <w:sz w:val="14"/>
              </w:rPr>
              <w:t>Viewability / fraud</w:t>
            </w:r>
          </w:p>
        </w:tc>
        <w:tc>
          <w:tcPr>
            <w:tcW w:type="dxa" w:w="4824"/>
            <w:tcMar>
              <w:top w:w="90" w:type="dxa"/>
              <w:start w:w="110" w:type="dxa"/>
              <w:bottom w:w="90" w:type="dxa"/>
              <w:end w:w="110" w:type="dxa"/>
            </w:tcMar>
            <w:vAlign w:val="center"/>
            <w:shd w:fill="F7F9FC"/>
          </w:tcPr>
          <w:p>
            <w:pPr>
              <w:spacing w:after="0"/>
            </w:pPr>
            <w:r>
              <w:rPr>
                <w:color w:val="243447"/>
                <w:sz w:val="14"/>
              </w:rPr>
              <w:t>Supplier or accredited third-party quality measures</w:t>
            </w:r>
          </w:p>
        </w:tc>
        <w:tc>
          <w:tcPr>
            <w:tcW w:type="dxa" w:w="4176"/>
            <w:tcMar>
              <w:top w:w="90" w:type="dxa"/>
              <w:start w:w="110" w:type="dxa"/>
              <w:bottom w:w="90" w:type="dxa"/>
              <w:end w:w="110" w:type="dxa"/>
            </w:tcMar>
            <w:vAlign w:val="center"/>
            <w:shd w:fill="F7F9FC"/>
          </w:tcPr>
          <w:p>
            <w:pPr>
              <w:spacing w:after="0"/>
              <w:jc w:val="center"/>
            </w:pPr>
            <w:r>
              <w:rPr>
                <w:color w:val="243447"/>
                <w:sz w:val="14"/>
              </w:rPr>
              <w:t>Quality scorecard</w:t>
            </w:r>
          </w:p>
        </w:tc>
      </w:tr>
      <w:tr>
        <w:trPr>
          <w:cantSplit/>
        </w:trPr>
        <w:tc>
          <w:tcPr>
            <w:tcW w:type="dxa" w:w="1800"/>
            <w:tcMar>
              <w:top w:w="90" w:type="dxa"/>
              <w:start w:w="110" w:type="dxa"/>
              <w:bottom w:w="90" w:type="dxa"/>
              <w:end w:w="110" w:type="dxa"/>
            </w:tcMar>
            <w:vAlign w:val="center"/>
          </w:tcPr>
          <w:p>
            <w:pPr>
              <w:spacing w:after="0"/>
            </w:pPr>
            <w:r>
              <w:rPr>
                <w:color w:val="243447"/>
                <w:sz w:val="14"/>
              </w:rPr>
              <w:t>Audience match rate</w:t>
            </w:r>
          </w:p>
        </w:tc>
        <w:tc>
          <w:tcPr>
            <w:tcW w:type="dxa" w:w="4824"/>
            <w:tcMar>
              <w:top w:w="90" w:type="dxa"/>
              <w:start w:w="110" w:type="dxa"/>
              <w:bottom w:w="90" w:type="dxa"/>
              <w:end w:w="110" w:type="dxa"/>
            </w:tcMar>
            <w:vAlign w:val="center"/>
          </w:tcPr>
          <w:p>
            <w:pPr>
              <w:spacing w:after="0"/>
              <w:jc w:val="center"/>
            </w:pPr>
            <w:r>
              <w:rPr>
                <w:color w:val="243447"/>
                <w:sz w:val="14"/>
              </w:rPr>
              <w:t>Matched / pushed</w:t>
            </w:r>
          </w:p>
        </w:tc>
        <w:tc>
          <w:tcPr>
            <w:tcW w:type="dxa" w:w="4176"/>
            <w:tcMar>
              <w:top w:w="90" w:type="dxa"/>
              <w:start w:w="110" w:type="dxa"/>
              <w:bottom w:w="90" w:type="dxa"/>
              <w:end w:w="110" w:type="dxa"/>
            </w:tcMar>
            <w:vAlign w:val="center"/>
          </w:tcPr>
          <w:p>
            <w:pPr>
              <w:spacing w:after="0"/>
              <w:jc w:val="center"/>
            </w:pPr>
            <w:r>
              <w:rPr>
                <w:color w:val="243447"/>
                <w:sz w:val="14"/>
              </w:rPr>
              <w:t>Population funnel</w:t>
            </w:r>
          </w:p>
        </w:tc>
      </w:tr>
      <w:tr>
        <w:trPr>
          <w:cantSplit/>
        </w:trPr>
        <w:tc>
          <w:tcPr>
            <w:tcW w:type="dxa" w:w="1800"/>
            <w:tcMar>
              <w:top w:w="90" w:type="dxa"/>
              <w:start w:w="110" w:type="dxa"/>
              <w:bottom w:w="90" w:type="dxa"/>
              <w:end w:w="110" w:type="dxa"/>
            </w:tcMar>
            <w:vAlign w:val="center"/>
            <w:shd w:fill="F7F9FC"/>
          </w:tcPr>
          <w:p>
            <w:pPr>
              <w:spacing w:after="0"/>
              <w:jc w:val="center"/>
            </w:pPr>
            <w:r>
              <w:rPr>
                <w:color w:val="243447"/>
                <w:sz w:val="14"/>
              </w:rPr>
              <w:t>Delivery rate</w:t>
            </w:r>
          </w:p>
        </w:tc>
        <w:tc>
          <w:tcPr>
            <w:tcW w:type="dxa" w:w="4824"/>
            <w:tcMar>
              <w:top w:w="90" w:type="dxa"/>
              <w:start w:w="110" w:type="dxa"/>
              <w:bottom w:w="90" w:type="dxa"/>
              <w:end w:w="110" w:type="dxa"/>
            </w:tcMar>
            <w:vAlign w:val="center"/>
            <w:shd w:fill="F7F9FC"/>
          </w:tcPr>
          <w:p>
            <w:pPr>
              <w:spacing w:after="0"/>
            </w:pPr>
            <w:r>
              <w:rPr>
                <w:color w:val="243447"/>
                <w:sz w:val="14"/>
              </w:rPr>
              <w:t>Exposed / matched treatment</w:t>
            </w:r>
          </w:p>
        </w:tc>
        <w:tc>
          <w:tcPr>
            <w:tcW w:type="dxa" w:w="4176"/>
            <w:tcMar>
              <w:top w:w="90" w:type="dxa"/>
              <w:start w:w="110" w:type="dxa"/>
              <w:bottom w:w="90" w:type="dxa"/>
              <w:end w:w="110" w:type="dxa"/>
            </w:tcMar>
            <w:vAlign w:val="center"/>
            <w:shd w:fill="F7F9FC"/>
          </w:tcPr>
          <w:p>
            <w:pPr>
              <w:spacing w:after="0"/>
              <w:jc w:val="center"/>
            </w:pPr>
            <w:r>
              <w:rPr>
                <w:color w:val="243447"/>
                <w:sz w:val="14"/>
              </w:rPr>
              <w:t>Population funnel</w:t>
            </w:r>
          </w:p>
        </w:tc>
      </w:tr>
      <w:tr>
        <w:trPr>
          <w:cantSplit/>
        </w:trPr>
        <w:tc>
          <w:tcPr>
            <w:tcW w:type="dxa" w:w="1800"/>
            <w:tcMar>
              <w:top w:w="90" w:type="dxa"/>
              <w:start w:w="110" w:type="dxa"/>
              <w:bottom w:w="90" w:type="dxa"/>
              <w:end w:w="110" w:type="dxa"/>
            </w:tcMar>
            <w:vAlign w:val="center"/>
          </w:tcPr>
          <w:p>
            <w:pPr>
              <w:spacing w:after="0"/>
              <w:jc w:val="center"/>
            </w:pPr>
            <w:r>
              <w:rPr>
                <w:color w:val="243447"/>
                <w:sz w:val="14"/>
              </w:rPr>
              <w:t>Data coverage</w:t>
            </w:r>
          </w:p>
        </w:tc>
        <w:tc>
          <w:tcPr>
            <w:tcW w:type="dxa" w:w="4824"/>
            <w:tcMar>
              <w:top w:w="90" w:type="dxa"/>
              <w:start w:w="110" w:type="dxa"/>
              <w:bottom w:w="90" w:type="dxa"/>
              <w:end w:w="110" w:type="dxa"/>
            </w:tcMar>
            <w:vAlign w:val="center"/>
          </w:tcPr>
          <w:p>
            <w:pPr>
              <w:spacing w:after="0"/>
            </w:pPr>
            <w:r>
              <w:rPr>
                <w:color w:val="243447"/>
                <w:sz w:val="14"/>
              </w:rPr>
              <w:t>Measured population / relevant delivered population</w:t>
            </w:r>
          </w:p>
        </w:tc>
        <w:tc>
          <w:tcPr>
            <w:tcW w:type="dxa" w:w="4176"/>
            <w:tcMar>
              <w:top w:w="90" w:type="dxa"/>
              <w:start w:w="110" w:type="dxa"/>
              <w:bottom w:w="90" w:type="dxa"/>
              <w:end w:w="110" w:type="dxa"/>
            </w:tcMar>
            <w:vAlign w:val="center"/>
          </w:tcPr>
          <w:p>
            <w:pPr>
              <w:spacing w:after="0"/>
            </w:pPr>
            <w:r>
              <w:rPr>
                <w:color w:val="243447"/>
                <w:sz w:val="14"/>
              </w:rPr>
              <w:t>Coverage gauge with caveat</w:t>
            </w:r>
          </w:p>
        </w:tc>
      </w:tr>
    </w:tbl>
    <w:p>
      <w:pPr>
        <w:spacing w:after="0"/>
      </w:pPr>
    </w:p>
    <w:p>
      <w:pPr>
        <w:pStyle w:val="Heading2"/>
        <w:keepNext/>
      </w:pPr>
      <w:r>
        <w:t>9.2 Attributed commerce KPIs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7365D"/>
            <w:tcMar>
              <w:top w:w="100" w:type="dxa"/>
              <w:start w:w="110" w:type="dxa"/>
              <w:bottom w:w="100" w:type="dxa"/>
              <w:end w:w="110" w:type="dxa"/>
            </w:tcMar>
            <w:vAlign w:val="center"/>
          </w:tcPr>
          <w:p>
            <w:pPr>
              <w:jc w:val="center"/>
            </w:pPr>
            <w:r>
              <w:rPr>
                <w:b/>
                <w:color w:val="FFFFFF"/>
                <w:sz w:val="14"/>
              </w:rPr>
              <w:t>KPI</w:t>
            </w:r>
          </w:p>
        </w:tc>
        <w:tc>
          <w:tcPr>
            <w:tcW w:type="dxa" w:w="7056"/>
            <w:shd w:fill="17365D"/>
            <w:tcMar>
              <w:top w:w="100" w:type="dxa"/>
              <w:start w:w="110" w:type="dxa"/>
              <w:bottom w:w="100" w:type="dxa"/>
              <w:end w:w="110" w:type="dxa"/>
            </w:tcMar>
            <w:vAlign w:val="center"/>
          </w:tcPr>
          <w:p>
            <w:pPr>
              <w:jc w:val="center"/>
            </w:pPr>
            <w:r>
              <w:rPr>
                <w:b/>
                <w:color w:val="FFFFFF"/>
                <w:sz w:val="14"/>
              </w:rPr>
              <w:t>Definition / notes</w:t>
            </w:r>
          </w:p>
        </w:tc>
        <w:tc>
          <w:tcPr>
            <w:tcW w:type="dxa" w:w="1872"/>
            <w:shd w:fill="17365D"/>
            <w:tcMar>
              <w:top w:w="100" w:type="dxa"/>
              <w:start w:w="110" w:type="dxa"/>
              <w:bottom w:w="100" w:type="dxa"/>
              <w:end w:w="110" w:type="dxa"/>
            </w:tcMar>
            <w:vAlign w:val="center"/>
          </w:tcPr>
          <w:p>
            <w:pPr>
              <w:jc w:val="center"/>
            </w:pPr>
            <w:r>
              <w:rPr>
                <w:b/>
                <w:color w:val="FFFFFF"/>
                <w:sz w:val="14"/>
              </w:rPr>
              <w:t>Flag</w:t>
            </w:r>
          </w:p>
        </w:tc>
      </w:tr>
      <w:tr>
        <w:trPr>
          <w:cantSplit/>
        </w:trPr>
        <w:tc>
          <w:tcPr>
            <w:tcW w:type="dxa" w:w="1872"/>
            <w:tcMar>
              <w:top w:w="90" w:type="dxa"/>
              <w:start w:w="110" w:type="dxa"/>
              <w:bottom w:w="90" w:type="dxa"/>
              <w:end w:w="110" w:type="dxa"/>
            </w:tcMar>
            <w:vAlign w:val="center"/>
          </w:tcPr>
          <w:p>
            <w:pPr>
              <w:spacing w:after="0"/>
              <w:jc w:val="center"/>
            </w:pPr>
            <w:r>
              <w:rPr>
                <w:color w:val="243447"/>
                <w:sz w:val="14"/>
              </w:rPr>
              <w:t>Attributed buyers</w:t>
            </w:r>
          </w:p>
        </w:tc>
        <w:tc>
          <w:tcPr>
            <w:tcW w:type="dxa" w:w="7056"/>
            <w:tcMar>
              <w:top w:w="90" w:type="dxa"/>
              <w:start w:w="110" w:type="dxa"/>
              <w:bottom w:w="90" w:type="dxa"/>
              <w:end w:w="110" w:type="dxa"/>
            </w:tcMar>
            <w:vAlign w:val="center"/>
          </w:tcPr>
          <w:p>
            <w:pPr>
              <w:spacing w:after="0"/>
            </w:pPr>
            <w:r>
              <w:rPr>
                <w:color w:val="243447"/>
                <w:sz w:val="14"/>
              </w:rPr>
              <w:t>Unique buyers with eligible transaction within rule</w:t>
            </w:r>
          </w:p>
        </w:tc>
        <w:tc>
          <w:tcPr>
            <w:tcW w:type="dxa" w:w="1872"/>
            <w:tcMar>
              <w:top w:w="90" w:type="dxa"/>
              <w:start w:w="110" w:type="dxa"/>
              <w:bottom w:w="90" w:type="dxa"/>
              <w:end w:w="110" w:type="dxa"/>
            </w:tcMar>
            <w:vAlign w:val="center"/>
          </w:tcPr>
          <w:p>
            <w:pPr>
              <w:spacing w:after="0"/>
            </w:pPr>
            <w:r>
              <w:rPr>
                <w:color w:val="243447"/>
                <w:sz w:val="14"/>
              </w:rPr>
              <w:t>Always show exposure and product scope</w:t>
            </w:r>
          </w:p>
        </w:tc>
      </w:tr>
      <w:tr>
        <w:trPr>
          <w:cantSplit/>
        </w:trPr>
        <w:tc>
          <w:tcPr>
            <w:tcW w:type="dxa" w:w="1872"/>
            <w:tcMar>
              <w:top w:w="90" w:type="dxa"/>
              <w:start w:w="110" w:type="dxa"/>
              <w:bottom w:w="90" w:type="dxa"/>
              <w:end w:w="110" w:type="dxa"/>
            </w:tcMar>
            <w:vAlign w:val="center"/>
            <w:shd w:fill="F7F9FC"/>
          </w:tcPr>
          <w:p>
            <w:pPr>
              <w:spacing w:after="0"/>
              <w:jc w:val="center"/>
            </w:pPr>
            <w:r>
              <w:rPr>
                <w:color w:val="243447"/>
                <w:sz w:val="14"/>
              </w:rPr>
              <w:t>Attributed sales</w:t>
            </w:r>
          </w:p>
        </w:tc>
        <w:tc>
          <w:tcPr>
            <w:tcW w:type="dxa" w:w="7056"/>
            <w:tcMar>
              <w:top w:w="90" w:type="dxa"/>
              <w:start w:w="110" w:type="dxa"/>
              <w:bottom w:w="90" w:type="dxa"/>
              <w:end w:w="110" w:type="dxa"/>
            </w:tcMar>
            <w:vAlign w:val="center"/>
            <w:shd w:fill="F7F9FC"/>
          </w:tcPr>
          <w:p>
            <w:pPr>
              <w:spacing w:after="0"/>
            </w:pPr>
            <w:r>
              <w:rPr>
                <w:color w:val="243447"/>
                <w:sz w:val="14"/>
              </w:rPr>
              <w:t>Eligible transaction value</w:t>
            </w:r>
          </w:p>
        </w:tc>
        <w:tc>
          <w:tcPr>
            <w:tcW w:type="dxa" w:w="1872"/>
            <w:tcMar>
              <w:top w:w="90" w:type="dxa"/>
              <w:start w:w="110" w:type="dxa"/>
              <w:bottom w:w="90" w:type="dxa"/>
              <w:end w:w="110" w:type="dxa"/>
            </w:tcMar>
            <w:vAlign w:val="center"/>
            <w:shd w:fill="F7F9FC"/>
          </w:tcPr>
          <w:p>
            <w:pPr>
              <w:spacing w:after="0"/>
            </w:pPr>
            <w:r>
              <w:rPr>
                <w:color w:val="243447"/>
                <w:sz w:val="14"/>
              </w:rPr>
              <w:t>Separate advertised SKU, brand halo and category halo</w:t>
            </w:r>
          </w:p>
        </w:tc>
      </w:tr>
      <w:tr>
        <w:trPr>
          <w:cantSplit/>
        </w:trPr>
        <w:tc>
          <w:tcPr>
            <w:tcW w:type="dxa" w:w="1872"/>
            <w:tcMar>
              <w:top w:w="90" w:type="dxa"/>
              <w:start w:w="110" w:type="dxa"/>
              <w:bottom w:w="90" w:type="dxa"/>
              <w:end w:w="110" w:type="dxa"/>
            </w:tcMar>
            <w:vAlign w:val="center"/>
          </w:tcPr>
          <w:p>
            <w:pPr>
              <w:spacing w:after="0"/>
              <w:jc w:val="center"/>
            </w:pPr>
            <w:r>
              <w:rPr>
                <w:color w:val="243447"/>
                <w:sz w:val="14"/>
              </w:rPr>
              <w:t>ROAS</w:t>
            </w:r>
          </w:p>
        </w:tc>
        <w:tc>
          <w:tcPr>
            <w:tcW w:type="dxa" w:w="7056"/>
            <w:tcMar>
              <w:top w:w="90" w:type="dxa"/>
              <w:start w:w="110" w:type="dxa"/>
              <w:bottom w:w="90" w:type="dxa"/>
              <w:end w:w="110" w:type="dxa"/>
            </w:tcMar>
            <w:vAlign w:val="center"/>
          </w:tcPr>
          <w:p>
            <w:pPr>
              <w:spacing w:after="0"/>
            </w:pPr>
            <w:r>
              <w:rPr>
                <w:color w:val="243447"/>
                <w:sz w:val="14"/>
              </w:rPr>
              <w:t>Attributed sales / defined media cost</w:t>
            </w:r>
          </w:p>
        </w:tc>
        <w:tc>
          <w:tcPr>
            <w:tcW w:type="dxa" w:w="1872"/>
            <w:tcMar>
              <w:top w:w="90" w:type="dxa"/>
              <w:start w:w="110" w:type="dxa"/>
              <w:bottom w:w="90" w:type="dxa"/>
              <w:end w:w="110" w:type="dxa"/>
            </w:tcMar>
            <w:vAlign w:val="center"/>
          </w:tcPr>
          <w:p>
            <w:pPr>
              <w:spacing w:after="0"/>
            </w:pPr>
            <w:r>
              <w:rPr>
                <w:color w:val="243447"/>
                <w:sz w:val="14"/>
              </w:rPr>
              <w:t>Not causal; label “Attributed ROAS”</w:t>
            </w:r>
          </w:p>
        </w:tc>
      </w:tr>
      <w:tr>
        <w:trPr>
          <w:cantSplit/>
        </w:trPr>
        <w:tc>
          <w:tcPr>
            <w:tcW w:type="dxa" w:w="1872"/>
            <w:tcMar>
              <w:top w:w="90" w:type="dxa"/>
              <w:start w:w="110" w:type="dxa"/>
              <w:bottom w:w="90" w:type="dxa"/>
              <w:end w:w="110" w:type="dxa"/>
            </w:tcMar>
            <w:vAlign w:val="center"/>
            <w:shd w:fill="F7F9FC"/>
          </w:tcPr>
          <w:p>
            <w:pPr>
              <w:spacing w:after="0"/>
              <w:jc w:val="center"/>
            </w:pPr>
            <w:r>
              <w:rPr>
                <w:color w:val="243447"/>
                <w:sz w:val="14"/>
              </w:rPr>
              <w:t>Conversion rate</w:t>
            </w:r>
          </w:p>
        </w:tc>
        <w:tc>
          <w:tcPr>
            <w:tcW w:type="dxa" w:w="7056"/>
            <w:tcMar>
              <w:top w:w="90" w:type="dxa"/>
              <w:start w:w="110" w:type="dxa"/>
              <w:bottom w:w="90" w:type="dxa"/>
              <w:end w:w="110" w:type="dxa"/>
            </w:tcMar>
            <w:vAlign w:val="center"/>
            <w:shd w:fill="F7F9FC"/>
          </w:tcPr>
          <w:p>
            <w:pPr>
              <w:spacing w:after="0"/>
            </w:pPr>
            <w:r>
              <w:rPr>
                <w:color w:val="243447"/>
                <w:sz w:val="14"/>
              </w:rPr>
              <w:t>Attributed buyers / exposed or clicked population</w:t>
            </w:r>
          </w:p>
        </w:tc>
        <w:tc>
          <w:tcPr>
            <w:tcW w:type="dxa" w:w="1872"/>
            <w:tcMar>
              <w:top w:w="90" w:type="dxa"/>
              <w:start w:w="110" w:type="dxa"/>
              <w:bottom w:w="90" w:type="dxa"/>
              <w:end w:w="110" w:type="dxa"/>
            </w:tcMar>
            <w:vAlign w:val="center"/>
            <w:shd w:fill="F7F9FC"/>
          </w:tcPr>
          <w:p>
            <w:pPr>
              <w:spacing w:after="0"/>
            </w:pPr>
            <w:r>
              <w:rPr>
                <w:color w:val="243447"/>
                <w:sz w:val="14"/>
              </w:rPr>
              <w:t>Denominator must be named</w:t>
            </w:r>
          </w:p>
        </w:tc>
      </w:tr>
      <w:tr>
        <w:trPr>
          <w:cantSplit/>
        </w:trPr>
        <w:tc>
          <w:tcPr>
            <w:tcW w:type="dxa" w:w="1872"/>
            <w:tcMar>
              <w:top w:w="90" w:type="dxa"/>
              <w:start w:w="110" w:type="dxa"/>
              <w:bottom w:w="90" w:type="dxa"/>
              <w:end w:w="110" w:type="dxa"/>
            </w:tcMar>
            <w:vAlign w:val="center"/>
          </w:tcPr>
          <w:p>
            <w:pPr>
              <w:spacing w:after="0"/>
              <w:jc w:val="center"/>
            </w:pPr>
            <w:r>
              <w:rPr>
                <w:color w:val="243447"/>
                <w:sz w:val="14"/>
              </w:rPr>
              <w:t>Units / trips</w:t>
            </w:r>
          </w:p>
        </w:tc>
        <w:tc>
          <w:tcPr>
            <w:tcW w:type="dxa" w:w="7056"/>
            <w:tcMar>
              <w:top w:w="90" w:type="dxa"/>
              <w:start w:w="110" w:type="dxa"/>
              <w:bottom w:w="90" w:type="dxa"/>
              <w:end w:w="110" w:type="dxa"/>
            </w:tcMar>
            <w:vAlign w:val="center"/>
          </w:tcPr>
          <w:p>
            <w:pPr>
              <w:spacing w:after="0"/>
            </w:pPr>
            <w:r>
              <w:rPr>
                <w:color w:val="243447"/>
                <w:sz w:val="14"/>
              </w:rPr>
              <w:t>Eligible units and shopping trips</w:t>
            </w:r>
          </w:p>
        </w:tc>
        <w:tc>
          <w:tcPr>
            <w:tcW w:type="dxa" w:w="1872"/>
            <w:tcMar>
              <w:top w:w="90" w:type="dxa"/>
              <w:start w:w="110" w:type="dxa"/>
              <w:bottom w:w="90" w:type="dxa"/>
              <w:end w:w="110" w:type="dxa"/>
            </w:tcMar>
            <w:vAlign w:val="center"/>
          </w:tcPr>
          <w:p>
            <w:pPr>
              <w:spacing w:after="0"/>
            </w:pPr>
            <w:r>
              <w:rPr>
                <w:color w:val="243447"/>
                <w:sz w:val="14"/>
              </w:rPr>
              <w:t>Online/in-store/omni split</w:t>
            </w:r>
          </w:p>
        </w:tc>
      </w:tr>
      <w:tr>
        <w:trPr>
          <w:cantSplit/>
        </w:trPr>
        <w:tc>
          <w:tcPr>
            <w:tcW w:type="dxa" w:w="1872"/>
            <w:tcMar>
              <w:top w:w="90" w:type="dxa"/>
              <w:start w:w="110" w:type="dxa"/>
              <w:bottom w:w="90" w:type="dxa"/>
              <w:end w:w="110" w:type="dxa"/>
            </w:tcMar>
            <w:vAlign w:val="center"/>
            <w:shd w:fill="F7F9FC"/>
          </w:tcPr>
          <w:p>
            <w:pPr>
              <w:spacing w:after="0"/>
              <w:jc w:val="center"/>
            </w:pPr>
            <w:r>
              <w:rPr>
                <w:color w:val="243447"/>
                <w:sz w:val="14"/>
              </w:rPr>
              <w:t>New-to-brand %</w:t>
            </w:r>
          </w:p>
        </w:tc>
        <w:tc>
          <w:tcPr>
            <w:tcW w:type="dxa" w:w="7056"/>
            <w:tcMar>
              <w:top w:w="90" w:type="dxa"/>
              <w:start w:w="110" w:type="dxa"/>
              <w:bottom w:w="90" w:type="dxa"/>
              <w:end w:w="110" w:type="dxa"/>
            </w:tcMar>
            <w:vAlign w:val="center"/>
            <w:shd w:fill="F7F9FC"/>
          </w:tcPr>
          <w:p>
            <w:pPr>
              <w:spacing w:after="0"/>
            </w:pPr>
            <w:r>
              <w:rPr>
                <w:color w:val="243447"/>
                <w:sz w:val="14"/>
              </w:rPr>
              <w:t>Attributed buyers without prior brand purchase in configured history</w:t>
            </w:r>
          </w:p>
        </w:tc>
        <w:tc>
          <w:tcPr>
            <w:tcW w:type="dxa" w:w="1872"/>
            <w:tcMar>
              <w:top w:w="90" w:type="dxa"/>
              <w:start w:w="110" w:type="dxa"/>
              <w:bottom w:w="90" w:type="dxa"/>
              <w:end w:w="110" w:type="dxa"/>
            </w:tcMar>
            <w:vAlign w:val="center"/>
            <w:shd w:fill="F7F9FC"/>
          </w:tcPr>
          <w:p>
            <w:pPr>
              <w:spacing w:after="0"/>
            </w:pPr>
            <w:r>
              <w:rPr>
                <w:color w:val="243447"/>
                <w:sz w:val="14"/>
              </w:rPr>
              <w:t>History length and retailer scope visible</w:t>
            </w:r>
          </w:p>
        </w:tc>
      </w:tr>
      <w:tr>
        <w:trPr>
          <w:cantSplit/>
        </w:trPr>
        <w:tc>
          <w:tcPr>
            <w:tcW w:type="dxa" w:w="1872"/>
            <w:tcMar>
              <w:top w:w="90" w:type="dxa"/>
              <w:start w:w="110" w:type="dxa"/>
              <w:bottom w:w="90" w:type="dxa"/>
              <w:end w:w="110" w:type="dxa"/>
            </w:tcMar>
            <w:vAlign w:val="center"/>
          </w:tcPr>
          <w:p>
            <w:pPr>
              <w:spacing w:after="0"/>
              <w:jc w:val="center"/>
            </w:pPr>
            <w:r>
              <w:rPr>
                <w:color w:val="243447"/>
                <w:sz w:val="14"/>
              </w:rPr>
              <w:t>Repeat purchase</w:t>
            </w:r>
          </w:p>
        </w:tc>
        <w:tc>
          <w:tcPr>
            <w:tcW w:type="dxa" w:w="7056"/>
            <w:tcMar>
              <w:top w:w="90" w:type="dxa"/>
              <w:start w:w="110" w:type="dxa"/>
              <w:bottom w:w="90" w:type="dxa"/>
              <w:end w:w="110" w:type="dxa"/>
            </w:tcMar>
            <w:vAlign w:val="center"/>
          </w:tcPr>
          <w:p>
            <w:pPr>
              <w:spacing w:after="0"/>
            </w:pPr>
            <w:r>
              <w:rPr>
                <w:color w:val="243447"/>
                <w:sz w:val="14"/>
              </w:rPr>
              <w:t>Buyers repurchasing in follow-up window</w:t>
            </w:r>
          </w:p>
        </w:tc>
        <w:tc>
          <w:tcPr>
            <w:tcW w:type="dxa" w:w="1872"/>
            <w:tcMar>
              <w:top w:w="90" w:type="dxa"/>
              <w:start w:w="110" w:type="dxa"/>
              <w:bottom w:w="90" w:type="dxa"/>
              <w:end w:w="110" w:type="dxa"/>
            </w:tcMar>
            <w:vAlign w:val="center"/>
          </w:tcPr>
          <w:p>
            <w:pPr>
              <w:spacing w:after="0"/>
            </w:pPr>
            <w:r>
              <w:rPr>
                <w:color w:val="243447"/>
                <w:sz w:val="14"/>
              </w:rPr>
              <w:t>Separate from attribution window</w:t>
            </w:r>
          </w:p>
        </w:tc>
      </w:tr>
      <w:tr>
        <w:trPr>
          <w:cantSplit/>
        </w:trPr>
        <w:tc>
          <w:tcPr>
            <w:tcW w:type="dxa" w:w="1872"/>
            <w:tcMar>
              <w:top w:w="90" w:type="dxa"/>
              <w:start w:w="110" w:type="dxa"/>
              <w:bottom w:w="90" w:type="dxa"/>
              <w:end w:w="110" w:type="dxa"/>
            </w:tcMar>
            <w:vAlign w:val="center"/>
            <w:shd w:fill="F7F9FC"/>
          </w:tcPr>
          <w:p>
            <w:pPr>
              <w:spacing w:after="0"/>
              <w:jc w:val="center"/>
            </w:pPr>
            <w:r>
              <w:rPr>
                <w:color w:val="243447"/>
                <w:sz w:val="14"/>
              </w:rPr>
              <w:t>Basket ring</w:t>
            </w:r>
          </w:p>
        </w:tc>
        <w:tc>
          <w:tcPr>
            <w:tcW w:type="dxa" w:w="7056"/>
            <w:tcMar>
              <w:top w:w="90" w:type="dxa"/>
              <w:start w:w="110" w:type="dxa"/>
              <w:bottom w:w="90" w:type="dxa"/>
              <w:end w:w="110" w:type="dxa"/>
            </w:tcMar>
            <w:vAlign w:val="center"/>
            <w:shd w:fill="F7F9FC"/>
          </w:tcPr>
          <w:p>
            <w:pPr>
              <w:spacing w:after="0"/>
            </w:pPr>
            <w:r>
              <w:rPr>
                <w:color w:val="243447"/>
                <w:sz w:val="14"/>
              </w:rPr>
              <w:t>Total basket value among converters</w:t>
            </w:r>
          </w:p>
        </w:tc>
        <w:tc>
          <w:tcPr>
            <w:tcW w:type="dxa" w:w="1872"/>
            <w:tcMar>
              <w:top w:w="90" w:type="dxa"/>
              <w:start w:w="110" w:type="dxa"/>
              <w:bottom w:w="90" w:type="dxa"/>
              <w:end w:w="110" w:type="dxa"/>
            </w:tcMar>
            <w:vAlign w:val="center"/>
            <w:shd w:fill="F7F9FC"/>
          </w:tcPr>
          <w:p>
            <w:pPr>
              <w:spacing w:after="0"/>
            </w:pPr>
            <w:r>
              <w:rPr>
                <w:color w:val="243447"/>
                <w:sz w:val="14"/>
              </w:rPr>
              <w:t>Show promoted and non-promoted components</w:t>
            </w:r>
          </w:p>
        </w:tc>
      </w:tr>
      <w:tr>
        <w:trPr>
          <w:cantSplit/>
        </w:trPr>
        <w:tc>
          <w:tcPr>
            <w:tcW w:type="dxa" w:w="1872"/>
            <w:tcMar>
              <w:top w:w="90" w:type="dxa"/>
              <w:start w:w="110" w:type="dxa"/>
              <w:bottom w:w="90" w:type="dxa"/>
              <w:end w:w="110" w:type="dxa"/>
            </w:tcMar>
            <w:vAlign w:val="center"/>
          </w:tcPr>
          <w:p>
            <w:pPr>
              <w:spacing w:after="0"/>
              <w:jc w:val="center"/>
            </w:pPr>
            <w:r>
              <w:rPr>
                <w:color w:val="243447"/>
                <w:sz w:val="14"/>
              </w:rPr>
              <w:t>Halo sales</w:t>
            </w:r>
          </w:p>
        </w:tc>
        <w:tc>
          <w:tcPr>
            <w:tcW w:type="dxa" w:w="7056"/>
            <w:tcMar>
              <w:top w:w="90" w:type="dxa"/>
              <w:start w:w="110" w:type="dxa"/>
              <w:bottom w:w="90" w:type="dxa"/>
              <w:end w:w="110" w:type="dxa"/>
            </w:tcMar>
            <w:vAlign w:val="center"/>
          </w:tcPr>
          <w:p>
            <w:pPr>
              <w:spacing w:after="0"/>
            </w:pPr>
            <w:r>
              <w:rPr>
                <w:color w:val="243447"/>
                <w:sz w:val="14"/>
              </w:rPr>
              <w:t>Eligible non-advertised brand/category sales</w:t>
            </w:r>
          </w:p>
        </w:tc>
        <w:tc>
          <w:tcPr>
            <w:tcW w:type="dxa" w:w="1872"/>
            <w:tcMar>
              <w:top w:w="90" w:type="dxa"/>
              <w:start w:w="110" w:type="dxa"/>
              <w:bottom w:w="90" w:type="dxa"/>
              <w:end w:w="110" w:type="dxa"/>
            </w:tcMar>
            <w:vAlign w:val="center"/>
          </w:tcPr>
          <w:p>
            <w:pPr>
              <w:spacing w:after="0"/>
            </w:pPr>
            <w:r>
              <w:rPr>
                <w:color w:val="243447"/>
                <w:sz w:val="14"/>
              </w:rPr>
              <w:t>Never blend silently into advertised-product sales</w:t>
            </w:r>
          </w:p>
        </w:tc>
      </w:tr>
    </w:tbl>
    <w:p>
      <w:pPr>
        <w:spacing w:after="0"/>
      </w:pPr>
    </w:p>
    <w:p>
      <w:pPr>
        <w:pStyle w:val="Heading2"/>
        <w:keepNext/>
      </w:pPr>
      <w:r>
        <w:t>9.3 Incrementality KPIs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7365D"/>
            <w:tcMar>
              <w:top w:w="100" w:type="dxa"/>
              <w:start w:w="110" w:type="dxa"/>
              <w:bottom w:w="100" w:type="dxa"/>
              <w:end w:w="110" w:type="dxa"/>
            </w:tcMar>
            <w:vAlign w:val="center"/>
          </w:tcPr>
          <w:p>
            <w:pPr>
              <w:jc w:val="center"/>
            </w:pPr>
            <w:r>
              <w:rPr>
                <w:b/>
                <w:color w:val="FFFFFF"/>
                <w:sz w:val="14"/>
              </w:rPr>
              <w:t>KPI</w:t>
            </w:r>
          </w:p>
        </w:tc>
        <w:tc>
          <w:tcPr>
            <w:tcW w:type="dxa" w:w="5472"/>
            <w:shd w:fill="17365D"/>
            <w:tcMar>
              <w:top w:w="100" w:type="dxa"/>
              <w:start w:w="110" w:type="dxa"/>
              <w:bottom w:w="100" w:type="dxa"/>
              <w:end w:w="110" w:type="dxa"/>
            </w:tcMar>
            <w:vAlign w:val="center"/>
          </w:tcPr>
          <w:p>
            <w:pPr>
              <w:jc w:val="center"/>
            </w:pPr>
            <w:r>
              <w:rPr>
                <w:b/>
                <w:color w:val="FFFFFF"/>
                <w:sz w:val="14"/>
              </w:rPr>
              <w:t>Definition</w:t>
            </w:r>
          </w:p>
        </w:tc>
        <w:tc>
          <w:tcPr>
            <w:tcW w:type="dxa" w:w="3096"/>
            <w:shd w:fill="17365D"/>
            <w:tcMar>
              <w:top w:w="100" w:type="dxa"/>
              <w:start w:w="110" w:type="dxa"/>
              <w:bottom w:w="100" w:type="dxa"/>
              <w:end w:w="110" w:type="dxa"/>
            </w:tcMar>
            <w:vAlign w:val="center"/>
          </w:tcPr>
          <w:p>
            <w:pPr>
              <w:jc w:val="center"/>
            </w:pPr>
            <w:r>
              <w:rPr>
                <w:b/>
                <w:color w:val="FFFFFF"/>
                <w:sz w:val="14"/>
              </w:rPr>
              <w:t>Minimum evidence</w:t>
            </w:r>
          </w:p>
        </w:tc>
      </w:tr>
      <w:tr>
        <w:trPr>
          <w:cantSplit/>
        </w:trPr>
        <w:tc>
          <w:tcPr>
            <w:tcW w:type="dxa" w:w="2232"/>
            <w:tcMar>
              <w:top w:w="90" w:type="dxa"/>
              <w:start w:w="110" w:type="dxa"/>
              <w:bottom w:w="90" w:type="dxa"/>
              <w:end w:w="110" w:type="dxa"/>
            </w:tcMar>
            <w:vAlign w:val="center"/>
          </w:tcPr>
          <w:p>
            <w:pPr>
              <w:spacing w:after="0"/>
              <w:jc w:val="center"/>
            </w:pPr>
            <w:r>
              <w:rPr>
                <w:color w:val="243447"/>
                <w:sz w:val="14"/>
              </w:rPr>
              <w:t>Incremental sales</w:t>
            </w:r>
          </w:p>
        </w:tc>
        <w:tc>
          <w:tcPr>
            <w:tcW w:type="dxa" w:w="5472"/>
            <w:tcMar>
              <w:top w:w="90" w:type="dxa"/>
              <w:start w:w="110" w:type="dxa"/>
              <w:bottom w:w="90" w:type="dxa"/>
              <w:end w:w="110" w:type="dxa"/>
            </w:tcMar>
            <w:vAlign w:val="center"/>
          </w:tcPr>
          <w:p>
            <w:pPr>
              <w:spacing w:after="0"/>
            </w:pPr>
            <w:r>
              <w:rPr>
                <w:color w:val="243447"/>
                <w:sz w:val="14"/>
              </w:rPr>
              <w:t>Observed treatment outcome minus counterfactual</w:t>
            </w:r>
          </w:p>
        </w:tc>
        <w:tc>
          <w:tcPr>
            <w:tcW w:type="dxa" w:w="3096"/>
            <w:tcMar>
              <w:top w:w="90" w:type="dxa"/>
              <w:start w:w="110" w:type="dxa"/>
              <w:bottom w:w="90" w:type="dxa"/>
              <w:end w:w="110" w:type="dxa"/>
            </w:tcMar>
            <w:vAlign w:val="center"/>
          </w:tcPr>
          <w:p>
            <w:pPr>
              <w:spacing w:after="0"/>
            </w:pPr>
            <w:r>
              <w:rPr>
                <w:color w:val="243447"/>
                <w:sz w:val="14"/>
              </w:rPr>
              <w:t>Approved method and confidence interval</w:t>
            </w:r>
          </w:p>
        </w:tc>
      </w:tr>
      <w:tr>
        <w:trPr>
          <w:cantSplit/>
        </w:trPr>
        <w:tc>
          <w:tcPr>
            <w:tcW w:type="dxa" w:w="2232"/>
            <w:tcMar>
              <w:top w:w="90" w:type="dxa"/>
              <w:start w:w="110" w:type="dxa"/>
              <w:bottom w:w="90" w:type="dxa"/>
              <w:end w:w="110" w:type="dxa"/>
            </w:tcMar>
            <w:vAlign w:val="center"/>
            <w:shd w:fill="F7F9FC"/>
          </w:tcPr>
          <w:p>
            <w:pPr>
              <w:spacing w:after="0"/>
              <w:jc w:val="center"/>
            </w:pPr>
            <w:r>
              <w:rPr>
                <w:color w:val="243447"/>
                <w:sz w:val="14"/>
              </w:rPr>
              <w:t>Sales lift %</w:t>
            </w:r>
          </w:p>
        </w:tc>
        <w:tc>
          <w:tcPr>
            <w:tcW w:type="dxa" w:w="5472"/>
            <w:tcMar>
              <w:top w:w="90" w:type="dxa"/>
              <w:start w:w="110" w:type="dxa"/>
              <w:bottom w:w="90" w:type="dxa"/>
              <w:end w:w="110" w:type="dxa"/>
            </w:tcMar>
            <w:vAlign w:val="center"/>
            <w:shd w:fill="F7F9FC"/>
          </w:tcPr>
          <w:p>
            <w:pPr>
              <w:spacing w:after="0"/>
            </w:pPr>
            <w:r>
              <w:rPr>
                <w:color w:val="243447"/>
                <w:sz w:val="14"/>
              </w:rPr>
              <w:t>Incremental sales / counterfactual sales</w:t>
            </w:r>
          </w:p>
        </w:tc>
        <w:tc>
          <w:tcPr>
            <w:tcW w:type="dxa" w:w="3096"/>
            <w:tcMar>
              <w:top w:w="90" w:type="dxa"/>
              <w:start w:w="110" w:type="dxa"/>
              <w:bottom w:w="90" w:type="dxa"/>
              <w:end w:w="110" w:type="dxa"/>
            </w:tcMar>
            <w:vAlign w:val="center"/>
            <w:shd w:fill="F7F9FC"/>
          </w:tcPr>
          <w:p>
            <w:pPr>
              <w:spacing w:after="0"/>
            </w:pPr>
            <w:r>
              <w:rPr>
                <w:color w:val="243447"/>
                <w:sz w:val="14"/>
              </w:rPr>
              <w:t>Counterfactual and denominator visible</w:t>
            </w:r>
          </w:p>
        </w:tc>
      </w:tr>
      <w:tr>
        <w:trPr>
          <w:cantSplit/>
        </w:trPr>
        <w:tc>
          <w:tcPr>
            <w:tcW w:type="dxa" w:w="2232"/>
            <w:tcMar>
              <w:top w:w="90" w:type="dxa"/>
              <w:start w:w="110" w:type="dxa"/>
              <w:bottom w:w="90" w:type="dxa"/>
              <w:end w:w="110" w:type="dxa"/>
            </w:tcMar>
            <w:vAlign w:val="center"/>
          </w:tcPr>
          <w:p>
            <w:pPr>
              <w:spacing w:after="0"/>
              <w:jc w:val="center"/>
            </w:pPr>
            <w:r>
              <w:rPr>
                <w:color w:val="243447"/>
                <w:sz w:val="14"/>
              </w:rPr>
              <w:t>iROAS</w:t>
            </w:r>
          </w:p>
        </w:tc>
        <w:tc>
          <w:tcPr>
            <w:tcW w:type="dxa" w:w="5472"/>
            <w:tcMar>
              <w:top w:w="90" w:type="dxa"/>
              <w:start w:w="110" w:type="dxa"/>
              <w:bottom w:w="90" w:type="dxa"/>
              <w:end w:w="110" w:type="dxa"/>
            </w:tcMar>
            <w:vAlign w:val="center"/>
          </w:tcPr>
          <w:p>
            <w:pPr>
              <w:spacing w:after="0"/>
            </w:pPr>
            <w:r>
              <w:rPr>
                <w:color w:val="243447"/>
                <w:sz w:val="14"/>
              </w:rPr>
              <w:t>Incremental sales / media cost</w:t>
            </w:r>
          </w:p>
        </w:tc>
        <w:tc>
          <w:tcPr>
            <w:tcW w:type="dxa" w:w="3096"/>
            <w:tcMar>
              <w:top w:w="90" w:type="dxa"/>
              <w:start w:w="110" w:type="dxa"/>
              <w:bottom w:w="90" w:type="dxa"/>
              <w:end w:w="110" w:type="dxa"/>
            </w:tcMar>
            <w:vAlign w:val="center"/>
          </w:tcPr>
          <w:p>
            <w:pPr>
              <w:spacing w:after="0"/>
            </w:pPr>
            <w:r>
              <w:rPr>
                <w:color w:val="243447"/>
                <w:sz w:val="14"/>
              </w:rPr>
              <w:t>Cost scope and confidence visible</w:t>
            </w:r>
          </w:p>
        </w:tc>
      </w:tr>
      <w:tr>
        <w:trPr>
          <w:cantSplit/>
        </w:trPr>
        <w:tc>
          <w:tcPr>
            <w:tcW w:type="dxa" w:w="2232"/>
            <w:tcMar>
              <w:top w:w="90" w:type="dxa"/>
              <w:start w:w="110" w:type="dxa"/>
              <w:bottom w:w="90" w:type="dxa"/>
              <w:end w:w="110" w:type="dxa"/>
            </w:tcMar>
            <w:vAlign w:val="center"/>
            <w:shd w:fill="F7F9FC"/>
          </w:tcPr>
          <w:p>
            <w:pPr>
              <w:spacing w:after="0"/>
            </w:pPr>
            <w:r>
              <w:rPr>
                <w:color w:val="243447"/>
                <w:sz w:val="14"/>
              </w:rPr>
              <w:t>Incremental buyers</w:t>
            </w:r>
          </w:p>
        </w:tc>
        <w:tc>
          <w:tcPr>
            <w:tcW w:type="dxa" w:w="5472"/>
            <w:tcMar>
              <w:top w:w="90" w:type="dxa"/>
              <w:start w:w="110" w:type="dxa"/>
              <w:bottom w:w="90" w:type="dxa"/>
              <w:end w:w="110" w:type="dxa"/>
            </w:tcMar>
            <w:vAlign w:val="center"/>
            <w:shd w:fill="F7F9FC"/>
          </w:tcPr>
          <w:p>
            <w:pPr>
              <w:spacing w:after="0"/>
            </w:pPr>
            <w:r>
              <w:rPr>
                <w:color w:val="243447"/>
                <w:sz w:val="14"/>
              </w:rPr>
              <w:t>Observed buyers minus counterfactual buyers</w:t>
            </w:r>
          </w:p>
        </w:tc>
        <w:tc>
          <w:tcPr>
            <w:tcW w:type="dxa" w:w="3096"/>
            <w:tcMar>
              <w:top w:w="90" w:type="dxa"/>
              <w:start w:w="110" w:type="dxa"/>
              <w:bottom w:w="90" w:type="dxa"/>
              <w:end w:w="110" w:type="dxa"/>
            </w:tcMar>
            <w:vAlign w:val="center"/>
            <w:shd w:fill="F7F9FC"/>
          </w:tcPr>
          <w:p>
            <w:pPr>
              <w:spacing w:after="0"/>
            </w:pPr>
            <w:r>
              <w:rPr>
                <w:color w:val="243447"/>
                <w:sz w:val="14"/>
              </w:rPr>
              <w:t>Buyer identity/estimation rules</w:t>
            </w:r>
          </w:p>
        </w:tc>
      </w:tr>
      <w:tr>
        <w:trPr>
          <w:cantSplit/>
        </w:trPr>
        <w:tc>
          <w:tcPr>
            <w:tcW w:type="dxa" w:w="2232"/>
            <w:tcMar>
              <w:top w:w="90" w:type="dxa"/>
              <w:start w:w="110" w:type="dxa"/>
              <w:bottom w:w="90" w:type="dxa"/>
              <w:end w:w="110" w:type="dxa"/>
            </w:tcMar>
            <w:vAlign w:val="center"/>
          </w:tcPr>
          <w:p>
            <w:pPr>
              <w:spacing w:after="0"/>
            </w:pPr>
            <w:r>
              <w:rPr>
                <w:color w:val="243447"/>
                <w:sz w:val="14"/>
              </w:rPr>
              <w:t>Cost per incremental buyer</w:t>
            </w:r>
          </w:p>
        </w:tc>
        <w:tc>
          <w:tcPr>
            <w:tcW w:type="dxa" w:w="5472"/>
            <w:tcMar>
              <w:top w:w="90" w:type="dxa"/>
              <w:start w:w="110" w:type="dxa"/>
              <w:bottom w:w="90" w:type="dxa"/>
              <w:end w:w="110" w:type="dxa"/>
            </w:tcMar>
            <w:vAlign w:val="center"/>
          </w:tcPr>
          <w:p>
            <w:pPr>
              <w:spacing w:after="0"/>
            </w:pPr>
            <w:r>
              <w:rPr>
                <w:color w:val="243447"/>
                <w:sz w:val="14"/>
              </w:rPr>
              <w:t>Media cost / incremental buyers</w:t>
            </w:r>
          </w:p>
        </w:tc>
        <w:tc>
          <w:tcPr>
            <w:tcW w:type="dxa" w:w="3096"/>
            <w:tcMar>
              <w:top w:w="90" w:type="dxa"/>
              <w:start w:w="110" w:type="dxa"/>
              <w:bottom w:w="90" w:type="dxa"/>
              <w:end w:w="110" w:type="dxa"/>
            </w:tcMar>
            <w:vAlign w:val="center"/>
          </w:tcPr>
          <w:p>
            <w:pPr>
              <w:spacing w:after="0"/>
            </w:pPr>
            <w:r>
              <w:rPr>
                <w:color w:val="243447"/>
                <w:sz w:val="14"/>
              </w:rPr>
              <w:t>Suppress if estimate unstable</w:t>
            </w:r>
          </w:p>
        </w:tc>
      </w:tr>
      <w:tr>
        <w:trPr>
          <w:cantSplit/>
        </w:trPr>
        <w:tc>
          <w:tcPr>
            <w:tcW w:type="dxa" w:w="2232"/>
            <w:tcMar>
              <w:top w:w="90" w:type="dxa"/>
              <w:start w:w="110" w:type="dxa"/>
              <w:bottom w:w="90" w:type="dxa"/>
              <w:end w:w="110" w:type="dxa"/>
            </w:tcMar>
            <w:vAlign w:val="center"/>
            <w:shd w:fill="F7F9FC"/>
          </w:tcPr>
          <w:p>
            <w:pPr>
              <w:spacing w:after="0"/>
            </w:pPr>
            <w:r>
              <w:rPr>
                <w:color w:val="243447"/>
                <w:sz w:val="14"/>
              </w:rPr>
              <w:t>Incremental units/trips</w:t>
            </w:r>
          </w:p>
        </w:tc>
        <w:tc>
          <w:tcPr>
            <w:tcW w:type="dxa" w:w="5472"/>
            <w:tcMar>
              <w:top w:w="90" w:type="dxa"/>
              <w:start w:w="110" w:type="dxa"/>
              <w:bottom w:w="90" w:type="dxa"/>
              <w:end w:w="110" w:type="dxa"/>
            </w:tcMar>
            <w:vAlign w:val="center"/>
            <w:shd w:fill="F7F9FC"/>
          </w:tcPr>
          <w:p>
            <w:pPr>
              <w:spacing w:after="0"/>
            </w:pPr>
            <w:r>
              <w:rPr>
                <w:color w:val="243447"/>
                <w:sz w:val="14"/>
              </w:rPr>
              <w:t>Treatment minus counterfactual</w:t>
            </w:r>
          </w:p>
        </w:tc>
        <w:tc>
          <w:tcPr>
            <w:tcW w:type="dxa" w:w="3096"/>
            <w:tcMar>
              <w:top w:w="90" w:type="dxa"/>
              <w:start w:w="110" w:type="dxa"/>
              <w:bottom w:w="90" w:type="dxa"/>
              <w:end w:w="110" w:type="dxa"/>
            </w:tcMar>
            <w:vAlign w:val="center"/>
            <w:shd w:fill="F7F9FC"/>
          </w:tcPr>
          <w:p>
            <w:pPr>
              <w:spacing w:after="0"/>
            </w:pPr>
            <w:r>
              <w:rPr>
                <w:color w:val="243447"/>
                <w:sz w:val="14"/>
              </w:rPr>
              <w:t>Approved outcome definition</w:t>
            </w:r>
          </w:p>
        </w:tc>
      </w:tr>
      <w:tr>
        <w:trPr>
          <w:cantSplit/>
        </w:trPr>
        <w:tc>
          <w:tcPr>
            <w:tcW w:type="dxa" w:w="2232"/>
            <w:tcMar>
              <w:top w:w="90" w:type="dxa"/>
              <w:start w:w="110" w:type="dxa"/>
              <w:bottom w:w="90" w:type="dxa"/>
              <w:end w:w="110" w:type="dxa"/>
            </w:tcMar>
            <w:vAlign w:val="center"/>
          </w:tcPr>
          <w:p>
            <w:pPr>
              <w:spacing w:after="0"/>
            </w:pPr>
            <w:r>
              <w:rPr>
                <w:color w:val="243447"/>
                <w:sz w:val="14"/>
              </w:rPr>
              <w:t>Addressable/ITT lift</w:t>
            </w:r>
          </w:p>
        </w:tc>
        <w:tc>
          <w:tcPr>
            <w:tcW w:type="dxa" w:w="5472"/>
            <w:tcMar>
              <w:top w:w="90" w:type="dxa"/>
              <w:start w:w="110" w:type="dxa"/>
              <w:bottom w:w="90" w:type="dxa"/>
              <w:end w:w="110" w:type="dxa"/>
            </w:tcMar>
            <w:vAlign w:val="center"/>
          </w:tcPr>
          <w:p>
            <w:pPr>
              <w:spacing w:after="0"/>
            </w:pPr>
            <w:r>
              <w:rPr>
                <w:color w:val="243447"/>
                <w:sz w:val="14"/>
              </w:rPr>
              <w:t>Effect across assigned or matched treatment</w:t>
            </w:r>
          </w:p>
        </w:tc>
        <w:tc>
          <w:tcPr>
            <w:tcW w:type="dxa" w:w="3096"/>
            <w:tcMar>
              <w:top w:w="90" w:type="dxa"/>
              <w:start w:w="110" w:type="dxa"/>
              <w:bottom w:w="90" w:type="dxa"/>
              <w:end w:w="110" w:type="dxa"/>
            </w:tcMar>
            <w:vAlign w:val="center"/>
          </w:tcPr>
          <w:p>
            <w:pPr>
              <w:spacing w:after="0"/>
              <w:jc w:val="center"/>
            </w:pPr>
            <w:r>
              <w:rPr>
                <w:color w:val="243447"/>
                <w:sz w:val="14"/>
              </w:rPr>
              <w:t>Population named</w:t>
            </w:r>
          </w:p>
        </w:tc>
      </w:tr>
      <w:tr>
        <w:trPr>
          <w:cantSplit/>
        </w:trPr>
        <w:tc>
          <w:tcPr>
            <w:tcW w:type="dxa" w:w="2232"/>
            <w:tcMar>
              <w:top w:w="90" w:type="dxa"/>
              <w:start w:w="110" w:type="dxa"/>
              <w:bottom w:w="90" w:type="dxa"/>
              <w:end w:w="110" w:type="dxa"/>
            </w:tcMar>
            <w:vAlign w:val="center"/>
            <w:shd w:fill="F7F9FC"/>
          </w:tcPr>
          <w:p>
            <w:pPr>
              <w:spacing w:after="0"/>
              <w:jc w:val="center"/>
            </w:pPr>
            <w:r>
              <w:rPr>
                <w:color w:val="243447"/>
                <w:sz w:val="14"/>
              </w:rPr>
              <w:t>Served lift</w:t>
            </w:r>
          </w:p>
        </w:tc>
        <w:tc>
          <w:tcPr>
            <w:tcW w:type="dxa" w:w="5472"/>
            <w:tcMar>
              <w:top w:w="90" w:type="dxa"/>
              <w:start w:w="110" w:type="dxa"/>
              <w:bottom w:w="90" w:type="dxa"/>
              <w:end w:w="110" w:type="dxa"/>
            </w:tcMar>
            <w:vAlign w:val="center"/>
            <w:shd w:fill="F7F9FC"/>
          </w:tcPr>
          <w:p>
            <w:pPr>
              <w:spacing w:after="0"/>
            </w:pPr>
            <w:r>
              <w:rPr>
                <w:color w:val="243447"/>
                <w:sz w:val="14"/>
              </w:rPr>
              <w:t>Adjusted effect per exposed shopper</w:t>
            </w:r>
          </w:p>
        </w:tc>
        <w:tc>
          <w:tcPr>
            <w:tcW w:type="dxa" w:w="3096"/>
            <w:tcMar>
              <w:top w:w="90" w:type="dxa"/>
              <w:start w:w="110" w:type="dxa"/>
              <w:bottom w:w="90" w:type="dxa"/>
              <w:end w:w="110" w:type="dxa"/>
            </w:tcMar>
            <w:vAlign w:val="center"/>
            <w:shd w:fill="F7F9FC"/>
          </w:tcPr>
          <w:p>
            <w:pPr>
              <w:spacing w:after="0"/>
            </w:pPr>
            <w:r>
              <w:rPr>
                <w:color w:val="243447"/>
                <w:sz w:val="14"/>
              </w:rPr>
              <w:t>Delivery-rate assumption approved</w:t>
            </w:r>
          </w:p>
        </w:tc>
      </w:tr>
      <w:tr>
        <w:trPr>
          <w:cantSplit/>
        </w:trPr>
        <w:tc>
          <w:tcPr>
            <w:tcW w:type="dxa" w:w="2232"/>
            <w:tcMar>
              <w:top w:w="90" w:type="dxa"/>
              <w:start w:w="110" w:type="dxa"/>
              <w:bottom w:w="90" w:type="dxa"/>
              <w:end w:w="110" w:type="dxa"/>
            </w:tcMar>
            <w:vAlign w:val="center"/>
          </w:tcPr>
          <w:p>
            <w:pPr>
              <w:spacing w:after="0"/>
            </w:pPr>
            <w:r>
              <w:rPr>
                <w:color w:val="243447"/>
                <w:sz w:val="14"/>
              </w:rPr>
              <w:t>Confidence interval / probability positive</w:t>
            </w:r>
          </w:p>
        </w:tc>
        <w:tc>
          <w:tcPr>
            <w:tcW w:type="dxa" w:w="5472"/>
            <w:tcMar>
              <w:top w:w="90" w:type="dxa"/>
              <w:start w:w="110" w:type="dxa"/>
              <w:bottom w:w="90" w:type="dxa"/>
              <w:end w:w="110" w:type="dxa"/>
            </w:tcMar>
            <w:vAlign w:val="center"/>
          </w:tcPr>
          <w:p>
            <w:pPr>
              <w:spacing w:after="0"/>
            </w:pPr>
            <w:r>
              <w:rPr>
                <w:color w:val="243447"/>
                <w:sz w:val="14"/>
              </w:rPr>
              <w:t>Uncertainty around causal estimate</w:t>
            </w:r>
          </w:p>
        </w:tc>
        <w:tc>
          <w:tcPr>
            <w:tcW w:type="dxa" w:w="3096"/>
            <w:tcMar>
              <w:top w:w="90" w:type="dxa"/>
              <w:start w:w="110" w:type="dxa"/>
              <w:bottom w:w="90" w:type="dxa"/>
              <w:end w:w="110" w:type="dxa"/>
            </w:tcMar>
            <w:vAlign w:val="center"/>
          </w:tcPr>
          <w:p>
            <w:pPr>
              <w:spacing w:after="0"/>
            </w:pPr>
            <w:r>
              <w:rPr>
                <w:color w:val="243447"/>
                <w:sz w:val="14"/>
              </w:rPr>
              <w:t>Required on all causal cards</w:t>
            </w:r>
          </w:p>
        </w:tc>
      </w:tr>
      <w:tr>
        <w:trPr>
          <w:cantSplit/>
        </w:trPr>
        <w:tc>
          <w:tcPr>
            <w:tcW w:type="dxa" w:w="2232"/>
            <w:tcMar>
              <w:top w:w="90" w:type="dxa"/>
              <w:start w:w="110" w:type="dxa"/>
              <w:bottom w:w="90" w:type="dxa"/>
              <w:end w:w="110" w:type="dxa"/>
            </w:tcMar>
            <w:vAlign w:val="center"/>
            <w:shd w:fill="F7F9FC"/>
          </w:tcPr>
          <w:p>
            <w:pPr>
              <w:spacing w:after="0"/>
            </w:pPr>
            <w:r>
              <w:rPr>
                <w:color w:val="243447"/>
                <w:sz w:val="14"/>
              </w:rPr>
              <w:t>Minimum detectable effect</w:t>
            </w:r>
          </w:p>
        </w:tc>
        <w:tc>
          <w:tcPr>
            <w:tcW w:type="dxa" w:w="5472"/>
            <w:tcMar>
              <w:top w:w="90" w:type="dxa"/>
              <w:start w:w="110" w:type="dxa"/>
              <w:bottom w:w="90" w:type="dxa"/>
              <w:end w:w="110" w:type="dxa"/>
            </w:tcMar>
            <w:vAlign w:val="center"/>
            <w:shd w:fill="F7F9FC"/>
          </w:tcPr>
          <w:p>
            <w:pPr>
              <w:spacing w:after="0"/>
            </w:pPr>
            <w:r>
              <w:rPr>
                <w:color w:val="243447"/>
                <w:sz w:val="14"/>
              </w:rPr>
              <w:t>Smallest effect design could reliably detect</w:t>
            </w:r>
          </w:p>
        </w:tc>
        <w:tc>
          <w:tcPr>
            <w:tcW w:type="dxa" w:w="3096"/>
            <w:tcMar>
              <w:top w:w="90" w:type="dxa"/>
              <w:start w:w="110" w:type="dxa"/>
              <w:bottom w:w="90" w:type="dxa"/>
              <w:end w:w="110" w:type="dxa"/>
            </w:tcMar>
            <w:vAlign w:val="center"/>
            <w:shd w:fill="F7F9FC"/>
          </w:tcPr>
          <w:p>
            <w:pPr>
              <w:spacing w:after="0"/>
            </w:pPr>
            <w:r>
              <w:rPr>
                <w:color w:val="243447"/>
                <w:sz w:val="14"/>
              </w:rPr>
              <w:t>Shown before and after campaign</w:t>
            </w:r>
          </w:p>
        </w:tc>
      </w:tr>
    </w:tbl>
    <w:p>
      <w:pPr>
        <w:spacing w:after="0"/>
      </w:pPr>
    </w:p>
    <w:p>
      <w:r>
        <w:br w:type="page"/>
      </w:r>
    </w:p>
    <w:p>
      <w:pPr>
        <w:pStyle w:val="Heading1"/>
        <w:keepNext/>
      </w:pPr>
      <w:r>
        <w:t>10. Proposed visual catalogue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7365D"/>
            <w:tcMar>
              <w:top w:w="100" w:type="dxa"/>
              <w:start w:w="110" w:type="dxa"/>
              <w:bottom w:w="100" w:type="dxa"/>
              <w:end w:w="110" w:type="dxa"/>
            </w:tcMar>
            <w:vAlign w:val="center"/>
          </w:tcPr>
          <w:p>
            <w:pPr>
              <w:jc w:val="center"/>
            </w:pPr>
            <w:r>
              <w:rPr>
                <w:b/>
                <w:color w:val="FFFFFF"/>
                <w:sz w:val="14"/>
              </w:rPr>
              <w:t>Visual</w:t>
            </w:r>
          </w:p>
        </w:tc>
        <w:tc>
          <w:tcPr>
            <w:tcW w:type="dxa" w:w="3600"/>
            <w:shd w:fill="17365D"/>
            <w:tcMar>
              <w:top w:w="100" w:type="dxa"/>
              <w:start w:w="110" w:type="dxa"/>
              <w:bottom w:w="100" w:type="dxa"/>
              <w:end w:w="110" w:type="dxa"/>
            </w:tcMar>
            <w:vAlign w:val="center"/>
          </w:tcPr>
          <w:p>
            <w:pPr>
              <w:jc w:val="center"/>
            </w:pPr>
            <w:r>
              <w:rPr>
                <w:b/>
                <w:color w:val="FFFFFF"/>
                <w:sz w:val="14"/>
              </w:rPr>
              <w:t>Question answered</w:t>
            </w:r>
          </w:p>
        </w:tc>
        <w:tc>
          <w:tcPr>
            <w:tcW w:type="dxa" w:w="5112"/>
            <w:shd w:fill="17365D"/>
            <w:tcMar>
              <w:top w:w="100" w:type="dxa"/>
              <w:start w:w="110" w:type="dxa"/>
              <w:bottom w:w="100" w:type="dxa"/>
              <w:end w:w="110" w:type="dxa"/>
            </w:tcMar>
            <w:vAlign w:val="center"/>
          </w:tcPr>
          <w:p>
            <w:pPr>
              <w:jc w:val="center"/>
            </w:pPr>
            <w:r>
              <w:rPr>
                <w:b/>
                <w:color w:val="FFFFFF"/>
                <w:sz w:val="14"/>
              </w:rPr>
              <w:t>Required behavior</w:t>
            </w:r>
          </w:p>
        </w:tc>
      </w:tr>
      <w:tr>
        <w:trPr>
          <w:cantSplit/>
        </w:trPr>
        <w:tc>
          <w:tcPr>
            <w:tcW w:type="dxa" w:w="2088"/>
            <w:tcMar>
              <w:top w:w="90" w:type="dxa"/>
              <w:start w:w="110" w:type="dxa"/>
              <w:bottom w:w="90" w:type="dxa"/>
              <w:end w:w="110" w:type="dxa"/>
            </w:tcMar>
            <w:vAlign w:val="center"/>
          </w:tcPr>
          <w:p>
            <w:pPr>
              <w:spacing w:after="0"/>
            </w:pPr>
            <w:r>
              <w:rPr>
                <w:color w:val="243447"/>
                <w:sz w:val="14"/>
              </w:rPr>
              <w:t>Population waterfall/funnel</w:t>
            </w:r>
          </w:p>
        </w:tc>
        <w:tc>
          <w:tcPr>
            <w:tcW w:type="dxa" w:w="3600"/>
            <w:tcMar>
              <w:top w:w="90" w:type="dxa"/>
              <w:start w:w="110" w:type="dxa"/>
              <w:bottom w:w="90" w:type="dxa"/>
              <w:end w:w="110" w:type="dxa"/>
            </w:tcMar>
            <w:vAlign w:val="center"/>
          </w:tcPr>
          <w:p>
            <w:pPr>
              <w:spacing w:after="0"/>
            </w:pPr>
            <w:r>
              <w:rPr>
                <w:color w:val="243447"/>
                <w:sz w:val="14"/>
              </w:rPr>
              <w:t>Where did the audience shrink?</w:t>
            </w:r>
          </w:p>
        </w:tc>
        <w:tc>
          <w:tcPr>
            <w:tcW w:type="dxa" w:w="5112"/>
            <w:tcMar>
              <w:top w:w="90" w:type="dxa"/>
              <w:start w:w="110" w:type="dxa"/>
              <w:bottom w:w="90" w:type="dxa"/>
              <w:end w:w="110" w:type="dxa"/>
            </w:tcMar>
            <w:vAlign w:val="center"/>
          </w:tcPr>
          <w:p>
            <w:pPr>
              <w:spacing w:after="0"/>
            </w:pPr>
            <w:r>
              <w:rPr>
                <w:color w:val="243447"/>
                <w:sz w:val="14"/>
              </w:rPr>
              <w:t>Built → eligible → pushed → matched → exposed → measured; counts and rates; treatment/control split</w:t>
            </w:r>
          </w:p>
        </w:tc>
      </w:tr>
      <w:tr>
        <w:trPr>
          <w:cantSplit/>
        </w:trPr>
        <w:tc>
          <w:tcPr>
            <w:tcW w:type="dxa" w:w="2088"/>
            <w:tcMar>
              <w:top w:w="90" w:type="dxa"/>
              <w:start w:w="110" w:type="dxa"/>
              <w:bottom w:w="90" w:type="dxa"/>
              <w:end w:w="110" w:type="dxa"/>
            </w:tcMar>
            <w:vAlign w:val="center"/>
            <w:shd w:fill="F7F9FC"/>
          </w:tcPr>
          <w:p>
            <w:pPr>
              <w:spacing w:after="0"/>
              <w:jc w:val="center"/>
            </w:pPr>
            <w:r>
              <w:rPr>
                <w:color w:val="243447"/>
                <w:sz w:val="14"/>
              </w:rPr>
              <w:t>Outcome scorecard</w:t>
            </w:r>
          </w:p>
        </w:tc>
        <w:tc>
          <w:tcPr>
            <w:tcW w:type="dxa" w:w="3600"/>
            <w:tcMar>
              <w:top w:w="90" w:type="dxa"/>
              <w:start w:w="110" w:type="dxa"/>
              <w:bottom w:w="90" w:type="dxa"/>
              <w:end w:w="110" w:type="dxa"/>
            </w:tcMar>
            <w:vAlign w:val="center"/>
            <w:shd w:fill="F7F9FC"/>
          </w:tcPr>
          <w:p>
            <w:pPr>
              <w:spacing w:after="0"/>
            </w:pPr>
            <w:r>
              <w:rPr>
                <w:color w:val="243447"/>
                <w:sz w:val="14"/>
              </w:rPr>
              <w:t>What business outcome was delivered?</w:t>
            </w:r>
          </w:p>
        </w:tc>
        <w:tc>
          <w:tcPr>
            <w:tcW w:type="dxa" w:w="5112"/>
            <w:tcMar>
              <w:top w:w="90" w:type="dxa"/>
              <w:start w:w="110" w:type="dxa"/>
              <w:bottom w:w="90" w:type="dxa"/>
              <w:end w:w="110" w:type="dxa"/>
            </w:tcMar>
            <w:vAlign w:val="center"/>
            <w:shd w:fill="F7F9FC"/>
          </w:tcPr>
          <w:p>
            <w:pPr>
              <w:spacing w:after="0"/>
            </w:pPr>
            <w:r>
              <w:rPr>
                <w:color w:val="243447"/>
                <w:sz w:val="14"/>
              </w:rPr>
              <w:t>Attributed and incremental metrics separated; quality and confidence badges</w:t>
            </w:r>
          </w:p>
        </w:tc>
      </w:tr>
      <w:tr>
        <w:trPr>
          <w:cantSplit/>
        </w:trPr>
        <w:tc>
          <w:tcPr>
            <w:tcW w:type="dxa" w:w="2088"/>
            <w:tcMar>
              <w:top w:w="90" w:type="dxa"/>
              <w:start w:w="110" w:type="dxa"/>
              <w:bottom w:w="90" w:type="dxa"/>
              <w:end w:w="110" w:type="dxa"/>
            </w:tcMar>
            <w:vAlign w:val="center"/>
          </w:tcPr>
          <w:p>
            <w:pPr>
              <w:spacing w:after="0"/>
            </w:pPr>
            <w:r>
              <w:rPr>
                <w:color w:val="243447"/>
                <w:sz w:val="14"/>
              </w:rPr>
              <w:t>Time series with campaign bands</w:t>
            </w:r>
          </w:p>
        </w:tc>
        <w:tc>
          <w:tcPr>
            <w:tcW w:type="dxa" w:w="3600"/>
            <w:tcMar>
              <w:top w:w="90" w:type="dxa"/>
              <w:start w:w="110" w:type="dxa"/>
              <w:bottom w:w="90" w:type="dxa"/>
              <w:end w:w="110" w:type="dxa"/>
            </w:tcMar>
            <w:vAlign w:val="center"/>
          </w:tcPr>
          <w:p>
            <w:pPr>
              <w:spacing w:after="0"/>
            </w:pPr>
            <w:r>
              <w:rPr>
                <w:color w:val="243447"/>
                <w:sz w:val="14"/>
              </w:rPr>
              <w:t>When did delivery and sales change?</w:t>
            </w:r>
          </w:p>
        </w:tc>
        <w:tc>
          <w:tcPr>
            <w:tcW w:type="dxa" w:w="5112"/>
            <w:tcMar>
              <w:top w:w="90" w:type="dxa"/>
              <w:start w:w="110" w:type="dxa"/>
              <w:bottom w:w="90" w:type="dxa"/>
              <w:end w:w="110" w:type="dxa"/>
            </w:tcMar>
            <w:vAlign w:val="center"/>
          </w:tcPr>
          <w:p>
            <w:pPr>
              <w:spacing w:after="0"/>
            </w:pPr>
            <w:r>
              <w:rPr>
                <w:color w:val="243447"/>
                <w:sz w:val="14"/>
              </w:rPr>
              <w:t>Spend, exposure, sales and baseline on aligned dates; maturity/freshness markers</w:t>
            </w:r>
          </w:p>
        </w:tc>
      </w:tr>
      <w:tr>
        <w:trPr>
          <w:cantSplit/>
        </w:trPr>
        <w:tc>
          <w:tcPr>
            <w:tcW w:type="dxa" w:w="2088"/>
            <w:tcMar>
              <w:top w:w="90" w:type="dxa"/>
              <w:start w:w="110" w:type="dxa"/>
              <w:bottom w:w="90" w:type="dxa"/>
              <w:end w:w="110" w:type="dxa"/>
            </w:tcMar>
            <w:vAlign w:val="center"/>
            <w:shd w:fill="F7F9FC"/>
          </w:tcPr>
          <w:p>
            <w:pPr>
              <w:spacing w:after="0"/>
            </w:pPr>
            <w:r>
              <w:rPr>
                <w:color w:val="243447"/>
                <w:sz w:val="14"/>
              </w:rPr>
              <w:t>Test vs control indexed trend</w:t>
            </w:r>
          </w:p>
        </w:tc>
        <w:tc>
          <w:tcPr>
            <w:tcW w:type="dxa" w:w="3600"/>
            <w:tcMar>
              <w:top w:w="90" w:type="dxa"/>
              <w:start w:w="110" w:type="dxa"/>
              <w:bottom w:w="90" w:type="dxa"/>
              <w:end w:w="110" w:type="dxa"/>
            </w:tcMar>
            <w:vAlign w:val="center"/>
            <w:shd w:fill="F7F9FC"/>
          </w:tcPr>
          <w:p>
            <w:pPr>
              <w:spacing w:after="0"/>
            </w:pPr>
            <w:r>
              <w:rPr>
                <w:color w:val="243447"/>
                <w:sz w:val="14"/>
              </w:rPr>
              <w:t>Did treatment diverge from control?</w:t>
            </w:r>
          </w:p>
        </w:tc>
        <w:tc>
          <w:tcPr>
            <w:tcW w:type="dxa" w:w="5112"/>
            <w:tcMar>
              <w:top w:w="90" w:type="dxa"/>
              <w:start w:w="110" w:type="dxa"/>
              <w:bottom w:w="90" w:type="dxa"/>
              <w:end w:w="110" w:type="dxa"/>
            </w:tcMar>
            <w:vAlign w:val="center"/>
            <w:shd w:fill="F7F9FC"/>
          </w:tcPr>
          <w:p>
            <w:pPr>
              <w:spacing w:after="0"/>
            </w:pPr>
            <w:r>
              <w:rPr>
                <w:color w:val="243447"/>
                <w:sz w:val="14"/>
              </w:rPr>
              <w:t>Pre-period normalized to 100; campaign start/end; confidence band</w:t>
            </w:r>
          </w:p>
        </w:tc>
      </w:tr>
      <w:tr>
        <w:trPr>
          <w:cantSplit/>
        </w:trPr>
        <w:tc>
          <w:tcPr>
            <w:tcW w:type="dxa" w:w="2088"/>
            <w:tcMar>
              <w:top w:w="90" w:type="dxa"/>
              <w:start w:w="110" w:type="dxa"/>
              <w:bottom w:w="90" w:type="dxa"/>
              <w:end w:w="110" w:type="dxa"/>
            </w:tcMar>
            <w:vAlign w:val="center"/>
          </w:tcPr>
          <w:p>
            <w:pPr>
              <w:spacing w:after="0"/>
            </w:pPr>
            <w:r>
              <w:rPr>
                <w:color w:val="243447"/>
                <w:sz w:val="14"/>
              </w:rPr>
              <w:t>Incrementality bridge</w:t>
            </w:r>
          </w:p>
        </w:tc>
        <w:tc>
          <w:tcPr>
            <w:tcW w:type="dxa" w:w="3600"/>
            <w:tcMar>
              <w:top w:w="90" w:type="dxa"/>
              <w:start w:w="110" w:type="dxa"/>
              <w:bottom w:w="90" w:type="dxa"/>
              <w:end w:w="110" w:type="dxa"/>
            </w:tcMar>
            <w:vAlign w:val="center"/>
          </w:tcPr>
          <w:p>
            <w:pPr>
              <w:spacing w:after="0"/>
            </w:pPr>
            <w:r>
              <w:rPr>
                <w:color w:val="243447"/>
                <w:sz w:val="14"/>
              </w:rPr>
              <w:t>How is incremental value derived?</w:t>
            </w:r>
          </w:p>
        </w:tc>
        <w:tc>
          <w:tcPr>
            <w:tcW w:type="dxa" w:w="5112"/>
            <w:tcMar>
              <w:top w:w="90" w:type="dxa"/>
              <w:start w:w="110" w:type="dxa"/>
              <w:bottom w:w="90" w:type="dxa"/>
              <w:end w:w="110" w:type="dxa"/>
            </w:tcMar>
            <w:vAlign w:val="center"/>
          </w:tcPr>
          <w:p>
            <w:pPr>
              <w:spacing w:after="0"/>
            </w:pPr>
            <w:r>
              <w:rPr>
                <w:color w:val="243447"/>
                <w:sz w:val="14"/>
              </w:rPr>
              <w:t>Observed treatment, counterfactual, increment, cost and net value</w:t>
            </w:r>
          </w:p>
        </w:tc>
      </w:tr>
      <w:tr>
        <w:trPr>
          <w:cantSplit/>
        </w:trPr>
        <w:tc>
          <w:tcPr>
            <w:tcW w:type="dxa" w:w="2088"/>
            <w:tcMar>
              <w:top w:w="90" w:type="dxa"/>
              <w:start w:w="110" w:type="dxa"/>
              <w:bottom w:w="90" w:type="dxa"/>
              <w:end w:w="110" w:type="dxa"/>
            </w:tcMar>
            <w:vAlign w:val="center"/>
            <w:shd w:fill="F7F9FC"/>
          </w:tcPr>
          <w:p>
            <w:pPr>
              <w:spacing w:after="0"/>
            </w:pPr>
            <w:r>
              <w:rPr>
                <w:color w:val="243447"/>
                <w:sz w:val="14"/>
              </w:rPr>
              <w:t>Channel contribution bars</w:t>
            </w:r>
          </w:p>
        </w:tc>
        <w:tc>
          <w:tcPr>
            <w:tcW w:type="dxa" w:w="3600"/>
            <w:tcMar>
              <w:top w:w="90" w:type="dxa"/>
              <w:start w:w="110" w:type="dxa"/>
              <w:bottom w:w="90" w:type="dxa"/>
              <w:end w:w="110" w:type="dxa"/>
            </w:tcMar>
            <w:vAlign w:val="center"/>
            <w:shd w:fill="F7F9FC"/>
          </w:tcPr>
          <w:p>
            <w:pPr>
              <w:spacing w:after="0"/>
            </w:pPr>
            <w:r>
              <w:rPr>
                <w:color w:val="243447"/>
                <w:sz w:val="14"/>
              </w:rPr>
              <w:t>Which channel contributed?</w:t>
            </w:r>
          </w:p>
        </w:tc>
        <w:tc>
          <w:tcPr>
            <w:tcW w:type="dxa" w:w="5112"/>
            <w:tcMar>
              <w:top w:w="90" w:type="dxa"/>
              <w:start w:w="110" w:type="dxa"/>
              <w:bottom w:w="90" w:type="dxa"/>
              <w:end w:w="110" w:type="dxa"/>
            </w:tcMar>
            <w:vAlign w:val="center"/>
            <w:shd w:fill="F7F9FC"/>
          </w:tcPr>
          <w:p>
            <w:pPr>
              <w:spacing w:after="0"/>
            </w:pPr>
            <w:r>
              <w:rPr>
                <w:color w:val="243447"/>
                <w:sz w:val="14"/>
              </w:rPr>
              <w:t>Show attributed and incremental values separately; no double-count summation without dedupe</w:t>
            </w:r>
          </w:p>
        </w:tc>
      </w:tr>
      <w:tr>
        <w:trPr>
          <w:cantSplit/>
        </w:trPr>
        <w:tc>
          <w:tcPr>
            <w:tcW w:type="dxa" w:w="2088"/>
            <w:tcMar>
              <w:top w:w="90" w:type="dxa"/>
              <w:start w:w="110" w:type="dxa"/>
              <w:bottom w:w="90" w:type="dxa"/>
              <w:end w:w="110" w:type="dxa"/>
            </w:tcMar>
            <w:vAlign w:val="center"/>
          </w:tcPr>
          <w:p>
            <w:pPr>
              <w:spacing w:after="0"/>
              <w:jc w:val="center"/>
            </w:pPr>
            <w:r>
              <w:rPr>
                <w:color w:val="243447"/>
                <w:sz w:val="14"/>
              </w:rPr>
              <w:t>Audience matrix</w:t>
            </w:r>
          </w:p>
        </w:tc>
        <w:tc>
          <w:tcPr>
            <w:tcW w:type="dxa" w:w="3600"/>
            <w:tcMar>
              <w:top w:w="90" w:type="dxa"/>
              <w:start w:w="110" w:type="dxa"/>
              <w:bottom w:w="90" w:type="dxa"/>
              <w:end w:w="110" w:type="dxa"/>
            </w:tcMar>
            <w:vAlign w:val="center"/>
          </w:tcPr>
          <w:p>
            <w:pPr>
              <w:spacing w:after="0"/>
            </w:pPr>
            <w:r>
              <w:rPr>
                <w:color w:val="243447"/>
                <w:sz w:val="14"/>
              </w:rPr>
              <w:t>Which audience performed best?</w:t>
            </w:r>
          </w:p>
        </w:tc>
        <w:tc>
          <w:tcPr>
            <w:tcW w:type="dxa" w:w="5112"/>
            <w:tcMar>
              <w:top w:w="90" w:type="dxa"/>
              <w:start w:w="110" w:type="dxa"/>
              <w:bottom w:w="90" w:type="dxa"/>
              <w:end w:w="110" w:type="dxa"/>
            </w:tcMar>
            <w:vAlign w:val="center"/>
          </w:tcPr>
          <w:p>
            <w:pPr>
              <w:spacing w:after="0"/>
            </w:pPr>
            <w:r>
              <w:rPr>
                <w:color w:val="243447"/>
                <w:sz w:val="14"/>
              </w:rPr>
              <w:t>Size, match, conversion, lift, iROAS and confidence in one ranked view</w:t>
            </w:r>
          </w:p>
        </w:tc>
      </w:tr>
      <w:tr>
        <w:trPr>
          <w:cantSplit/>
        </w:trPr>
        <w:tc>
          <w:tcPr>
            <w:tcW w:type="dxa" w:w="2088"/>
            <w:tcMar>
              <w:top w:w="90" w:type="dxa"/>
              <w:start w:w="110" w:type="dxa"/>
              <w:bottom w:w="90" w:type="dxa"/>
              <w:end w:w="110" w:type="dxa"/>
            </w:tcMar>
            <w:vAlign w:val="center"/>
            <w:shd w:fill="F7F9FC"/>
          </w:tcPr>
          <w:p>
            <w:pPr>
              <w:spacing w:after="0"/>
              <w:jc w:val="center"/>
            </w:pPr>
            <w:r>
              <w:rPr>
                <w:color w:val="243447"/>
                <w:sz w:val="14"/>
              </w:rPr>
              <w:t>Creative quadrant</w:t>
            </w:r>
          </w:p>
        </w:tc>
        <w:tc>
          <w:tcPr>
            <w:tcW w:type="dxa" w:w="3600"/>
            <w:tcMar>
              <w:top w:w="90" w:type="dxa"/>
              <w:start w:w="110" w:type="dxa"/>
              <w:bottom w:w="90" w:type="dxa"/>
              <w:end w:w="110" w:type="dxa"/>
            </w:tcMar>
            <w:vAlign w:val="center"/>
            <w:shd w:fill="F7F9FC"/>
          </w:tcPr>
          <w:p>
            <w:pPr>
              <w:spacing w:after="0"/>
            </w:pPr>
            <w:r>
              <w:rPr>
                <w:color w:val="243447"/>
                <w:sz w:val="14"/>
              </w:rPr>
              <w:t>Which creatives scale efficiently?</w:t>
            </w:r>
          </w:p>
        </w:tc>
        <w:tc>
          <w:tcPr>
            <w:tcW w:type="dxa" w:w="5112"/>
            <w:tcMar>
              <w:top w:w="90" w:type="dxa"/>
              <w:start w:w="110" w:type="dxa"/>
              <w:bottom w:w="90" w:type="dxa"/>
              <w:end w:w="110" w:type="dxa"/>
            </w:tcMar>
            <w:vAlign w:val="center"/>
            <w:shd w:fill="F7F9FC"/>
          </w:tcPr>
          <w:p>
            <w:pPr>
              <w:spacing w:after="0"/>
            </w:pPr>
            <w:r>
              <w:rPr>
                <w:color w:val="243447"/>
                <w:sz w:val="14"/>
              </w:rPr>
              <w:t>Reach or spend vs. lift/ROAS; bubble size sales; quality filtering</w:t>
            </w:r>
          </w:p>
        </w:tc>
      </w:tr>
      <w:tr>
        <w:trPr>
          <w:cantSplit/>
        </w:trPr>
        <w:tc>
          <w:tcPr>
            <w:tcW w:type="dxa" w:w="2088"/>
            <w:tcMar>
              <w:top w:w="90" w:type="dxa"/>
              <w:start w:w="110" w:type="dxa"/>
              <w:bottom w:w="90" w:type="dxa"/>
              <w:end w:w="110" w:type="dxa"/>
            </w:tcMar>
            <w:vAlign w:val="center"/>
          </w:tcPr>
          <w:p>
            <w:pPr>
              <w:spacing w:after="0"/>
              <w:jc w:val="center"/>
            </w:pPr>
            <w:r>
              <w:rPr>
                <w:color w:val="243447"/>
                <w:sz w:val="14"/>
              </w:rPr>
              <w:t>Product/halo tree</w:t>
            </w:r>
          </w:p>
        </w:tc>
        <w:tc>
          <w:tcPr>
            <w:tcW w:type="dxa" w:w="3600"/>
            <w:tcMar>
              <w:top w:w="90" w:type="dxa"/>
              <w:start w:w="110" w:type="dxa"/>
              <w:bottom w:w="90" w:type="dxa"/>
              <w:end w:w="110" w:type="dxa"/>
            </w:tcMar>
            <w:vAlign w:val="center"/>
          </w:tcPr>
          <w:p>
            <w:pPr>
              <w:spacing w:after="0"/>
            </w:pPr>
            <w:r>
              <w:rPr>
                <w:color w:val="243447"/>
                <w:sz w:val="14"/>
              </w:rPr>
              <w:t>Which products drove results?</w:t>
            </w:r>
          </w:p>
        </w:tc>
        <w:tc>
          <w:tcPr>
            <w:tcW w:type="dxa" w:w="5112"/>
            <w:tcMar>
              <w:top w:w="90" w:type="dxa"/>
              <w:start w:w="110" w:type="dxa"/>
              <w:bottom w:w="90" w:type="dxa"/>
              <w:end w:w="110" w:type="dxa"/>
            </w:tcMar>
            <w:vAlign w:val="center"/>
          </w:tcPr>
          <w:p>
            <w:pPr>
              <w:spacing w:after="0"/>
            </w:pPr>
            <w:r>
              <w:rPr>
                <w:color w:val="243447"/>
                <w:sz w:val="14"/>
              </w:rPr>
              <w:t>Advertised SKUs, brand halo, category halo with inclusion rule</w:t>
            </w:r>
          </w:p>
        </w:tc>
      </w:tr>
      <w:tr>
        <w:trPr>
          <w:cantSplit/>
        </w:trPr>
        <w:tc>
          <w:tcPr>
            <w:tcW w:type="dxa" w:w="2088"/>
            <w:tcMar>
              <w:top w:w="90" w:type="dxa"/>
              <w:start w:w="110" w:type="dxa"/>
              <w:bottom w:w="90" w:type="dxa"/>
              <w:end w:w="110" w:type="dxa"/>
            </w:tcMar>
            <w:vAlign w:val="center"/>
            <w:shd w:fill="F7F9FC"/>
          </w:tcPr>
          <w:p>
            <w:pPr>
              <w:spacing w:after="0"/>
            </w:pPr>
            <w:r>
              <w:rPr>
                <w:color w:val="243447"/>
                <w:sz w:val="14"/>
              </w:rPr>
              <w:t>Basket affinity heatmap</w:t>
            </w:r>
          </w:p>
        </w:tc>
        <w:tc>
          <w:tcPr>
            <w:tcW w:type="dxa" w:w="3600"/>
            <w:tcMar>
              <w:top w:w="90" w:type="dxa"/>
              <w:start w:w="110" w:type="dxa"/>
              <w:bottom w:w="90" w:type="dxa"/>
              <w:end w:w="110" w:type="dxa"/>
            </w:tcMar>
            <w:vAlign w:val="center"/>
            <w:shd w:fill="F7F9FC"/>
          </w:tcPr>
          <w:p>
            <w:pPr>
              <w:spacing w:after="0"/>
            </w:pPr>
            <w:r>
              <w:rPr>
                <w:color w:val="243447"/>
                <w:sz w:val="14"/>
              </w:rPr>
              <w:t>What else did converters buy?</w:t>
            </w:r>
          </w:p>
        </w:tc>
        <w:tc>
          <w:tcPr>
            <w:tcW w:type="dxa" w:w="5112"/>
            <w:tcMar>
              <w:top w:w="90" w:type="dxa"/>
              <w:start w:w="110" w:type="dxa"/>
              <w:bottom w:w="90" w:type="dxa"/>
              <w:end w:w="110" w:type="dxa"/>
            </w:tcMar>
            <w:vAlign w:val="center"/>
            <w:shd w:fill="F7F9FC"/>
          </w:tcPr>
          <w:p>
            <w:pPr>
              <w:spacing w:after="0"/>
            </w:pPr>
            <w:r>
              <w:rPr>
                <w:color w:val="243447"/>
                <w:sz w:val="14"/>
              </w:rPr>
              <w:t>Lift/index versus benchmark, not raw co-occurrence only</w:t>
            </w:r>
          </w:p>
        </w:tc>
      </w:tr>
      <w:tr>
        <w:trPr>
          <w:cantSplit/>
        </w:trPr>
        <w:tc>
          <w:tcPr>
            <w:tcW w:type="dxa" w:w="2088"/>
            <w:tcMar>
              <w:top w:w="90" w:type="dxa"/>
              <w:start w:w="110" w:type="dxa"/>
              <w:bottom w:w="90" w:type="dxa"/>
              <w:end w:w="110" w:type="dxa"/>
            </w:tcMar>
            <w:vAlign w:val="center"/>
          </w:tcPr>
          <w:p>
            <w:pPr>
              <w:spacing w:after="0"/>
            </w:pPr>
            <w:r>
              <w:rPr>
                <w:color w:val="243447"/>
                <w:sz w:val="14"/>
              </w:rPr>
              <w:t>New/repeat cohort chart</w:t>
            </w:r>
          </w:p>
        </w:tc>
        <w:tc>
          <w:tcPr>
            <w:tcW w:type="dxa" w:w="3600"/>
            <w:tcMar>
              <w:top w:w="90" w:type="dxa"/>
              <w:start w:w="110" w:type="dxa"/>
              <w:bottom w:w="90" w:type="dxa"/>
              <w:end w:w="110" w:type="dxa"/>
            </w:tcMar>
            <w:vAlign w:val="center"/>
          </w:tcPr>
          <w:p>
            <w:pPr>
              <w:spacing w:after="0"/>
            </w:pPr>
            <w:r>
              <w:rPr>
                <w:color w:val="243447"/>
                <w:sz w:val="14"/>
              </w:rPr>
              <w:t>Did the campaign acquire or retain buyers?</w:t>
            </w:r>
          </w:p>
        </w:tc>
        <w:tc>
          <w:tcPr>
            <w:tcW w:type="dxa" w:w="5112"/>
            <w:tcMar>
              <w:top w:w="90" w:type="dxa"/>
              <w:start w:w="110" w:type="dxa"/>
              <w:bottom w:w="90" w:type="dxa"/>
              <w:end w:w="110" w:type="dxa"/>
            </w:tcMar>
            <w:vAlign w:val="center"/>
          </w:tcPr>
          <w:p>
            <w:pPr>
              <w:spacing w:after="0"/>
            </w:pPr>
            <w:r>
              <w:rPr>
                <w:color w:val="243447"/>
                <w:sz w:val="14"/>
              </w:rPr>
              <w:t>New-to-brand cohort and follow-up repurchase</w:t>
            </w:r>
          </w:p>
        </w:tc>
      </w:tr>
      <w:tr>
        <w:trPr>
          <w:cantSplit/>
        </w:trPr>
        <w:tc>
          <w:tcPr>
            <w:tcW w:type="dxa" w:w="2088"/>
            <w:tcMar>
              <w:top w:w="90" w:type="dxa"/>
              <w:start w:w="110" w:type="dxa"/>
              <w:bottom w:w="90" w:type="dxa"/>
              <w:end w:w="110" w:type="dxa"/>
            </w:tcMar>
            <w:vAlign w:val="center"/>
            <w:shd w:fill="F7F9FC"/>
          </w:tcPr>
          <w:p>
            <w:pPr>
              <w:spacing w:after="0"/>
              <w:jc w:val="center"/>
            </w:pPr>
            <w:r>
              <w:rPr>
                <w:color w:val="243447"/>
                <w:sz w:val="14"/>
              </w:rPr>
              <w:t>Geo/store map</w:t>
            </w:r>
          </w:p>
        </w:tc>
        <w:tc>
          <w:tcPr>
            <w:tcW w:type="dxa" w:w="3600"/>
            <w:tcMar>
              <w:top w:w="90" w:type="dxa"/>
              <w:start w:w="110" w:type="dxa"/>
              <w:bottom w:w="90" w:type="dxa"/>
              <w:end w:w="110" w:type="dxa"/>
            </w:tcMar>
            <w:vAlign w:val="center"/>
            <w:shd w:fill="F7F9FC"/>
          </w:tcPr>
          <w:p>
            <w:pPr>
              <w:spacing w:after="0"/>
            </w:pPr>
            <w:r>
              <w:rPr>
                <w:color w:val="243447"/>
                <w:sz w:val="14"/>
              </w:rPr>
              <w:t>Where did campaign perform?</w:t>
            </w:r>
          </w:p>
        </w:tc>
        <w:tc>
          <w:tcPr>
            <w:tcW w:type="dxa" w:w="5112"/>
            <w:tcMar>
              <w:top w:w="90" w:type="dxa"/>
              <w:start w:w="110" w:type="dxa"/>
              <w:bottom w:w="90" w:type="dxa"/>
              <w:end w:w="110" w:type="dxa"/>
            </w:tcMar>
            <w:vAlign w:val="center"/>
            <w:shd w:fill="F7F9FC"/>
          </w:tcPr>
          <w:p>
            <w:pPr>
              <w:spacing w:after="0"/>
            </w:pPr>
            <w:r>
              <w:rPr>
                <w:color w:val="243447"/>
                <w:sz w:val="14"/>
              </w:rPr>
              <w:t>Store/region lift with sample sufficiency and no misleading micro-cells</w:t>
            </w:r>
          </w:p>
        </w:tc>
      </w:tr>
      <w:tr>
        <w:trPr>
          <w:cantSplit/>
        </w:trPr>
        <w:tc>
          <w:tcPr>
            <w:tcW w:type="dxa" w:w="2088"/>
            <w:tcMar>
              <w:top w:w="90" w:type="dxa"/>
              <w:start w:w="110" w:type="dxa"/>
              <w:bottom w:w="90" w:type="dxa"/>
              <w:end w:w="110" w:type="dxa"/>
            </w:tcMar>
            <w:vAlign w:val="center"/>
          </w:tcPr>
          <w:p>
            <w:pPr>
              <w:spacing w:after="0"/>
            </w:pPr>
            <w:r>
              <w:rPr>
                <w:color w:val="243447"/>
                <w:sz w:val="14"/>
              </w:rPr>
              <w:t>Data quality timeline</w:t>
            </w:r>
          </w:p>
        </w:tc>
        <w:tc>
          <w:tcPr>
            <w:tcW w:type="dxa" w:w="3600"/>
            <w:tcMar>
              <w:top w:w="90" w:type="dxa"/>
              <w:start w:w="110" w:type="dxa"/>
              <w:bottom w:w="90" w:type="dxa"/>
              <w:end w:w="110" w:type="dxa"/>
            </w:tcMar>
            <w:vAlign w:val="center"/>
          </w:tcPr>
          <w:p>
            <w:pPr>
              <w:spacing w:after="0"/>
            </w:pPr>
            <w:r>
              <w:rPr>
                <w:color w:val="243447"/>
                <w:sz w:val="14"/>
              </w:rPr>
              <w:t>Can the result be trusted?</w:t>
            </w:r>
          </w:p>
        </w:tc>
        <w:tc>
          <w:tcPr>
            <w:tcW w:type="dxa" w:w="5112"/>
            <w:tcMar>
              <w:top w:w="90" w:type="dxa"/>
              <w:start w:w="110" w:type="dxa"/>
              <w:bottom w:w="90" w:type="dxa"/>
              <w:end w:w="110" w:type="dxa"/>
            </w:tcMar>
            <w:vAlign w:val="center"/>
          </w:tcPr>
          <w:p>
            <w:pPr>
              <w:spacing w:after="0"/>
            </w:pPr>
            <w:r>
              <w:rPr>
                <w:color w:val="243447"/>
                <w:sz w:val="14"/>
              </w:rPr>
              <w:t>Feed freshness, missingness, mapping and coverage by day</w:t>
            </w:r>
          </w:p>
        </w:tc>
      </w:tr>
      <w:tr>
        <w:trPr>
          <w:cantSplit/>
        </w:trPr>
        <w:tc>
          <w:tcPr>
            <w:tcW w:type="dxa" w:w="2088"/>
            <w:tcMar>
              <w:top w:w="90" w:type="dxa"/>
              <w:start w:w="110" w:type="dxa"/>
              <w:bottom w:w="90" w:type="dxa"/>
              <w:end w:w="110" w:type="dxa"/>
            </w:tcMar>
            <w:vAlign w:val="center"/>
            <w:shd w:fill="F7F9FC"/>
          </w:tcPr>
          <w:p>
            <w:pPr>
              <w:spacing w:after="0"/>
              <w:jc w:val="center"/>
            </w:pPr>
            <w:r>
              <w:rPr>
                <w:color w:val="243447"/>
                <w:sz w:val="14"/>
              </w:rPr>
              <w:t>Methodology card</w:t>
            </w:r>
          </w:p>
        </w:tc>
        <w:tc>
          <w:tcPr>
            <w:tcW w:type="dxa" w:w="3600"/>
            <w:tcMar>
              <w:top w:w="90" w:type="dxa"/>
              <w:start w:w="110" w:type="dxa"/>
              <w:bottom w:w="90" w:type="dxa"/>
              <w:end w:w="110" w:type="dxa"/>
            </w:tcMar>
            <w:vAlign w:val="center"/>
            <w:shd w:fill="F7F9FC"/>
          </w:tcPr>
          <w:p>
            <w:pPr>
              <w:spacing w:after="0"/>
            </w:pPr>
            <w:r>
              <w:rPr>
                <w:color w:val="243447"/>
                <w:sz w:val="14"/>
              </w:rPr>
              <w:t>How was this calculated?</w:t>
            </w:r>
          </w:p>
        </w:tc>
        <w:tc>
          <w:tcPr>
            <w:tcW w:type="dxa" w:w="5112"/>
            <w:tcMar>
              <w:top w:w="90" w:type="dxa"/>
              <w:start w:w="110" w:type="dxa"/>
              <w:bottom w:w="90" w:type="dxa"/>
              <w:end w:w="110" w:type="dxa"/>
            </w:tcMar>
            <w:vAlign w:val="center"/>
            <w:shd w:fill="F7F9FC"/>
          </w:tcPr>
          <w:p>
            <w:pPr>
              <w:spacing w:after="0"/>
            </w:pPr>
            <w:r>
              <w:rPr>
                <w:color w:val="243447"/>
                <w:sz w:val="14"/>
              </w:rPr>
              <w:t>Method, universe, windows, exclusions, balance, leakage, model version</w:t>
            </w:r>
          </w:p>
        </w:tc>
      </w:tr>
      <w:tr>
        <w:trPr>
          <w:cantSplit/>
        </w:trPr>
        <w:tc>
          <w:tcPr>
            <w:tcW w:type="dxa" w:w="2088"/>
            <w:tcMar>
              <w:top w:w="90" w:type="dxa"/>
              <w:start w:w="110" w:type="dxa"/>
              <w:bottom w:w="90" w:type="dxa"/>
              <w:end w:w="110" w:type="dxa"/>
            </w:tcMar>
            <w:vAlign w:val="center"/>
          </w:tcPr>
          <w:p>
            <w:pPr>
              <w:spacing w:after="0"/>
            </w:pPr>
            <w:r>
              <w:rPr>
                <w:color w:val="243447"/>
                <w:sz w:val="14"/>
              </w:rPr>
              <w:t>Rest-of-market comparison</w:t>
            </w:r>
          </w:p>
        </w:tc>
        <w:tc>
          <w:tcPr>
            <w:tcW w:type="dxa" w:w="3600"/>
            <w:tcMar>
              <w:top w:w="90" w:type="dxa"/>
              <w:start w:w="110" w:type="dxa"/>
              <w:bottom w:w="90" w:type="dxa"/>
              <w:end w:w="110" w:type="dxa"/>
            </w:tcMar>
            <w:vAlign w:val="center"/>
          </w:tcPr>
          <w:p>
            <w:pPr>
              <w:spacing w:after="0"/>
            </w:pPr>
            <w:r>
              <w:rPr>
                <w:color w:val="243447"/>
                <w:sz w:val="14"/>
              </w:rPr>
              <w:t>Did impact extend beyond the retailer?</w:t>
            </w:r>
          </w:p>
        </w:tc>
        <w:tc>
          <w:tcPr>
            <w:tcW w:type="dxa" w:w="5112"/>
            <w:tcMar>
              <w:top w:w="90" w:type="dxa"/>
              <w:start w:w="110" w:type="dxa"/>
              <w:bottom w:w="90" w:type="dxa"/>
              <w:end w:w="110" w:type="dxa"/>
            </w:tcMar>
            <w:vAlign w:val="center"/>
          </w:tcPr>
          <w:p>
            <w:pPr>
              <w:spacing w:after="0"/>
            </w:pPr>
            <w:r>
              <w:rPr>
                <w:color w:val="243447"/>
                <w:sz w:val="14"/>
              </w:rPr>
              <w:t>Retailer versus measured market outcome with coverage and lag</w:t>
            </w:r>
          </w:p>
        </w:tc>
      </w:tr>
    </w:tbl>
    <w:p>
      <w:pPr>
        <w:spacing w:after="0"/>
      </w:pPr>
    </w:p>
    <w:p>
      <w:pPr>
        <w:pStyle w:val="Heading2"/>
        <w:keepNext/>
      </w:pPr>
      <w:r>
        <w:t>10.1 Visual status language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shd w:fill="17365D"/>
            <w:tcMar>
              <w:top w:w="100" w:type="dxa"/>
              <w:start w:w="110" w:type="dxa"/>
              <w:bottom w:w="100" w:type="dxa"/>
              <w:end w:w="110" w:type="dxa"/>
            </w:tcMar>
            <w:vAlign w:val="center"/>
          </w:tcPr>
          <w:p>
            <w:pPr>
              <w:jc w:val="center"/>
            </w:pPr>
            <w:r>
              <w:rPr>
                <w:b/>
                <w:color w:val="FFFFFF"/>
                <w:sz w:val="15"/>
              </w:rPr>
              <w:t>Status</w:t>
            </w:r>
          </w:p>
        </w:tc>
        <w:tc>
          <w:tcPr>
            <w:tcW w:type="dxa" w:w="3528"/>
            <w:shd w:fill="17365D"/>
            <w:tcMar>
              <w:top w:w="100" w:type="dxa"/>
              <w:start w:w="110" w:type="dxa"/>
              <w:bottom w:w="100" w:type="dxa"/>
              <w:end w:w="110" w:type="dxa"/>
            </w:tcMar>
            <w:vAlign w:val="center"/>
          </w:tcPr>
          <w:p>
            <w:pPr>
              <w:jc w:val="center"/>
            </w:pPr>
            <w:r>
              <w:rPr>
                <w:b/>
                <w:color w:val="FFFFFF"/>
                <w:sz w:val="15"/>
              </w:rPr>
              <w:t>Meaning</w:t>
            </w:r>
          </w:p>
        </w:tc>
        <w:tc>
          <w:tcPr>
            <w:tcW w:type="dxa" w:w="5616"/>
            <w:shd w:fill="17365D"/>
            <w:tcMar>
              <w:top w:w="100" w:type="dxa"/>
              <w:start w:w="110" w:type="dxa"/>
              <w:bottom w:w="100" w:type="dxa"/>
              <w:end w:w="110" w:type="dxa"/>
            </w:tcMar>
            <w:vAlign w:val="center"/>
          </w:tcPr>
          <w:p>
            <w:pPr>
              <w:jc w:val="center"/>
            </w:pPr>
            <w:r>
              <w:rPr>
                <w:b/>
                <w:color w:val="FFFFFF"/>
                <w:sz w:val="15"/>
              </w:rPr>
              <w:t>Product behavior</w:t>
            </w:r>
          </w:p>
        </w:tc>
      </w:tr>
      <w:tr>
        <w:trPr>
          <w:cantSplit/>
        </w:trPr>
        <w:tc>
          <w:tcPr>
            <w:tcW w:type="dxa" w:w="1656"/>
            <w:tcMar>
              <w:top w:w="90" w:type="dxa"/>
              <w:start w:w="110" w:type="dxa"/>
              <w:bottom w:w="90" w:type="dxa"/>
              <w:end w:w="110" w:type="dxa"/>
            </w:tcMar>
            <w:vAlign w:val="center"/>
          </w:tcPr>
          <w:p>
            <w:pPr>
              <w:spacing w:after="0"/>
              <w:jc w:val="center"/>
            </w:pPr>
            <w:r>
              <w:rPr>
                <w:color w:val="243447"/>
                <w:sz w:val="15"/>
              </w:rPr>
              <w:t>Certified</w:t>
            </w:r>
          </w:p>
        </w:tc>
        <w:tc>
          <w:tcPr>
            <w:tcW w:type="dxa" w:w="3528"/>
            <w:tcMar>
              <w:top w:w="90" w:type="dxa"/>
              <w:start w:w="110" w:type="dxa"/>
              <w:bottom w:w="90" w:type="dxa"/>
              <w:end w:w="110" w:type="dxa"/>
            </w:tcMar>
            <w:vAlign w:val="center"/>
          </w:tcPr>
          <w:p>
            <w:pPr>
              <w:spacing w:after="0"/>
            </w:pPr>
            <w:r>
              <w:rPr>
                <w:color w:val="243447"/>
                <w:sz w:val="15"/>
              </w:rPr>
              <w:t>Method and data gates passed; approved result</w:t>
            </w:r>
          </w:p>
        </w:tc>
        <w:tc>
          <w:tcPr>
            <w:tcW w:type="dxa" w:w="5616"/>
            <w:tcMar>
              <w:top w:w="90" w:type="dxa"/>
              <w:start w:w="110" w:type="dxa"/>
              <w:bottom w:w="90" w:type="dxa"/>
              <w:end w:w="110" w:type="dxa"/>
            </w:tcMar>
            <w:vAlign w:val="center"/>
          </w:tcPr>
          <w:p>
            <w:pPr>
              <w:spacing w:after="0"/>
            </w:pPr>
            <w:r>
              <w:rPr>
                <w:color w:val="243447"/>
                <w:sz w:val="15"/>
              </w:rPr>
              <w:t>Prominent KPI, sharable</w:t>
            </w:r>
          </w:p>
        </w:tc>
      </w:tr>
      <w:tr>
        <w:trPr>
          <w:cantSplit/>
        </w:trPr>
        <w:tc>
          <w:tcPr>
            <w:tcW w:type="dxa" w:w="1656"/>
            <w:tcMar>
              <w:top w:w="90" w:type="dxa"/>
              <w:start w:w="110" w:type="dxa"/>
              <w:bottom w:w="90" w:type="dxa"/>
              <w:end w:w="110" w:type="dxa"/>
            </w:tcMar>
            <w:vAlign w:val="center"/>
            <w:shd w:fill="F7F9FC"/>
          </w:tcPr>
          <w:p>
            <w:pPr>
              <w:spacing w:after="0"/>
              <w:jc w:val="center"/>
            </w:pPr>
            <w:r>
              <w:rPr>
                <w:color w:val="243447"/>
                <w:sz w:val="15"/>
              </w:rPr>
              <w:t>Directional</w:t>
            </w:r>
          </w:p>
        </w:tc>
        <w:tc>
          <w:tcPr>
            <w:tcW w:type="dxa" w:w="3528"/>
            <w:tcMar>
              <w:top w:w="90" w:type="dxa"/>
              <w:start w:w="110" w:type="dxa"/>
              <w:bottom w:w="90" w:type="dxa"/>
              <w:end w:w="110" w:type="dxa"/>
            </w:tcMar>
            <w:vAlign w:val="center"/>
            <w:shd w:fill="F7F9FC"/>
          </w:tcPr>
          <w:p>
            <w:pPr>
              <w:spacing w:after="0"/>
            </w:pPr>
            <w:r>
              <w:rPr>
                <w:color w:val="243447"/>
                <w:sz w:val="15"/>
              </w:rPr>
              <w:t>Useful but not causal or incomplete coverage</w:t>
            </w:r>
          </w:p>
        </w:tc>
        <w:tc>
          <w:tcPr>
            <w:tcW w:type="dxa" w:w="5616"/>
            <w:tcMar>
              <w:top w:w="90" w:type="dxa"/>
              <w:start w:w="110" w:type="dxa"/>
              <w:bottom w:w="90" w:type="dxa"/>
              <w:end w:w="110" w:type="dxa"/>
            </w:tcMar>
            <w:vAlign w:val="center"/>
            <w:shd w:fill="F7F9FC"/>
          </w:tcPr>
          <w:p>
            <w:pPr>
              <w:spacing w:after="0"/>
            </w:pPr>
            <w:r>
              <w:rPr>
                <w:color w:val="243447"/>
                <w:sz w:val="15"/>
              </w:rPr>
              <w:t>Amber label, constrained language</w:t>
            </w:r>
          </w:p>
        </w:tc>
      </w:tr>
      <w:tr>
        <w:trPr>
          <w:cantSplit/>
        </w:trPr>
        <w:tc>
          <w:tcPr>
            <w:tcW w:type="dxa" w:w="1656"/>
            <w:tcMar>
              <w:top w:w="90" w:type="dxa"/>
              <w:start w:w="110" w:type="dxa"/>
              <w:bottom w:w="90" w:type="dxa"/>
              <w:end w:w="110" w:type="dxa"/>
            </w:tcMar>
            <w:vAlign w:val="center"/>
          </w:tcPr>
          <w:p>
            <w:pPr>
              <w:spacing w:after="0"/>
            </w:pPr>
            <w:r>
              <w:rPr>
                <w:color w:val="243447"/>
                <w:sz w:val="15"/>
              </w:rPr>
              <w:t>Insufficient evidence</w:t>
            </w:r>
          </w:p>
        </w:tc>
        <w:tc>
          <w:tcPr>
            <w:tcW w:type="dxa" w:w="3528"/>
            <w:tcMar>
              <w:top w:w="90" w:type="dxa"/>
              <w:start w:w="110" w:type="dxa"/>
              <w:bottom w:w="90" w:type="dxa"/>
              <w:end w:w="110" w:type="dxa"/>
            </w:tcMar>
            <w:vAlign w:val="center"/>
          </w:tcPr>
          <w:p>
            <w:pPr>
              <w:spacing w:after="0"/>
            </w:pPr>
            <w:r>
              <w:rPr>
                <w:color w:val="243447"/>
                <w:sz w:val="15"/>
              </w:rPr>
              <w:t>Underpowered, contaminated or incomplete</w:t>
            </w:r>
          </w:p>
        </w:tc>
        <w:tc>
          <w:tcPr>
            <w:tcW w:type="dxa" w:w="5616"/>
            <w:tcMar>
              <w:top w:w="90" w:type="dxa"/>
              <w:start w:w="110" w:type="dxa"/>
              <w:bottom w:w="90" w:type="dxa"/>
              <w:end w:w="110" w:type="dxa"/>
            </w:tcMar>
            <w:vAlign w:val="center"/>
          </w:tcPr>
          <w:p>
            <w:pPr>
              <w:spacing w:after="0"/>
            </w:pPr>
            <w:r>
              <w:rPr>
                <w:color w:val="243447"/>
                <w:sz w:val="15"/>
              </w:rPr>
              <w:t>Hide point claim; show issue and remediation</w:t>
            </w:r>
          </w:p>
        </w:tc>
      </w:tr>
      <w:tr>
        <w:trPr>
          <w:cantSplit/>
        </w:trPr>
        <w:tc>
          <w:tcPr>
            <w:tcW w:type="dxa" w:w="1656"/>
            <w:tcMar>
              <w:top w:w="90" w:type="dxa"/>
              <w:start w:w="110" w:type="dxa"/>
              <w:bottom w:w="90" w:type="dxa"/>
              <w:end w:w="110" w:type="dxa"/>
            </w:tcMar>
            <w:vAlign w:val="center"/>
            <w:shd w:fill="F7F9FC"/>
          </w:tcPr>
          <w:p>
            <w:pPr>
              <w:spacing w:after="0"/>
              <w:jc w:val="center"/>
            </w:pPr>
            <w:r>
              <w:rPr>
                <w:color w:val="243447"/>
                <w:sz w:val="15"/>
              </w:rPr>
              <w:t>Processing</w:t>
            </w:r>
          </w:p>
        </w:tc>
        <w:tc>
          <w:tcPr>
            <w:tcW w:type="dxa" w:w="3528"/>
            <w:tcMar>
              <w:top w:w="90" w:type="dxa"/>
              <w:start w:w="110" w:type="dxa"/>
              <w:bottom w:w="90" w:type="dxa"/>
              <w:end w:w="110" w:type="dxa"/>
            </w:tcMar>
            <w:vAlign w:val="center"/>
            <w:shd w:fill="F7F9FC"/>
          </w:tcPr>
          <w:p>
            <w:pPr>
              <w:spacing w:after="0"/>
            </w:pPr>
            <w:r>
              <w:rPr>
                <w:color w:val="243447"/>
                <w:sz w:val="15"/>
              </w:rPr>
              <w:t>Data/window not mature</w:t>
            </w:r>
          </w:p>
        </w:tc>
        <w:tc>
          <w:tcPr>
            <w:tcW w:type="dxa" w:w="5616"/>
            <w:tcMar>
              <w:top w:w="90" w:type="dxa"/>
              <w:start w:w="110" w:type="dxa"/>
              <w:bottom w:w="90" w:type="dxa"/>
              <w:end w:w="110" w:type="dxa"/>
            </w:tcMar>
            <w:vAlign w:val="center"/>
            <w:shd w:fill="F7F9FC"/>
          </w:tcPr>
          <w:p>
            <w:pPr>
              <w:spacing w:after="0"/>
            </w:pPr>
            <w:r>
              <w:rPr>
                <w:color w:val="243447"/>
                <w:sz w:val="15"/>
              </w:rPr>
              <w:t>Show expected readiness date</w:t>
            </w:r>
          </w:p>
        </w:tc>
      </w:tr>
      <w:tr>
        <w:trPr>
          <w:cantSplit/>
        </w:trPr>
        <w:tc>
          <w:tcPr>
            <w:tcW w:type="dxa" w:w="1656"/>
            <w:tcMar>
              <w:top w:w="90" w:type="dxa"/>
              <w:start w:w="110" w:type="dxa"/>
              <w:bottom w:w="90" w:type="dxa"/>
              <w:end w:w="110" w:type="dxa"/>
            </w:tcMar>
            <w:vAlign w:val="center"/>
          </w:tcPr>
          <w:p>
            <w:pPr>
              <w:spacing w:after="0"/>
              <w:jc w:val="center"/>
            </w:pPr>
            <w:r>
              <w:rPr>
                <w:color w:val="243447"/>
                <w:sz w:val="15"/>
              </w:rPr>
              <w:t>Not supported</w:t>
            </w:r>
          </w:p>
        </w:tc>
        <w:tc>
          <w:tcPr>
            <w:tcW w:type="dxa" w:w="3528"/>
            <w:tcMar>
              <w:top w:w="90" w:type="dxa"/>
              <w:start w:w="110" w:type="dxa"/>
              <w:bottom w:w="90" w:type="dxa"/>
              <w:end w:w="110" w:type="dxa"/>
            </w:tcMar>
            <w:vAlign w:val="center"/>
          </w:tcPr>
          <w:p>
            <w:pPr>
              <w:spacing w:after="0"/>
            </w:pPr>
            <w:r>
              <w:rPr>
                <w:color w:val="243447"/>
                <w:sz w:val="15"/>
              </w:rPr>
              <w:t>Channel does not provide required data</w:t>
            </w:r>
          </w:p>
        </w:tc>
        <w:tc>
          <w:tcPr>
            <w:tcW w:type="dxa" w:w="5616"/>
            <w:tcMar>
              <w:top w:w="90" w:type="dxa"/>
              <w:start w:w="110" w:type="dxa"/>
              <w:bottom w:w="90" w:type="dxa"/>
              <w:end w:w="110" w:type="dxa"/>
            </w:tcMar>
            <w:vAlign w:val="center"/>
          </w:tcPr>
          <w:p>
            <w:pPr>
              <w:spacing w:after="0"/>
            </w:pPr>
            <w:r>
              <w:rPr>
                <w:color w:val="243447"/>
                <w:sz w:val="15"/>
              </w:rPr>
              <w:t>Explain capability limitation</w:t>
            </w:r>
          </w:p>
        </w:tc>
      </w:tr>
    </w:tbl>
    <w:p>
      <w:pPr>
        <w:spacing w:after="0"/>
      </w:pPr>
    </w:p>
    <w:p>
      <w:r>
        <w:br w:type="page"/>
      </w:r>
    </w:p>
    <w:p>
      <w:pPr>
        <w:pStyle w:val="Heading1"/>
        <w:keepNext/>
      </w:pPr>
      <w:r>
        <w:t>11. Attribution design</w:t>
      </w:r>
    </w:p>
    <w:p>
      <w:pPr>
        <w:pStyle w:val="Heading2"/>
        <w:keepNext/>
      </w:pPr>
      <w:r>
        <w:t>11.1 Attribution configuration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7365D"/>
            <w:tcMar>
              <w:top w:w="100" w:type="dxa"/>
              <w:start w:w="110" w:type="dxa"/>
              <w:bottom w:w="100" w:type="dxa"/>
              <w:end w:w="110" w:type="dxa"/>
            </w:tcMar>
            <w:vAlign w:val="center"/>
          </w:tcPr>
          <w:p>
            <w:pPr>
              <w:jc w:val="center"/>
            </w:pPr>
            <w:r>
              <w:rPr>
                <w:b/>
                <w:color w:val="FFFFFF"/>
                <w:sz w:val="15"/>
              </w:rPr>
              <w:t>Dimension</w:t>
            </w:r>
          </w:p>
        </w:tc>
        <w:tc>
          <w:tcPr>
            <w:tcW w:type="dxa" w:w="8064"/>
            <w:shd w:fill="17365D"/>
            <w:tcMar>
              <w:top w:w="100" w:type="dxa"/>
              <w:start w:w="110" w:type="dxa"/>
              <w:bottom w:w="100" w:type="dxa"/>
              <w:end w:w="110" w:type="dxa"/>
            </w:tcMar>
            <w:vAlign w:val="center"/>
          </w:tcPr>
          <w:p>
            <w:pPr>
              <w:jc w:val="center"/>
            </w:pPr>
            <w:r>
              <w:rPr>
                <w:b/>
                <w:color w:val="FFFFFF"/>
                <w:sz w:val="15"/>
              </w:rPr>
              <w:t>Options / rule</w:t>
            </w:r>
          </w:p>
        </w:tc>
      </w:tr>
      <w:tr>
        <w:trPr>
          <w:cantSplit/>
        </w:trPr>
        <w:tc>
          <w:tcPr>
            <w:tcW w:type="dxa" w:w="2376"/>
            <w:tcMar>
              <w:top w:w="90" w:type="dxa"/>
              <w:start w:w="110" w:type="dxa"/>
              <w:bottom w:w="90" w:type="dxa"/>
              <w:end w:w="110" w:type="dxa"/>
            </w:tcMar>
            <w:vAlign w:val="center"/>
          </w:tcPr>
          <w:p>
            <w:pPr>
              <w:spacing w:after="0"/>
              <w:jc w:val="center"/>
            </w:pPr>
            <w:r>
              <w:rPr>
                <w:color w:val="243447"/>
                <w:sz w:val="15"/>
              </w:rPr>
              <w:t>Trigger</w:t>
            </w:r>
          </w:p>
        </w:tc>
        <w:tc>
          <w:tcPr>
            <w:tcW w:type="dxa" w:w="8064"/>
            <w:tcMar>
              <w:top w:w="90" w:type="dxa"/>
              <w:start w:w="110" w:type="dxa"/>
              <w:bottom w:w="90" w:type="dxa"/>
              <w:end w:w="110" w:type="dxa"/>
            </w:tcMar>
            <w:vAlign w:val="center"/>
          </w:tcPr>
          <w:p>
            <w:pPr>
              <w:spacing w:after="0"/>
            </w:pPr>
            <w:r>
              <w:rPr>
                <w:color w:val="243447"/>
                <w:sz w:val="15"/>
              </w:rPr>
              <w:t>Impression, viewable impression, click, target eligibility, store exposure</w:t>
            </w:r>
          </w:p>
        </w:tc>
      </w:tr>
      <w:tr>
        <w:trPr>
          <w:cantSplit/>
        </w:trPr>
        <w:tc>
          <w:tcPr>
            <w:tcW w:type="dxa" w:w="2376"/>
            <w:tcMar>
              <w:top w:w="90" w:type="dxa"/>
              <w:start w:w="110" w:type="dxa"/>
              <w:bottom w:w="90" w:type="dxa"/>
              <w:end w:w="110" w:type="dxa"/>
            </w:tcMar>
            <w:vAlign w:val="center"/>
            <w:shd w:fill="F7F9FC"/>
          </w:tcPr>
          <w:p>
            <w:pPr>
              <w:spacing w:after="0"/>
              <w:jc w:val="center"/>
            </w:pPr>
            <w:r>
              <w:rPr>
                <w:color w:val="243447"/>
                <w:sz w:val="15"/>
              </w:rPr>
              <w:t>Lookback</w:t>
            </w:r>
          </w:p>
        </w:tc>
        <w:tc>
          <w:tcPr>
            <w:tcW w:type="dxa" w:w="8064"/>
            <w:tcMar>
              <w:top w:w="90" w:type="dxa"/>
              <w:start w:w="110" w:type="dxa"/>
              <w:bottom w:w="90" w:type="dxa"/>
              <w:end w:w="110" w:type="dxa"/>
            </w:tcMar>
            <w:vAlign w:val="center"/>
            <w:shd w:fill="F7F9FC"/>
          </w:tcPr>
          <w:p>
            <w:pPr>
              <w:spacing w:after="0"/>
            </w:pPr>
            <w:r>
              <w:rPr>
                <w:color w:val="243447"/>
                <w:sz w:val="15"/>
              </w:rPr>
              <w:t>Configurable by tactic/product cycle; 14 days is a template, not a universal truth</w:t>
            </w:r>
          </w:p>
        </w:tc>
      </w:tr>
      <w:tr>
        <w:trPr>
          <w:cantSplit/>
        </w:trPr>
        <w:tc>
          <w:tcPr>
            <w:tcW w:type="dxa" w:w="2376"/>
            <w:tcMar>
              <w:top w:w="90" w:type="dxa"/>
              <w:start w:w="110" w:type="dxa"/>
              <w:bottom w:w="90" w:type="dxa"/>
              <w:end w:w="110" w:type="dxa"/>
            </w:tcMar>
            <w:vAlign w:val="center"/>
          </w:tcPr>
          <w:p>
            <w:pPr>
              <w:spacing w:after="0"/>
              <w:jc w:val="center"/>
            </w:pPr>
            <w:r>
              <w:rPr>
                <w:color w:val="243447"/>
                <w:sz w:val="15"/>
              </w:rPr>
              <w:t>Touch rule</w:t>
            </w:r>
          </w:p>
        </w:tc>
        <w:tc>
          <w:tcPr>
            <w:tcW w:type="dxa" w:w="8064"/>
            <w:tcMar>
              <w:top w:w="90" w:type="dxa"/>
              <w:start w:w="110" w:type="dxa"/>
              <w:bottom w:w="90" w:type="dxa"/>
              <w:end w:w="110" w:type="dxa"/>
            </w:tcMar>
            <w:vAlign w:val="center"/>
          </w:tcPr>
          <w:p>
            <w:pPr>
              <w:spacing w:after="0"/>
            </w:pPr>
            <w:r>
              <w:rPr>
                <w:color w:val="243447"/>
                <w:sz w:val="15"/>
              </w:rPr>
              <w:t>First, last, closest, weighted, campaign-level deduplicated</w:t>
            </w:r>
          </w:p>
        </w:tc>
      </w:tr>
      <w:tr>
        <w:trPr>
          <w:cantSplit/>
        </w:trPr>
        <w:tc>
          <w:tcPr>
            <w:tcW w:type="dxa" w:w="2376"/>
            <w:tcMar>
              <w:top w:w="90" w:type="dxa"/>
              <w:start w:w="110" w:type="dxa"/>
              <w:bottom w:w="90" w:type="dxa"/>
              <w:end w:w="110" w:type="dxa"/>
            </w:tcMar>
            <w:vAlign w:val="center"/>
            <w:shd w:fill="F7F9FC"/>
          </w:tcPr>
          <w:p>
            <w:pPr>
              <w:spacing w:after="0"/>
              <w:jc w:val="center"/>
            </w:pPr>
            <w:r>
              <w:rPr>
                <w:color w:val="243447"/>
                <w:sz w:val="15"/>
              </w:rPr>
              <w:t>Conversion scope</w:t>
            </w:r>
          </w:p>
        </w:tc>
        <w:tc>
          <w:tcPr>
            <w:tcW w:type="dxa" w:w="8064"/>
            <w:tcMar>
              <w:top w:w="90" w:type="dxa"/>
              <w:start w:w="110" w:type="dxa"/>
              <w:bottom w:w="90" w:type="dxa"/>
              <w:end w:w="110" w:type="dxa"/>
            </w:tcMar>
            <w:vAlign w:val="center"/>
            <w:shd w:fill="F7F9FC"/>
          </w:tcPr>
          <w:p>
            <w:pPr>
              <w:spacing w:after="0"/>
            </w:pPr>
            <w:r>
              <w:rPr>
                <w:color w:val="243447"/>
                <w:sz w:val="15"/>
              </w:rPr>
              <w:t>Online, in-store, omnichannel</w:t>
            </w:r>
          </w:p>
        </w:tc>
      </w:tr>
      <w:tr>
        <w:trPr>
          <w:cantSplit/>
        </w:trPr>
        <w:tc>
          <w:tcPr>
            <w:tcW w:type="dxa" w:w="2376"/>
            <w:tcMar>
              <w:top w:w="90" w:type="dxa"/>
              <w:start w:w="110" w:type="dxa"/>
              <w:bottom w:w="90" w:type="dxa"/>
              <w:end w:w="110" w:type="dxa"/>
            </w:tcMar>
            <w:vAlign w:val="center"/>
          </w:tcPr>
          <w:p>
            <w:pPr>
              <w:spacing w:after="0"/>
              <w:jc w:val="center"/>
            </w:pPr>
            <w:r>
              <w:rPr>
                <w:color w:val="243447"/>
                <w:sz w:val="15"/>
              </w:rPr>
              <w:t>Product scope</w:t>
            </w:r>
          </w:p>
        </w:tc>
        <w:tc>
          <w:tcPr>
            <w:tcW w:type="dxa" w:w="8064"/>
            <w:tcMar>
              <w:top w:w="90" w:type="dxa"/>
              <w:start w:w="110" w:type="dxa"/>
              <w:bottom w:w="90" w:type="dxa"/>
              <w:end w:w="110" w:type="dxa"/>
            </w:tcMar>
            <w:vAlign w:val="center"/>
          </w:tcPr>
          <w:p>
            <w:pPr>
              <w:spacing w:after="0"/>
            </w:pPr>
            <w:r>
              <w:rPr>
                <w:color w:val="243447"/>
                <w:sz w:val="15"/>
              </w:rPr>
              <w:t>Advertised SKU, promoted set, brand halo, category halo; shown separately</w:t>
            </w:r>
          </w:p>
        </w:tc>
      </w:tr>
      <w:tr>
        <w:trPr>
          <w:cantSplit/>
        </w:trPr>
        <w:tc>
          <w:tcPr>
            <w:tcW w:type="dxa" w:w="2376"/>
            <w:tcMar>
              <w:top w:w="90" w:type="dxa"/>
              <w:start w:w="110" w:type="dxa"/>
              <w:bottom w:w="90" w:type="dxa"/>
              <w:end w:w="110" w:type="dxa"/>
            </w:tcMar>
            <w:vAlign w:val="center"/>
            <w:shd w:fill="F7F9FC"/>
          </w:tcPr>
          <w:p>
            <w:pPr>
              <w:spacing w:after="0"/>
            </w:pPr>
            <w:r>
              <w:rPr>
                <w:color w:val="243447"/>
                <w:sz w:val="15"/>
              </w:rPr>
              <w:t>Multiple purchases</w:t>
            </w:r>
          </w:p>
        </w:tc>
        <w:tc>
          <w:tcPr>
            <w:tcW w:type="dxa" w:w="8064"/>
            <w:tcMar>
              <w:top w:w="90" w:type="dxa"/>
              <w:start w:w="110" w:type="dxa"/>
              <w:bottom w:w="90" w:type="dxa"/>
              <w:end w:w="110" w:type="dxa"/>
            </w:tcMar>
            <w:vAlign w:val="center"/>
            <w:shd w:fill="F7F9FC"/>
          </w:tcPr>
          <w:p>
            <w:pPr>
              <w:spacing w:after="0"/>
            </w:pPr>
            <w:r>
              <w:rPr>
                <w:color w:val="243447"/>
                <w:sz w:val="15"/>
              </w:rPr>
              <w:t>First purchase only or all eligible purchases</w:t>
            </w:r>
          </w:p>
        </w:tc>
      </w:tr>
      <w:tr>
        <w:trPr>
          <w:cantSplit/>
        </w:trPr>
        <w:tc>
          <w:tcPr>
            <w:tcW w:type="dxa" w:w="2376"/>
            <w:tcMar>
              <w:top w:w="90" w:type="dxa"/>
              <w:start w:w="110" w:type="dxa"/>
              <w:bottom w:w="90" w:type="dxa"/>
              <w:end w:w="110" w:type="dxa"/>
            </w:tcMar>
            <w:vAlign w:val="center"/>
          </w:tcPr>
          <w:p>
            <w:pPr>
              <w:spacing w:after="0"/>
            </w:pPr>
            <w:r>
              <w:rPr>
                <w:color w:val="243447"/>
                <w:sz w:val="15"/>
              </w:rPr>
              <w:t>Multiple exposures</w:t>
            </w:r>
          </w:p>
        </w:tc>
        <w:tc>
          <w:tcPr>
            <w:tcW w:type="dxa" w:w="8064"/>
            <w:tcMar>
              <w:top w:w="90" w:type="dxa"/>
              <w:start w:w="110" w:type="dxa"/>
              <w:bottom w:w="90" w:type="dxa"/>
              <w:end w:w="110" w:type="dxa"/>
            </w:tcMar>
            <w:vAlign w:val="center"/>
          </w:tcPr>
          <w:p>
            <w:pPr>
              <w:spacing w:after="0"/>
            </w:pPr>
            <w:r>
              <w:rPr>
                <w:color w:val="243447"/>
                <w:sz w:val="15"/>
              </w:rPr>
              <w:t>Frequency-aware deduplication and cross-creative rules</w:t>
            </w:r>
          </w:p>
        </w:tc>
      </w:tr>
      <w:tr>
        <w:trPr>
          <w:cantSplit/>
        </w:trPr>
        <w:tc>
          <w:tcPr>
            <w:tcW w:type="dxa" w:w="2376"/>
            <w:tcMar>
              <w:top w:w="90" w:type="dxa"/>
              <w:start w:w="110" w:type="dxa"/>
              <w:bottom w:w="90" w:type="dxa"/>
              <w:end w:w="110" w:type="dxa"/>
            </w:tcMar>
            <w:vAlign w:val="center"/>
            <w:shd w:fill="F7F9FC"/>
          </w:tcPr>
          <w:p>
            <w:pPr>
              <w:spacing w:after="0"/>
            </w:pPr>
            <w:r>
              <w:rPr>
                <w:color w:val="243447"/>
                <w:sz w:val="15"/>
              </w:rPr>
              <w:t>Returns/cancellations</w:t>
            </w:r>
          </w:p>
        </w:tc>
        <w:tc>
          <w:tcPr>
            <w:tcW w:type="dxa" w:w="8064"/>
            <w:tcMar>
              <w:top w:w="90" w:type="dxa"/>
              <w:start w:w="110" w:type="dxa"/>
              <w:bottom w:w="90" w:type="dxa"/>
              <w:end w:w="110" w:type="dxa"/>
            </w:tcMar>
            <w:vAlign w:val="center"/>
            <w:shd w:fill="F7F9FC"/>
          </w:tcPr>
          <w:p>
            <w:pPr>
              <w:spacing w:after="0"/>
            </w:pPr>
            <w:r>
              <w:rPr>
                <w:color w:val="243447"/>
                <w:sz w:val="15"/>
              </w:rPr>
              <w:t>Net eligible transactions after reversals</w:t>
            </w:r>
          </w:p>
        </w:tc>
      </w:tr>
      <w:tr>
        <w:trPr>
          <w:cantSplit/>
        </w:trPr>
        <w:tc>
          <w:tcPr>
            <w:tcW w:type="dxa" w:w="2376"/>
            <w:tcMar>
              <w:top w:w="90" w:type="dxa"/>
              <w:start w:w="110" w:type="dxa"/>
              <w:bottom w:w="90" w:type="dxa"/>
              <w:end w:w="110" w:type="dxa"/>
            </w:tcMar>
            <w:vAlign w:val="center"/>
          </w:tcPr>
          <w:p>
            <w:pPr>
              <w:spacing w:after="0"/>
              <w:jc w:val="center"/>
            </w:pPr>
            <w:r>
              <w:rPr>
                <w:color w:val="243447"/>
                <w:sz w:val="15"/>
              </w:rPr>
              <w:t>Time zone</w:t>
            </w:r>
          </w:p>
        </w:tc>
        <w:tc>
          <w:tcPr>
            <w:tcW w:type="dxa" w:w="8064"/>
            <w:tcMar>
              <w:top w:w="90" w:type="dxa"/>
              <w:start w:w="110" w:type="dxa"/>
              <w:bottom w:w="90" w:type="dxa"/>
              <w:end w:w="110" w:type="dxa"/>
            </w:tcMar>
            <w:vAlign w:val="center"/>
          </w:tcPr>
          <w:p>
            <w:pPr>
              <w:spacing w:after="0"/>
            </w:pPr>
            <w:r>
              <w:rPr>
                <w:color w:val="243447"/>
                <w:sz w:val="15"/>
              </w:rPr>
              <w:t>Market/campaign time zone and calendar boundary</w:t>
            </w:r>
          </w:p>
        </w:tc>
      </w:tr>
      <w:tr>
        <w:trPr>
          <w:cantSplit/>
        </w:trPr>
        <w:tc>
          <w:tcPr>
            <w:tcW w:type="dxa" w:w="2376"/>
            <w:tcMar>
              <w:top w:w="90" w:type="dxa"/>
              <w:start w:w="110" w:type="dxa"/>
              <w:bottom w:w="90" w:type="dxa"/>
              <w:end w:w="110" w:type="dxa"/>
            </w:tcMar>
            <w:vAlign w:val="center"/>
            <w:shd w:fill="F7F9FC"/>
          </w:tcPr>
          <w:p>
            <w:pPr>
              <w:spacing w:after="0"/>
              <w:jc w:val="center"/>
            </w:pPr>
            <w:r>
              <w:rPr>
                <w:color w:val="243447"/>
                <w:sz w:val="15"/>
              </w:rPr>
              <w:t>Maturity</w:t>
            </w:r>
          </w:p>
        </w:tc>
        <w:tc>
          <w:tcPr>
            <w:tcW w:type="dxa" w:w="8064"/>
            <w:tcMar>
              <w:top w:w="90" w:type="dxa"/>
              <w:start w:w="110" w:type="dxa"/>
              <w:bottom w:w="90" w:type="dxa"/>
              <w:end w:w="110" w:type="dxa"/>
            </w:tcMar>
            <w:vAlign w:val="center"/>
            <w:shd w:fill="F7F9FC"/>
          </w:tcPr>
          <w:p>
            <w:pPr>
              <w:spacing w:after="0"/>
            </w:pPr>
            <w:r>
              <w:rPr>
                <w:color w:val="243447"/>
                <w:sz w:val="15"/>
              </w:rPr>
              <w:t>Delay before result is considered complete</w:t>
            </w:r>
          </w:p>
        </w:tc>
      </w:tr>
    </w:tbl>
    <w:p>
      <w:pPr>
        <w:spacing w:after="0"/>
      </w:pPr>
    </w:p>
    <w:p>
      <w:pPr>
        <w:pStyle w:val="Heading2"/>
        <w:keepNext/>
      </w:pPr>
      <w:r>
        <w:t>11.2 Reporting guardrails</w:t>
      </w:r>
    </w:p>
    <w:p>
      <w:pPr>
        <w:pStyle w:val="ListBullet"/>
        <w:spacing w:after="50"/>
      </w:pPr>
      <w:r>
        <w:t>Never present attributed ROAS as causal.</w:t>
      </w:r>
    </w:p>
    <w:p>
      <w:pPr>
        <w:pStyle w:val="ListBullet"/>
        <w:spacing w:after="50"/>
      </w:pPr>
      <w:r>
        <w:t>Always split advertised-product sales from halo sales.</w:t>
      </w:r>
    </w:p>
    <w:p>
      <w:pPr>
        <w:pStyle w:val="ListBullet"/>
        <w:spacing w:after="50"/>
      </w:pPr>
      <w:r>
        <w:t>Always label conversion denominator.</w:t>
      </w:r>
    </w:p>
    <w:p>
      <w:pPr>
        <w:pStyle w:val="ListBullet"/>
        <w:spacing w:after="50"/>
      </w:pPr>
      <w:r>
        <w:t>Do not compare ROAS across tactics before normalizing window, product scope and cost scope.</w:t>
      </w:r>
    </w:p>
    <w:p>
      <w:pPr>
        <w:pStyle w:val="ListBullet"/>
        <w:spacing w:after="50"/>
      </w:pPr>
      <w:r>
        <w:t>Expose platform-reported and NIQ-calculated results side by side when both exist.</w:t>
      </w:r>
    </w:p>
    <w:p>
      <w:pPr>
        <w:pStyle w:val="ListBullet"/>
        <w:spacing w:after="50"/>
      </w:pPr>
      <w:r>
        <w:t>Explain differences through a reconciliation view.</w:t>
      </w:r>
    </w:p>
    <w:p>
      <w:pPr>
        <w:pStyle w:val="Small"/>
        <w:spacing w:before="40"/>
      </w:pPr>
      <w:r>
        <w:rPr>
          <w:b/>
        </w:rPr>
        <w:t xml:space="preserve">Research basis: </w:t>
      </w:r>
      <w:r>
        <w:t>Advertiser interviews describe generous windows and brand halo as key sources of inflated ROAS; the sector scan also identifies inconsistent methods across RMNs. Mars United lists attributed sales/ROAS, baseline deterministic sales, omni sales, new buyers and creative/audience reporting as core criteria.</w:t>
      </w:r>
    </w:p>
    <w:p>
      <w:r>
        <w:br w:type="page"/>
      </w:r>
    </w:p>
    <w:p>
      <w:pPr>
        <w:pStyle w:val="Heading1"/>
        <w:keepNext/>
      </w:pPr>
      <w:r>
        <w:t>12. Incrementality and experiment experience</w:t>
      </w:r>
    </w:p>
    <w:p>
      <w:pPr>
        <w:pStyle w:val="Heading2"/>
        <w:keepNext/>
      </w:pPr>
      <w:r>
        <w:t>12.1 Experiment design assistant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7365D"/>
            <w:tcMar>
              <w:top w:w="100" w:type="dxa"/>
              <w:start w:w="110" w:type="dxa"/>
              <w:bottom w:w="100" w:type="dxa"/>
              <w:end w:w="110" w:type="dxa"/>
            </w:tcMar>
            <w:vAlign w:val="center"/>
          </w:tcPr>
          <w:p>
            <w:pPr>
              <w:jc w:val="center"/>
            </w:pPr>
            <w:r>
              <w:rPr>
                <w:b/>
                <w:color w:val="FFFFFF"/>
                <w:sz w:val="15"/>
              </w:rPr>
              <w:t>Step</w:t>
            </w:r>
          </w:p>
        </w:tc>
        <w:tc>
          <w:tcPr>
            <w:tcW w:type="dxa" w:w="8352"/>
            <w:shd w:fill="17365D"/>
            <w:tcMar>
              <w:top w:w="100" w:type="dxa"/>
              <w:start w:w="110" w:type="dxa"/>
              <w:bottom w:w="100" w:type="dxa"/>
              <w:end w:w="110" w:type="dxa"/>
            </w:tcMar>
            <w:vAlign w:val="center"/>
          </w:tcPr>
          <w:p>
            <w:pPr>
              <w:jc w:val="center"/>
            </w:pPr>
            <w:r>
              <w:rPr>
                <w:b/>
                <w:color w:val="FFFFFF"/>
                <w:sz w:val="15"/>
              </w:rPr>
              <w:t>Product behavior</w:t>
            </w:r>
          </w:p>
        </w:tc>
      </w:tr>
      <w:tr>
        <w:trPr>
          <w:cantSplit/>
        </w:trPr>
        <w:tc>
          <w:tcPr>
            <w:tcW w:type="dxa" w:w="2088"/>
            <w:tcMar>
              <w:top w:w="90" w:type="dxa"/>
              <w:start w:w="110" w:type="dxa"/>
              <w:bottom w:w="90" w:type="dxa"/>
              <w:end w:w="110" w:type="dxa"/>
            </w:tcMar>
            <w:vAlign w:val="center"/>
          </w:tcPr>
          <w:p>
            <w:pPr>
              <w:spacing w:after="0"/>
              <w:jc w:val="center"/>
            </w:pPr>
            <w:r>
              <w:rPr>
                <w:color w:val="243447"/>
                <w:sz w:val="15"/>
              </w:rPr>
              <w:t>Objective</w:t>
            </w:r>
          </w:p>
        </w:tc>
        <w:tc>
          <w:tcPr>
            <w:tcW w:type="dxa" w:w="8352"/>
            <w:tcMar>
              <w:top w:w="90" w:type="dxa"/>
              <w:start w:w="110" w:type="dxa"/>
              <w:bottom w:w="90" w:type="dxa"/>
              <w:end w:w="110" w:type="dxa"/>
            </w:tcMar>
            <w:vAlign w:val="center"/>
          </w:tcPr>
          <w:p>
            <w:pPr>
              <w:spacing w:after="0"/>
            </w:pPr>
            <w:r>
              <w:rPr>
                <w:color w:val="243447"/>
                <w:sz w:val="15"/>
              </w:rPr>
              <w:t>Select primary causal outcome and decision threshold</w:t>
            </w:r>
          </w:p>
        </w:tc>
      </w:tr>
      <w:tr>
        <w:trPr>
          <w:cantSplit/>
        </w:trPr>
        <w:tc>
          <w:tcPr>
            <w:tcW w:type="dxa" w:w="2088"/>
            <w:tcMar>
              <w:top w:w="90" w:type="dxa"/>
              <w:start w:w="110" w:type="dxa"/>
              <w:bottom w:w="90" w:type="dxa"/>
              <w:end w:w="110" w:type="dxa"/>
            </w:tcMar>
            <w:vAlign w:val="center"/>
            <w:shd w:fill="F7F9FC"/>
          </w:tcPr>
          <w:p>
            <w:pPr>
              <w:spacing w:after="0"/>
              <w:jc w:val="center"/>
            </w:pPr>
            <w:r>
              <w:rPr>
                <w:color w:val="243447"/>
                <w:sz w:val="15"/>
              </w:rPr>
              <w:t>Unit</w:t>
            </w:r>
          </w:p>
        </w:tc>
        <w:tc>
          <w:tcPr>
            <w:tcW w:type="dxa" w:w="8352"/>
            <w:tcMar>
              <w:top w:w="90" w:type="dxa"/>
              <w:start w:w="110" w:type="dxa"/>
              <w:bottom w:w="90" w:type="dxa"/>
              <w:end w:w="110" w:type="dxa"/>
            </w:tcMar>
            <w:vAlign w:val="center"/>
            <w:shd w:fill="F7F9FC"/>
          </w:tcPr>
          <w:p>
            <w:pPr>
              <w:spacing w:after="0"/>
            </w:pPr>
            <w:r>
              <w:rPr>
                <w:color w:val="243447"/>
                <w:sz w:val="15"/>
              </w:rPr>
              <w:t>Shopper/household, store, geography or time unit</w:t>
            </w:r>
          </w:p>
        </w:tc>
      </w:tr>
      <w:tr>
        <w:trPr>
          <w:cantSplit/>
        </w:trPr>
        <w:tc>
          <w:tcPr>
            <w:tcW w:type="dxa" w:w="2088"/>
            <w:tcMar>
              <w:top w:w="90" w:type="dxa"/>
              <w:start w:w="110" w:type="dxa"/>
              <w:bottom w:w="90" w:type="dxa"/>
              <w:end w:w="110" w:type="dxa"/>
            </w:tcMar>
            <w:vAlign w:val="center"/>
          </w:tcPr>
          <w:p>
            <w:pPr>
              <w:spacing w:after="0"/>
              <w:jc w:val="center"/>
            </w:pPr>
            <w:r>
              <w:rPr>
                <w:color w:val="243447"/>
                <w:sz w:val="15"/>
              </w:rPr>
              <w:t>Design</w:t>
            </w:r>
          </w:p>
        </w:tc>
        <w:tc>
          <w:tcPr>
            <w:tcW w:type="dxa" w:w="8352"/>
            <w:tcMar>
              <w:top w:w="90" w:type="dxa"/>
              <w:start w:w="110" w:type="dxa"/>
              <w:bottom w:w="90" w:type="dxa"/>
              <w:end w:w="110" w:type="dxa"/>
            </w:tcMar>
            <w:vAlign w:val="center"/>
          </w:tcPr>
          <w:p>
            <w:pPr>
              <w:spacing w:after="0"/>
            </w:pPr>
            <w:r>
              <w:rPr>
                <w:color w:val="243447"/>
                <w:sz w:val="15"/>
              </w:rPr>
              <w:t>Random holdout; randomized match-both-arms; ghost ads; matched market; difference-in-differences; approved modeled option</w:t>
            </w:r>
          </w:p>
        </w:tc>
      </w:tr>
      <w:tr>
        <w:trPr>
          <w:cantSplit/>
        </w:trPr>
        <w:tc>
          <w:tcPr>
            <w:tcW w:type="dxa" w:w="2088"/>
            <w:tcMar>
              <w:top w:w="90" w:type="dxa"/>
              <w:start w:w="110" w:type="dxa"/>
              <w:bottom w:w="90" w:type="dxa"/>
              <w:end w:w="110" w:type="dxa"/>
            </w:tcMar>
            <w:vAlign w:val="center"/>
            <w:shd w:fill="F7F9FC"/>
          </w:tcPr>
          <w:p>
            <w:pPr>
              <w:spacing w:after="0"/>
              <w:jc w:val="center"/>
            </w:pPr>
            <w:r>
              <w:rPr>
                <w:color w:val="243447"/>
                <w:sz w:val="15"/>
              </w:rPr>
              <w:t>Allocation</w:t>
            </w:r>
          </w:p>
        </w:tc>
        <w:tc>
          <w:tcPr>
            <w:tcW w:type="dxa" w:w="8352"/>
            <w:tcMar>
              <w:top w:w="90" w:type="dxa"/>
              <w:start w:w="110" w:type="dxa"/>
              <w:bottom w:w="90" w:type="dxa"/>
              <w:end w:w="110" w:type="dxa"/>
            </w:tcMar>
            <w:vAlign w:val="center"/>
            <w:shd w:fill="F7F9FC"/>
          </w:tcPr>
          <w:p>
            <w:pPr>
              <w:spacing w:after="0"/>
            </w:pPr>
            <w:r>
              <w:rPr>
                <w:color w:val="243447"/>
                <w:sz w:val="15"/>
              </w:rPr>
              <w:t>Recommend treatment/control split based on power and match loss</w:t>
            </w:r>
          </w:p>
        </w:tc>
      </w:tr>
      <w:tr>
        <w:trPr>
          <w:cantSplit/>
        </w:trPr>
        <w:tc>
          <w:tcPr>
            <w:tcW w:type="dxa" w:w="2088"/>
            <w:tcMar>
              <w:top w:w="90" w:type="dxa"/>
              <w:start w:w="110" w:type="dxa"/>
              <w:bottom w:w="90" w:type="dxa"/>
              <w:end w:w="110" w:type="dxa"/>
            </w:tcMar>
            <w:vAlign w:val="center"/>
          </w:tcPr>
          <w:p>
            <w:pPr>
              <w:spacing w:after="0"/>
              <w:jc w:val="center"/>
            </w:pPr>
            <w:r>
              <w:rPr>
                <w:color w:val="243447"/>
                <w:sz w:val="15"/>
              </w:rPr>
              <w:t>Power</w:t>
            </w:r>
          </w:p>
        </w:tc>
        <w:tc>
          <w:tcPr>
            <w:tcW w:type="dxa" w:w="8352"/>
            <w:tcMar>
              <w:top w:w="90" w:type="dxa"/>
              <w:start w:w="110" w:type="dxa"/>
              <w:bottom w:w="90" w:type="dxa"/>
              <w:end w:w="110" w:type="dxa"/>
            </w:tcMar>
            <w:vAlign w:val="center"/>
          </w:tcPr>
          <w:p>
            <w:pPr>
              <w:spacing w:after="0"/>
            </w:pPr>
            <w:r>
              <w:rPr>
                <w:color w:val="243447"/>
                <w:sz w:val="15"/>
              </w:rPr>
              <w:t>Estimate MDE using baseline outcome variance and expected attrition</w:t>
            </w:r>
          </w:p>
        </w:tc>
      </w:tr>
      <w:tr>
        <w:trPr>
          <w:cantSplit/>
        </w:trPr>
        <w:tc>
          <w:tcPr>
            <w:tcW w:type="dxa" w:w="2088"/>
            <w:tcMar>
              <w:top w:w="90" w:type="dxa"/>
              <w:start w:w="110" w:type="dxa"/>
              <w:bottom w:w="90" w:type="dxa"/>
              <w:end w:w="110" w:type="dxa"/>
            </w:tcMar>
            <w:vAlign w:val="center"/>
            <w:shd w:fill="F7F9FC"/>
          </w:tcPr>
          <w:p>
            <w:pPr>
              <w:spacing w:after="0"/>
              <w:jc w:val="center"/>
            </w:pPr>
            <w:r>
              <w:rPr>
                <w:color w:val="243447"/>
                <w:sz w:val="15"/>
              </w:rPr>
              <w:t>Contamination</w:t>
            </w:r>
          </w:p>
        </w:tc>
        <w:tc>
          <w:tcPr>
            <w:tcW w:type="dxa" w:w="8352"/>
            <w:tcMar>
              <w:top w:w="90" w:type="dxa"/>
              <w:start w:w="110" w:type="dxa"/>
              <w:bottom w:w="90" w:type="dxa"/>
              <w:end w:w="110" w:type="dxa"/>
            </w:tcMar>
            <w:vAlign w:val="center"/>
            <w:shd w:fill="F7F9FC"/>
          </w:tcPr>
          <w:p>
            <w:pPr>
              <w:spacing w:after="0"/>
            </w:pPr>
            <w:r>
              <w:rPr>
                <w:color w:val="243447"/>
                <w:sz w:val="15"/>
              </w:rPr>
              <w:t>Define suppression, leakage detection and overlapping-campaign exclusions</w:t>
            </w:r>
          </w:p>
        </w:tc>
      </w:tr>
      <w:tr>
        <w:trPr>
          <w:cantSplit/>
        </w:trPr>
        <w:tc>
          <w:tcPr>
            <w:tcW w:type="dxa" w:w="2088"/>
            <w:tcMar>
              <w:top w:w="90" w:type="dxa"/>
              <w:start w:w="110" w:type="dxa"/>
              <w:bottom w:w="90" w:type="dxa"/>
              <w:end w:w="110" w:type="dxa"/>
            </w:tcMar>
            <w:vAlign w:val="center"/>
          </w:tcPr>
          <w:p>
            <w:pPr>
              <w:spacing w:after="0"/>
              <w:jc w:val="center"/>
            </w:pPr>
            <w:r>
              <w:rPr>
                <w:color w:val="243447"/>
                <w:sz w:val="15"/>
              </w:rPr>
              <w:t>Pre-period</w:t>
            </w:r>
          </w:p>
        </w:tc>
        <w:tc>
          <w:tcPr>
            <w:tcW w:type="dxa" w:w="8352"/>
            <w:tcMar>
              <w:top w:w="90" w:type="dxa"/>
              <w:start w:w="110" w:type="dxa"/>
              <w:bottom w:w="90" w:type="dxa"/>
              <w:end w:w="110" w:type="dxa"/>
            </w:tcMar>
            <w:vAlign w:val="center"/>
          </w:tcPr>
          <w:p>
            <w:pPr>
              <w:spacing w:after="0"/>
            </w:pPr>
            <w:r>
              <w:rPr>
                <w:color w:val="243447"/>
                <w:sz w:val="15"/>
              </w:rPr>
              <w:t>Set balance and trend period</w:t>
            </w:r>
          </w:p>
        </w:tc>
      </w:tr>
      <w:tr>
        <w:trPr>
          <w:cantSplit/>
        </w:trPr>
        <w:tc>
          <w:tcPr>
            <w:tcW w:type="dxa" w:w="2088"/>
            <w:tcMar>
              <w:top w:w="90" w:type="dxa"/>
              <w:start w:w="110" w:type="dxa"/>
              <w:bottom w:w="90" w:type="dxa"/>
              <w:end w:w="110" w:type="dxa"/>
            </w:tcMar>
            <w:vAlign w:val="center"/>
            <w:shd w:fill="F7F9FC"/>
          </w:tcPr>
          <w:p>
            <w:pPr>
              <w:spacing w:after="0"/>
              <w:jc w:val="center"/>
            </w:pPr>
            <w:r>
              <w:rPr>
                <w:color w:val="243447"/>
                <w:sz w:val="15"/>
              </w:rPr>
              <w:t>Analysis</w:t>
            </w:r>
          </w:p>
        </w:tc>
        <w:tc>
          <w:tcPr>
            <w:tcW w:type="dxa" w:w="8352"/>
            <w:tcMar>
              <w:top w:w="90" w:type="dxa"/>
              <w:start w:w="110" w:type="dxa"/>
              <w:bottom w:w="90" w:type="dxa"/>
              <w:end w:w="110" w:type="dxa"/>
            </w:tcMar>
            <w:vAlign w:val="center"/>
            <w:shd w:fill="F7F9FC"/>
          </w:tcPr>
          <w:p>
            <w:pPr>
              <w:spacing w:after="0"/>
            </w:pPr>
            <w:r>
              <w:rPr>
                <w:color w:val="243447"/>
                <w:sz w:val="15"/>
              </w:rPr>
              <w:t>Lock model specification and covariates</w:t>
            </w:r>
          </w:p>
        </w:tc>
      </w:tr>
      <w:tr>
        <w:trPr>
          <w:cantSplit/>
        </w:trPr>
        <w:tc>
          <w:tcPr>
            <w:tcW w:type="dxa" w:w="2088"/>
            <w:tcMar>
              <w:top w:w="90" w:type="dxa"/>
              <w:start w:w="110" w:type="dxa"/>
              <w:bottom w:w="90" w:type="dxa"/>
              <w:end w:w="110" w:type="dxa"/>
            </w:tcMar>
            <w:vAlign w:val="center"/>
          </w:tcPr>
          <w:p>
            <w:pPr>
              <w:spacing w:after="0"/>
              <w:jc w:val="center"/>
            </w:pPr>
            <w:r>
              <w:rPr>
                <w:color w:val="243447"/>
                <w:sz w:val="15"/>
              </w:rPr>
              <w:t>Approval</w:t>
            </w:r>
          </w:p>
        </w:tc>
        <w:tc>
          <w:tcPr>
            <w:tcW w:type="dxa" w:w="8352"/>
            <w:tcMar>
              <w:top w:w="90" w:type="dxa"/>
              <w:start w:w="110" w:type="dxa"/>
              <w:bottom w:w="90" w:type="dxa"/>
              <w:end w:w="110" w:type="dxa"/>
            </w:tcMar>
            <w:vAlign w:val="center"/>
          </w:tcPr>
          <w:p>
            <w:pPr>
              <w:spacing w:after="0"/>
            </w:pPr>
            <w:r>
              <w:rPr>
                <w:color w:val="243447"/>
                <w:sz w:val="15"/>
              </w:rPr>
              <w:t>Data scientist reviews and versions methodology before activation</w:t>
            </w:r>
          </w:p>
        </w:tc>
      </w:tr>
    </w:tbl>
    <w:p>
      <w:pPr>
        <w:spacing w:after="0"/>
      </w:pPr>
    </w:p>
    <w:p>
      <w:pPr>
        <w:pStyle w:val="Heading2"/>
        <w:keepNext/>
      </w:pPr>
      <w:r>
        <w:t>12.2 Experiment diagnostics view</w:t>
      </w:r>
    </w:p>
    <w:p>
      <w:pPr>
        <w:pStyle w:val="ListBullet"/>
        <w:spacing w:after="50"/>
      </w:pPr>
      <w:r>
        <w:t>Assignment counts and randomization integrity</w:t>
      </w:r>
    </w:p>
    <w:p>
      <w:pPr>
        <w:pStyle w:val="ListBullet"/>
        <w:spacing w:after="50"/>
      </w:pPr>
      <w:r>
        <w:t>Treatment/control match rates</w:t>
      </w:r>
    </w:p>
    <w:p>
      <w:pPr>
        <w:pStyle w:val="ListBullet"/>
        <w:spacing w:after="50"/>
      </w:pPr>
      <w:r>
        <w:t>Covariate balance summary and standardized differences</w:t>
      </w:r>
    </w:p>
    <w:p>
      <w:pPr>
        <w:pStyle w:val="ListBullet"/>
        <w:spacing w:after="50"/>
      </w:pPr>
      <w:r>
        <w:t>Pre-trend comparison</w:t>
      </w:r>
    </w:p>
    <w:p>
      <w:pPr>
        <w:pStyle w:val="ListBullet"/>
        <w:spacing w:after="50"/>
      </w:pPr>
      <w:r>
        <w:t>Control leakage and cross-campaign contamination</w:t>
      </w:r>
    </w:p>
    <w:p>
      <w:pPr>
        <w:pStyle w:val="ListBullet"/>
        <w:spacing w:after="50"/>
      </w:pPr>
      <w:r>
        <w:t>Outcome sample maturity</w:t>
      </w:r>
    </w:p>
    <w:p>
      <w:pPr>
        <w:pStyle w:val="ListBullet"/>
        <w:spacing w:after="50"/>
      </w:pPr>
      <w:r>
        <w:t>Sensitivity to exclusions and alternate windows</w:t>
      </w:r>
    </w:p>
    <w:p>
      <w:pPr>
        <w:pStyle w:val="ListBullet"/>
        <w:spacing w:after="50"/>
      </w:pPr>
      <w:r>
        <w:t>Confidence interval, p-value or Bayesian probability according to approved standard</w:t>
      </w:r>
    </w:p>
    <w:p>
      <w:pPr>
        <w:pStyle w:val="ListBullet"/>
        <w:spacing w:after="50"/>
      </w:pPr>
      <w:r>
        <w:t>Power achieved and detectable effect</w:t>
      </w:r>
    </w:p>
    <w:p>
      <w:pPr>
        <w:pStyle w:val="ListBullet"/>
        <w:spacing w:after="50"/>
      </w:pPr>
      <w:r>
        <w:t>Decision badge: certified, directional or insufficient evidence</w:t>
      </w:r>
    </w:p>
    <w:p>
      <w:pPr>
        <w:pStyle w:val="Heading2"/>
        <w:keepNext/>
      </w:pPr>
      <w:r>
        <w:t>12.3 Recommended method hierarchy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92"/>
            <w:shd w:fill="17365D"/>
            <w:tcMar>
              <w:top w:w="100" w:type="dxa"/>
              <w:start w:w="110" w:type="dxa"/>
              <w:bottom w:w="100" w:type="dxa"/>
              <w:end w:w="110" w:type="dxa"/>
            </w:tcMar>
            <w:vAlign w:val="center"/>
          </w:tcPr>
          <w:p>
            <w:pPr>
              <w:jc w:val="center"/>
            </w:pPr>
            <w:r>
              <w:rPr>
                <w:b/>
                <w:color w:val="FFFFFF"/>
                <w:sz w:val="14"/>
              </w:rPr>
              <w:t>Rank</w:t>
            </w:r>
          </w:p>
        </w:tc>
        <w:tc>
          <w:tcPr>
            <w:tcW w:type="dxa" w:w="4680"/>
            <w:shd w:fill="17365D"/>
            <w:tcMar>
              <w:top w:w="100" w:type="dxa"/>
              <w:start w:w="110" w:type="dxa"/>
              <w:bottom w:w="100" w:type="dxa"/>
              <w:end w:w="110" w:type="dxa"/>
            </w:tcMar>
            <w:vAlign w:val="center"/>
          </w:tcPr>
          <w:p>
            <w:pPr>
              <w:jc w:val="center"/>
            </w:pPr>
            <w:r>
              <w:rPr>
                <w:b/>
                <w:color w:val="FFFFFF"/>
                <w:sz w:val="14"/>
              </w:rPr>
              <w:t>Method</w:t>
            </w:r>
          </w:p>
        </w:tc>
        <w:tc>
          <w:tcPr>
            <w:tcW w:type="dxa" w:w="4968"/>
            <w:shd w:fill="17365D"/>
            <w:tcMar>
              <w:top w:w="100" w:type="dxa"/>
              <w:start w:w="110" w:type="dxa"/>
              <w:bottom w:w="100" w:type="dxa"/>
              <w:end w:w="110" w:type="dxa"/>
            </w:tcMar>
            <w:vAlign w:val="center"/>
          </w:tcPr>
          <w:p>
            <w:pPr>
              <w:jc w:val="center"/>
            </w:pPr>
            <w:r>
              <w:rPr>
                <w:b/>
                <w:color w:val="FFFFFF"/>
                <w:sz w:val="14"/>
              </w:rPr>
              <w:t>Use</w:t>
            </w:r>
          </w:p>
        </w:tc>
      </w:tr>
      <w:tr>
        <w:trPr>
          <w:cantSplit/>
        </w:trPr>
        <w:tc>
          <w:tcPr>
            <w:tcW w:type="dxa" w:w="792"/>
            <w:tcMar>
              <w:top w:w="90" w:type="dxa"/>
              <w:start w:w="110" w:type="dxa"/>
              <w:bottom w:w="90" w:type="dxa"/>
              <w:end w:w="110" w:type="dxa"/>
            </w:tcMar>
            <w:vAlign w:val="center"/>
          </w:tcPr>
          <w:p>
            <w:pPr>
              <w:spacing w:after="0"/>
              <w:jc w:val="center"/>
            </w:pPr>
            <w:r>
              <w:rPr>
                <w:color w:val="243447"/>
                <w:sz w:val="14"/>
              </w:rPr>
              <w:t>1</w:t>
            </w:r>
          </w:p>
        </w:tc>
        <w:tc>
          <w:tcPr>
            <w:tcW w:type="dxa" w:w="4680"/>
            <w:tcMar>
              <w:top w:w="90" w:type="dxa"/>
              <w:start w:w="110" w:type="dxa"/>
              <w:bottom w:w="90" w:type="dxa"/>
              <w:end w:w="110" w:type="dxa"/>
            </w:tcMar>
            <w:vAlign w:val="center"/>
          </w:tcPr>
          <w:p>
            <w:pPr>
              <w:spacing w:after="0"/>
            </w:pPr>
            <w:r>
              <w:rPr>
                <w:color w:val="243447"/>
                <w:sz w:val="14"/>
              </w:rPr>
              <w:t>Randomized shopper/household holdout with protected control</w:t>
            </w:r>
          </w:p>
        </w:tc>
        <w:tc>
          <w:tcPr>
            <w:tcW w:type="dxa" w:w="4968"/>
            <w:tcMar>
              <w:top w:w="90" w:type="dxa"/>
              <w:start w:w="110" w:type="dxa"/>
              <w:bottom w:w="90" w:type="dxa"/>
              <w:end w:w="110" w:type="dxa"/>
            </w:tcMar>
            <w:vAlign w:val="center"/>
          </w:tcPr>
          <w:p>
            <w:pPr>
              <w:spacing w:after="0"/>
            </w:pPr>
            <w:r>
              <w:rPr>
                <w:color w:val="243447"/>
                <w:sz w:val="14"/>
              </w:rPr>
              <w:t>Preferred where identity and suppression are feasible</w:t>
            </w:r>
          </w:p>
        </w:tc>
      </w:tr>
      <w:tr>
        <w:trPr>
          <w:cantSplit/>
        </w:trPr>
        <w:tc>
          <w:tcPr>
            <w:tcW w:type="dxa" w:w="792"/>
            <w:tcMar>
              <w:top w:w="90" w:type="dxa"/>
              <w:start w:w="110" w:type="dxa"/>
              <w:bottom w:w="90" w:type="dxa"/>
              <w:end w:w="110" w:type="dxa"/>
            </w:tcMar>
            <w:vAlign w:val="center"/>
            <w:shd w:fill="F7F9FC"/>
          </w:tcPr>
          <w:p>
            <w:pPr>
              <w:spacing w:after="0"/>
              <w:jc w:val="center"/>
            </w:pPr>
            <w:r>
              <w:rPr>
                <w:color w:val="243447"/>
                <w:sz w:val="14"/>
              </w:rPr>
              <w:t>2</w:t>
            </w:r>
          </w:p>
        </w:tc>
        <w:tc>
          <w:tcPr>
            <w:tcW w:type="dxa" w:w="4680"/>
            <w:tcMar>
              <w:top w:w="90" w:type="dxa"/>
              <w:start w:w="110" w:type="dxa"/>
              <w:bottom w:w="90" w:type="dxa"/>
              <w:end w:w="110" w:type="dxa"/>
            </w:tcMar>
            <w:vAlign w:val="center"/>
            <w:shd w:fill="F7F9FC"/>
          </w:tcPr>
          <w:p>
            <w:pPr>
              <w:spacing w:after="0"/>
            </w:pPr>
            <w:r>
              <w:rPr>
                <w:color w:val="243447"/>
                <w:sz w:val="14"/>
              </w:rPr>
              <w:t>Randomized test/control with both arms matched, control suppressed</w:t>
            </w:r>
          </w:p>
        </w:tc>
        <w:tc>
          <w:tcPr>
            <w:tcW w:type="dxa" w:w="4968"/>
            <w:tcMar>
              <w:top w:w="90" w:type="dxa"/>
              <w:start w:w="110" w:type="dxa"/>
              <w:bottom w:w="90" w:type="dxa"/>
              <w:end w:w="110" w:type="dxa"/>
            </w:tcMar>
            <w:vAlign w:val="center"/>
            <w:shd w:fill="F7F9FC"/>
          </w:tcPr>
          <w:p>
            <w:pPr>
              <w:spacing w:after="0"/>
            </w:pPr>
            <w:r>
              <w:rPr>
                <w:color w:val="243447"/>
                <w:sz w:val="14"/>
              </w:rPr>
              <w:t>Preferred for offsite match loss if membership is returned</w:t>
            </w:r>
          </w:p>
        </w:tc>
      </w:tr>
      <w:tr>
        <w:trPr>
          <w:cantSplit/>
        </w:trPr>
        <w:tc>
          <w:tcPr>
            <w:tcW w:type="dxa" w:w="792"/>
            <w:tcMar>
              <w:top w:w="90" w:type="dxa"/>
              <w:start w:w="110" w:type="dxa"/>
              <w:bottom w:w="90" w:type="dxa"/>
              <w:end w:w="110" w:type="dxa"/>
            </w:tcMar>
            <w:vAlign w:val="center"/>
          </w:tcPr>
          <w:p>
            <w:pPr>
              <w:spacing w:after="0"/>
              <w:jc w:val="center"/>
            </w:pPr>
            <w:r>
              <w:rPr>
                <w:color w:val="243447"/>
                <w:sz w:val="14"/>
              </w:rPr>
              <w:t>3</w:t>
            </w:r>
          </w:p>
        </w:tc>
        <w:tc>
          <w:tcPr>
            <w:tcW w:type="dxa" w:w="4680"/>
            <w:tcMar>
              <w:top w:w="90" w:type="dxa"/>
              <w:start w:w="110" w:type="dxa"/>
              <w:bottom w:w="90" w:type="dxa"/>
              <w:end w:w="110" w:type="dxa"/>
            </w:tcMar>
            <w:vAlign w:val="center"/>
          </w:tcPr>
          <w:p>
            <w:pPr>
              <w:spacing w:after="0"/>
            </w:pPr>
            <w:r>
              <w:rPr>
                <w:color w:val="243447"/>
                <w:sz w:val="14"/>
              </w:rPr>
              <w:t>Ghost ads / platform experiment</w:t>
            </w:r>
          </w:p>
        </w:tc>
        <w:tc>
          <w:tcPr>
            <w:tcW w:type="dxa" w:w="4968"/>
            <w:tcMar>
              <w:top w:w="90" w:type="dxa"/>
              <w:start w:w="110" w:type="dxa"/>
              <w:bottom w:w="90" w:type="dxa"/>
              <w:end w:w="110" w:type="dxa"/>
            </w:tcMar>
            <w:vAlign w:val="center"/>
          </w:tcPr>
          <w:p>
            <w:pPr>
              <w:spacing w:after="0"/>
            </w:pPr>
            <w:r>
              <w:rPr>
                <w:color w:val="243447"/>
                <w:sz w:val="14"/>
              </w:rPr>
              <w:t>Preferred when platform can randomize delivery credibly</w:t>
            </w:r>
          </w:p>
        </w:tc>
      </w:tr>
      <w:tr>
        <w:trPr>
          <w:cantSplit/>
        </w:trPr>
        <w:tc>
          <w:tcPr>
            <w:tcW w:type="dxa" w:w="792"/>
            <w:tcMar>
              <w:top w:w="90" w:type="dxa"/>
              <w:start w:w="110" w:type="dxa"/>
              <w:bottom w:w="90" w:type="dxa"/>
              <w:end w:w="110" w:type="dxa"/>
            </w:tcMar>
            <w:vAlign w:val="center"/>
            <w:shd w:fill="F7F9FC"/>
          </w:tcPr>
          <w:p>
            <w:pPr>
              <w:spacing w:after="0"/>
              <w:jc w:val="center"/>
            </w:pPr>
            <w:r>
              <w:rPr>
                <w:color w:val="243447"/>
                <w:sz w:val="14"/>
              </w:rPr>
              <w:t>4</w:t>
            </w:r>
          </w:p>
        </w:tc>
        <w:tc>
          <w:tcPr>
            <w:tcW w:type="dxa" w:w="4680"/>
            <w:tcMar>
              <w:top w:w="90" w:type="dxa"/>
              <w:start w:w="110" w:type="dxa"/>
              <w:bottom w:w="90" w:type="dxa"/>
              <w:end w:w="110" w:type="dxa"/>
            </w:tcMar>
            <w:vAlign w:val="center"/>
            <w:shd w:fill="F7F9FC"/>
          </w:tcPr>
          <w:p>
            <w:pPr>
              <w:spacing w:after="0"/>
            </w:pPr>
            <w:r>
              <w:rPr>
                <w:color w:val="243447"/>
                <w:sz w:val="14"/>
              </w:rPr>
              <w:t>Randomized or matched store/geo test</w:t>
            </w:r>
          </w:p>
        </w:tc>
        <w:tc>
          <w:tcPr>
            <w:tcW w:type="dxa" w:w="4968"/>
            <w:tcMar>
              <w:top w:w="90" w:type="dxa"/>
              <w:start w:w="110" w:type="dxa"/>
              <w:bottom w:w="90" w:type="dxa"/>
              <w:end w:w="110" w:type="dxa"/>
            </w:tcMar>
            <w:vAlign w:val="center"/>
            <w:shd w:fill="F7F9FC"/>
          </w:tcPr>
          <w:p>
            <w:pPr>
              <w:spacing w:after="0"/>
            </w:pPr>
            <w:r>
              <w:rPr>
                <w:color w:val="243447"/>
                <w:sz w:val="14"/>
              </w:rPr>
              <w:t>In-store or low addressability settings</w:t>
            </w:r>
          </w:p>
        </w:tc>
      </w:tr>
      <w:tr>
        <w:trPr>
          <w:cantSplit/>
        </w:trPr>
        <w:tc>
          <w:tcPr>
            <w:tcW w:type="dxa" w:w="792"/>
            <w:tcMar>
              <w:top w:w="90" w:type="dxa"/>
              <w:start w:w="110" w:type="dxa"/>
              <w:bottom w:w="90" w:type="dxa"/>
              <w:end w:w="110" w:type="dxa"/>
            </w:tcMar>
            <w:vAlign w:val="center"/>
          </w:tcPr>
          <w:p>
            <w:pPr>
              <w:spacing w:after="0"/>
              <w:jc w:val="center"/>
            </w:pPr>
            <w:r>
              <w:rPr>
                <w:color w:val="243447"/>
                <w:sz w:val="14"/>
              </w:rPr>
              <w:t>5</w:t>
            </w:r>
          </w:p>
        </w:tc>
        <w:tc>
          <w:tcPr>
            <w:tcW w:type="dxa" w:w="4680"/>
            <w:tcMar>
              <w:top w:w="90" w:type="dxa"/>
              <w:start w:w="110" w:type="dxa"/>
              <w:bottom w:w="90" w:type="dxa"/>
              <w:end w:w="110" w:type="dxa"/>
            </w:tcMar>
            <w:vAlign w:val="center"/>
          </w:tcPr>
          <w:p>
            <w:pPr>
              <w:spacing w:after="0"/>
            </w:pPr>
            <w:r>
              <w:rPr>
                <w:color w:val="243447"/>
                <w:sz w:val="14"/>
              </w:rPr>
              <w:t>Difference-in-differences / synthetic control</w:t>
            </w:r>
          </w:p>
        </w:tc>
        <w:tc>
          <w:tcPr>
            <w:tcW w:type="dxa" w:w="4968"/>
            <w:tcMar>
              <w:top w:w="90" w:type="dxa"/>
              <w:start w:w="110" w:type="dxa"/>
              <w:bottom w:w="90" w:type="dxa"/>
              <w:end w:w="110" w:type="dxa"/>
            </w:tcMar>
            <w:vAlign w:val="center"/>
          </w:tcPr>
          <w:p>
            <w:pPr>
              <w:spacing w:after="0"/>
            </w:pPr>
            <w:r>
              <w:rPr>
                <w:color w:val="243447"/>
                <w:sz w:val="14"/>
              </w:rPr>
              <w:t>When randomization is unavailable and assumptions can be tested</w:t>
            </w:r>
          </w:p>
        </w:tc>
      </w:tr>
      <w:tr>
        <w:trPr>
          <w:cantSplit/>
        </w:trPr>
        <w:tc>
          <w:tcPr>
            <w:tcW w:type="dxa" w:w="792"/>
            <w:tcMar>
              <w:top w:w="90" w:type="dxa"/>
              <w:start w:w="110" w:type="dxa"/>
              <w:bottom w:w="90" w:type="dxa"/>
              <w:end w:w="110" w:type="dxa"/>
            </w:tcMar>
            <w:vAlign w:val="center"/>
            <w:shd w:fill="F7F9FC"/>
          </w:tcPr>
          <w:p>
            <w:pPr>
              <w:spacing w:after="0"/>
              <w:jc w:val="center"/>
            </w:pPr>
            <w:r>
              <w:rPr>
                <w:color w:val="243447"/>
                <w:sz w:val="14"/>
              </w:rPr>
              <w:t>6</w:t>
            </w:r>
          </w:p>
        </w:tc>
        <w:tc>
          <w:tcPr>
            <w:tcW w:type="dxa" w:w="4680"/>
            <w:tcMar>
              <w:top w:w="90" w:type="dxa"/>
              <w:start w:w="110" w:type="dxa"/>
              <w:bottom w:w="90" w:type="dxa"/>
              <w:end w:w="110" w:type="dxa"/>
            </w:tcMar>
            <w:vAlign w:val="center"/>
            <w:shd w:fill="F7F9FC"/>
          </w:tcPr>
          <w:p>
            <w:pPr>
              <w:spacing w:after="0"/>
            </w:pPr>
            <w:r>
              <w:rPr>
                <w:color w:val="243447"/>
                <w:sz w:val="14"/>
              </w:rPr>
              <w:t>Post-exposure matched non-exposed</w:t>
            </w:r>
          </w:p>
        </w:tc>
        <w:tc>
          <w:tcPr>
            <w:tcW w:type="dxa" w:w="4968"/>
            <w:tcMar>
              <w:top w:w="90" w:type="dxa"/>
              <w:start w:w="110" w:type="dxa"/>
              <w:bottom w:w="90" w:type="dxa"/>
              <w:end w:w="110" w:type="dxa"/>
            </w:tcMar>
            <w:vAlign w:val="center"/>
            <w:shd w:fill="F7F9FC"/>
          </w:tcPr>
          <w:p>
            <w:pPr>
              <w:spacing w:after="0"/>
            </w:pPr>
            <w:r>
              <w:rPr>
                <w:color w:val="243447"/>
                <w:sz w:val="14"/>
              </w:rPr>
              <w:t>Directional only unless selection assumptions are strongly supported</w:t>
            </w:r>
          </w:p>
        </w:tc>
      </w:tr>
    </w:tbl>
    <w:p>
      <w:pPr>
        <w:spacing w:after="0"/>
      </w:pPr>
    </w:p>
    <w:p>
      <w:r>
        <w:br w:type="page"/>
      </w:r>
    </w:p>
    <w:p>
      <w:pPr>
        <w:pStyle w:val="Heading1"/>
        <w:keepNext/>
      </w:pPr>
      <w:r>
        <w:t>13. Cross-channel, cross-RMN and rest-of-market measurement</w:t>
      </w:r>
    </w:p>
    <w:tbl>
      <w:tblPr>
        <w:tblW w:type="auto" w:w="0"/>
        <w:tblLook w:firstColumn="1" w:firstRow="1" w:lastColumn="0" w:lastRow="0" w:noHBand="0" w:noVBand="1" w:val="04A0"/>
      </w:tblPr>
      <w:tblGrid>
        <w:gridCol w:w="10166"/>
      </w:tblGrid>
      <w:tr>
        <w:tc>
          <w:tcPr>
            <w:tcW w:type="dxa" w:w="10166"/>
            <w:shd w:fill="FFF2CC"/>
            <w:tcMar>
              <w:top w:w="125" w:type="dxa"/>
              <w:start w:w="145" w:type="dxa"/>
              <w:bottom w:w="125" w:type="dxa"/>
              <w:end w:w="145" w:type="dxa"/>
            </w:tcMar>
          </w:tcPr>
          <w:p>
            <w:pPr>
              <w:spacing w:after="0"/>
            </w:pPr>
            <w:r>
              <w:rPr>
                <w:b/>
                <w:color w:val="17365D"/>
              </w:rPr>
              <w:t xml:space="preserve">Recommendation  </w:t>
            </w:r>
            <w:r>
              <w:t>Do not begin by promising a universal cross-RMN causal number. Begin with a normalized metric contract, channel capability matrix and deduplicated program view; add causal cross-channel allocation only when data supports it.</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20"/>
            <w:shd w:fill="17365D"/>
            <w:tcMar>
              <w:top w:w="100" w:type="dxa"/>
              <w:start w:w="110" w:type="dxa"/>
              <w:bottom w:w="100" w:type="dxa"/>
              <w:end w:w="110" w:type="dxa"/>
            </w:tcMar>
            <w:vAlign w:val="center"/>
          </w:tcPr>
          <w:p>
            <w:pPr>
              <w:jc w:val="center"/>
            </w:pPr>
            <w:r>
              <w:rPr>
                <w:b/>
                <w:color w:val="FFFFFF"/>
                <w:sz w:val="14"/>
              </w:rPr>
              <w:t>Capability</w:t>
            </w:r>
          </w:p>
        </w:tc>
        <w:tc>
          <w:tcPr>
            <w:tcW w:type="dxa" w:w="3888"/>
            <w:shd w:fill="17365D"/>
            <w:tcMar>
              <w:top w:w="100" w:type="dxa"/>
              <w:start w:w="110" w:type="dxa"/>
              <w:bottom w:w="100" w:type="dxa"/>
              <w:end w:w="110" w:type="dxa"/>
            </w:tcMar>
            <w:vAlign w:val="center"/>
          </w:tcPr>
          <w:p>
            <w:pPr>
              <w:jc w:val="center"/>
            </w:pPr>
            <w:r>
              <w:rPr>
                <w:b/>
                <w:color w:val="FFFFFF"/>
                <w:sz w:val="14"/>
              </w:rPr>
              <w:t>Near-term</w:t>
            </w:r>
          </w:p>
        </w:tc>
        <w:tc>
          <w:tcPr>
            <w:tcW w:type="dxa" w:w="4032"/>
            <w:shd w:fill="17365D"/>
            <w:tcMar>
              <w:top w:w="100" w:type="dxa"/>
              <w:start w:w="110" w:type="dxa"/>
              <w:bottom w:w="100" w:type="dxa"/>
              <w:end w:w="110" w:type="dxa"/>
            </w:tcMar>
            <w:vAlign w:val="center"/>
          </w:tcPr>
          <w:p>
            <w:pPr>
              <w:jc w:val="center"/>
            </w:pPr>
            <w:r>
              <w:rPr>
                <w:b/>
                <w:color w:val="FFFFFF"/>
                <w:sz w:val="14"/>
              </w:rPr>
              <w:t>Longer-term</w:t>
            </w:r>
          </w:p>
        </w:tc>
      </w:tr>
      <w:tr>
        <w:trPr>
          <w:cantSplit/>
        </w:trPr>
        <w:tc>
          <w:tcPr>
            <w:tcW w:type="dxa" w:w="2520"/>
            <w:tcMar>
              <w:top w:w="90" w:type="dxa"/>
              <w:start w:w="110" w:type="dxa"/>
              <w:bottom w:w="90" w:type="dxa"/>
              <w:end w:w="110" w:type="dxa"/>
            </w:tcMar>
            <w:vAlign w:val="center"/>
          </w:tcPr>
          <w:p>
            <w:pPr>
              <w:spacing w:after="0"/>
            </w:pPr>
            <w:r>
              <w:rPr>
                <w:color w:val="243447"/>
                <w:sz w:val="14"/>
              </w:rPr>
              <w:t>Cross-channel program view</w:t>
            </w:r>
          </w:p>
        </w:tc>
        <w:tc>
          <w:tcPr>
            <w:tcW w:type="dxa" w:w="3888"/>
            <w:tcMar>
              <w:top w:w="90" w:type="dxa"/>
              <w:start w:w="110" w:type="dxa"/>
              <w:bottom w:w="90" w:type="dxa"/>
              <w:end w:w="110" w:type="dxa"/>
            </w:tcMar>
            <w:vAlign w:val="center"/>
          </w:tcPr>
          <w:p>
            <w:pPr>
              <w:spacing w:after="0"/>
            </w:pPr>
            <w:r>
              <w:rPr>
                <w:color w:val="243447"/>
                <w:sz w:val="14"/>
              </w:rPr>
              <w:t>Parent initiative, standardized dimensions, channel-reported and NIQ-attributed outcomes</w:t>
            </w:r>
          </w:p>
        </w:tc>
        <w:tc>
          <w:tcPr>
            <w:tcW w:type="dxa" w:w="4032"/>
            <w:tcMar>
              <w:top w:w="90" w:type="dxa"/>
              <w:start w:w="110" w:type="dxa"/>
              <w:bottom w:w="90" w:type="dxa"/>
              <w:end w:w="110" w:type="dxa"/>
            </w:tcMar>
            <w:vAlign w:val="center"/>
          </w:tcPr>
          <w:p>
            <w:pPr>
              <w:spacing w:after="0"/>
            </w:pPr>
            <w:r>
              <w:rPr>
                <w:color w:val="243447"/>
                <w:sz w:val="14"/>
              </w:rPr>
              <w:t>Deduplicated reach, frequency and incremental decomposition</w:t>
            </w:r>
          </w:p>
        </w:tc>
      </w:tr>
      <w:tr>
        <w:trPr>
          <w:cantSplit/>
        </w:trPr>
        <w:tc>
          <w:tcPr>
            <w:tcW w:type="dxa" w:w="2520"/>
            <w:tcMar>
              <w:top w:w="90" w:type="dxa"/>
              <w:start w:w="110" w:type="dxa"/>
              <w:bottom w:w="90" w:type="dxa"/>
              <w:end w:w="110" w:type="dxa"/>
            </w:tcMar>
            <w:vAlign w:val="center"/>
            <w:shd w:fill="F7F9FC"/>
          </w:tcPr>
          <w:p>
            <w:pPr>
              <w:spacing w:after="0"/>
            </w:pPr>
            <w:r>
              <w:rPr>
                <w:color w:val="243447"/>
                <w:sz w:val="14"/>
              </w:rPr>
              <w:t>Cross-RMN comparison</w:t>
            </w:r>
          </w:p>
        </w:tc>
        <w:tc>
          <w:tcPr>
            <w:tcW w:type="dxa" w:w="3888"/>
            <w:tcMar>
              <w:top w:w="90" w:type="dxa"/>
              <w:start w:w="110" w:type="dxa"/>
              <w:bottom w:w="90" w:type="dxa"/>
              <w:end w:w="110" w:type="dxa"/>
            </w:tcMar>
            <w:vAlign w:val="center"/>
            <w:shd w:fill="F7F9FC"/>
          </w:tcPr>
          <w:p>
            <w:pPr>
              <w:spacing w:after="0"/>
            </w:pPr>
            <w:r>
              <w:rPr>
                <w:color w:val="243447"/>
                <w:sz w:val="14"/>
              </w:rPr>
              <w:t>Comparable metric definitions and methodology disclosure</w:t>
            </w:r>
          </w:p>
        </w:tc>
        <w:tc>
          <w:tcPr>
            <w:tcW w:type="dxa" w:w="4032"/>
            <w:tcMar>
              <w:top w:w="90" w:type="dxa"/>
              <w:start w:w="110" w:type="dxa"/>
              <w:bottom w:w="90" w:type="dxa"/>
              <w:end w:w="110" w:type="dxa"/>
            </w:tcMar>
            <w:vAlign w:val="center"/>
            <w:shd w:fill="F7F9FC"/>
          </w:tcPr>
          <w:p>
            <w:pPr>
              <w:spacing w:after="0"/>
            </w:pPr>
            <w:r>
              <w:rPr>
                <w:color w:val="243447"/>
                <w:sz w:val="14"/>
              </w:rPr>
              <w:t>Certified benchmark norms and advertiser portfolio view</w:t>
            </w:r>
          </w:p>
        </w:tc>
      </w:tr>
      <w:tr>
        <w:trPr>
          <w:cantSplit/>
        </w:trPr>
        <w:tc>
          <w:tcPr>
            <w:tcW w:type="dxa" w:w="2520"/>
            <w:tcMar>
              <w:top w:w="90" w:type="dxa"/>
              <w:start w:w="110" w:type="dxa"/>
              <w:bottom w:w="90" w:type="dxa"/>
              <w:end w:w="110" w:type="dxa"/>
            </w:tcMar>
            <w:vAlign w:val="center"/>
          </w:tcPr>
          <w:p>
            <w:pPr>
              <w:spacing w:after="0"/>
              <w:jc w:val="center"/>
            </w:pPr>
            <w:r>
              <w:rPr>
                <w:color w:val="243447"/>
                <w:sz w:val="14"/>
              </w:rPr>
              <w:t>Rest-of-market</w:t>
            </w:r>
          </w:p>
        </w:tc>
        <w:tc>
          <w:tcPr>
            <w:tcW w:type="dxa" w:w="3888"/>
            <w:tcMar>
              <w:top w:w="90" w:type="dxa"/>
              <w:start w:w="110" w:type="dxa"/>
              <w:bottom w:w="90" w:type="dxa"/>
              <w:end w:w="110" w:type="dxa"/>
            </w:tcMar>
            <w:vAlign w:val="center"/>
          </w:tcPr>
          <w:p>
            <w:pPr>
              <w:spacing w:after="0"/>
            </w:pPr>
            <w:r>
              <w:rPr>
                <w:color w:val="243447"/>
                <w:sz w:val="14"/>
              </w:rPr>
              <w:t>NIQ category/POS/panel context outside the retailer with coverage caveat</w:t>
            </w:r>
          </w:p>
        </w:tc>
        <w:tc>
          <w:tcPr>
            <w:tcW w:type="dxa" w:w="4032"/>
            <w:tcMar>
              <w:top w:w="90" w:type="dxa"/>
              <w:start w:w="110" w:type="dxa"/>
              <w:bottom w:w="90" w:type="dxa"/>
              <w:end w:w="110" w:type="dxa"/>
            </w:tcMar>
            <w:vAlign w:val="center"/>
          </w:tcPr>
          <w:p>
            <w:pPr>
              <w:spacing w:after="0"/>
            </w:pPr>
            <w:r>
              <w:rPr>
                <w:color w:val="243447"/>
                <w:sz w:val="14"/>
              </w:rPr>
              <w:t>Incremental halo outside retailer and market-share response</w:t>
            </w:r>
          </w:p>
        </w:tc>
      </w:tr>
      <w:tr>
        <w:trPr>
          <w:cantSplit/>
        </w:trPr>
        <w:tc>
          <w:tcPr>
            <w:tcW w:type="dxa" w:w="2520"/>
            <w:tcMar>
              <w:top w:w="90" w:type="dxa"/>
              <w:start w:w="110" w:type="dxa"/>
              <w:bottom w:w="90" w:type="dxa"/>
              <w:end w:w="110" w:type="dxa"/>
            </w:tcMar>
            <w:vAlign w:val="center"/>
            <w:shd w:fill="F7F9FC"/>
          </w:tcPr>
          <w:p>
            <w:pPr>
              <w:spacing w:after="0"/>
            </w:pPr>
            <w:r>
              <w:rPr>
                <w:color w:val="243447"/>
                <w:sz w:val="14"/>
              </w:rPr>
              <w:t>MMM interoperability</w:t>
            </w:r>
          </w:p>
        </w:tc>
        <w:tc>
          <w:tcPr>
            <w:tcW w:type="dxa" w:w="3888"/>
            <w:tcMar>
              <w:top w:w="90" w:type="dxa"/>
              <w:start w:w="110" w:type="dxa"/>
              <w:bottom w:w="90" w:type="dxa"/>
              <w:end w:w="110" w:type="dxa"/>
            </w:tcMar>
            <w:vAlign w:val="center"/>
            <w:shd w:fill="F7F9FC"/>
          </w:tcPr>
          <w:p>
            <w:pPr>
              <w:spacing w:after="0"/>
            </w:pPr>
            <w:r>
              <w:rPr>
                <w:color w:val="243447"/>
                <w:sz w:val="14"/>
              </w:rPr>
              <w:t>Export spend and governed outcomes</w:t>
            </w:r>
          </w:p>
        </w:tc>
        <w:tc>
          <w:tcPr>
            <w:tcW w:type="dxa" w:w="4032"/>
            <w:tcMar>
              <w:top w:w="90" w:type="dxa"/>
              <w:start w:w="110" w:type="dxa"/>
              <w:bottom w:w="90" w:type="dxa"/>
              <w:end w:w="110" w:type="dxa"/>
            </w:tcMar>
            <w:vAlign w:val="center"/>
            <w:shd w:fill="F7F9FC"/>
          </w:tcPr>
          <w:p>
            <w:pPr>
              <w:spacing w:after="0"/>
            </w:pPr>
            <w:r>
              <w:rPr>
                <w:color w:val="243447"/>
                <w:sz w:val="14"/>
              </w:rPr>
              <w:t>Calibrate RMN results into broader MMM and planning</w:t>
            </w:r>
          </w:p>
        </w:tc>
      </w:tr>
      <w:tr>
        <w:trPr>
          <w:cantSplit/>
        </w:trPr>
        <w:tc>
          <w:tcPr>
            <w:tcW w:type="dxa" w:w="2520"/>
            <w:tcMar>
              <w:top w:w="90" w:type="dxa"/>
              <w:start w:w="110" w:type="dxa"/>
              <w:bottom w:w="90" w:type="dxa"/>
              <w:end w:w="110" w:type="dxa"/>
            </w:tcMar>
            <w:vAlign w:val="center"/>
          </w:tcPr>
          <w:p>
            <w:pPr>
              <w:spacing w:after="0"/>
            </w:pPr>
            <w:r>
              <w:rPr>
                <w:color w:val="243447"/>
                <w:sz w:val="14"/>
              </w:rPr>
              <w:t>Non-endemic measurement</w:t>
            </w:r>
          </w:p>
        </w:tc>
        <w:tc>
          <w:tcPr>
            <w:tcW w:type="dxa" w:w="3888"/>
            <w:tcMar>
              <w:top w:w="90" w:type="dxa"/>
              <w:start w:w="110" w:type="dxa"/>
              <w:bottom w:w="90" w:type="dxa"/>
              <w:end w:w="110" w:type="dxa"/>
            </w:tcMar>
            <w:vAlign w:val="center"/>
          </w:tcPr>
          <w:p>
            <w:pPr>
              <w:spacing w:after="0"/>
            </w:pPr>
            <w:r>
              <w:rPr>
                <w:color w:val="243447"/>
                <w:sz w:val="14"/>
              </w:rPr>
              <w:t>Media and lead/visit/business outcomes, not forced SKU sales</w:t>
            </w:r>
          </w:p>
        </w:tc>
        <w:tc>
          <w:tcPr>
            <w:tcW w:type="dxa" w:w="4032"/>
            <w:tcMar>
              <w:top w:w="90" w:type="dxa"/>
              <w:start w:w="110" w:type="dxa"/>
              <w:bottom w:w="90" w:type="dxa"/>
              <w:end w:w="110" w:type="dxa"/>
            </w:tcMar>
            <w:vAlign w:val="center"/>
          </w:tcPr>
          <w:p>
            <w:pPr>
              <w:spacing w:after="0"/>
            </w:pPr>
            <w:r>
              <w:rPr>
                <w:color w:val="243447"/>
                <w:sz w:val="14"/>
              </w:rPr>
              <w:t>Brand lift, lead quality and external conversion integration</w:t>
            </w:r>
          </w:p>
        </w:tc>
      </w:tr>
    </w:tbl>
    <w:p>
      <w:pPr>
        <w:spacing w:after="0"/>
      </w:pPr>
    </w:p>
    <w:p>
      <w:pPr>
        <w:pStyle w:val="Heading2"/>
        <w:keepNext/>
      </w:pPr>
      <w:r>
        <w:t>13.1 Normalization contract</w:t>
      </w:r>
    </w:p>
    <w:p>
      <w:pPr>
        <w:pStyle w:val="ListBullet"/>
        <w:spacing w:after="50"/>
      </w:pPr>
      <w:r>
        <w:t>Canonical metric name and semantic definition</w:t>
      </w:r>
    </w:p>
    <w:p>
      <w:pPr>
        <w:pStyle w:val="ListBullet"/>
        <w:spacing w:after="50"/>
      </w:pPr>
      <w:r>
        <w:t>Source-reported name and value</w:t>
      </w:r>
    </w:p>
    <w:p>
      <w:pPr>
        <w:pStyle w:val="ListBullet"/>
        <w:spacing w:after="50"/>
      </w:pPr>
      <w:r>
        <w:t>Attribution window</w:t>
      </w:r>
    </w:p>
    <w:p>
      <w:pPr>
        <w:pStyle w:val="ListBullet"/>
        <w:spacing w:after="50"/>
      </w:pPr>
      <w:r>
        <w:t>Product/halo scope</w:t>
      </w:r>
    </w:p>
    <w:p>
      <w:pPr>
        <w:pStyle w:val="ListBullet"/>
        <w:spacing w:after="50"/>
      </w:pPr>
      <w:r>
        <w:t>Cost scope</w:t>
      </w:r>
    </w:p>
    <w:p>
      <w:pPr>
        <w:pStyle w:val="ListBullet"/>
        <w:spacing w:after="50"/>
      </w:pPr>
      <w:r>
        <w:t>Channel/tactic</w:t>
      </w:r>
    </w:p>
    <w:p>
      <w:pPr>
        <w:pStyle w:val="ListBullet"/>
        <w:spacing w:after="50"/>
      </w:pPr>
      <w:r>
        <w:t>Identity and deduplication availability</w:t>
      </w:r>
    </w:p>
    <w:p>
      <w:pPr>
        <w:pStyle w:val="ListBullet"/>
        <w:spacing w:after="50"/>
      </w:pPr>
      <w:r>
        <w:t>Data latency and coverage</w:t>
      </w:r>
    </w:p>
    <w:p>
      <w:pPr>
        <w:pStyle w:val="ListBullet"/>
        <w:spacing w:after="50"/>
      </w:pPr>
      <w:r>
        <w:t>Comparability group</w:t>
      </w:r>
    </w:p>
    <w:p>
      <w:pPr>
        <w:pStyle w:val="ListBullet"/>
        <w:spacing w:after="50"/>
      </w:pPr>
      <w:r>
        <w:t>Certification/quality status</w:t>
      </w:r>
    </w:p>
    <w:p>
      <w:r>
        <w:br w:type="page"/>
      </w:r>
    </w:p>
    <w:p>
      <w:pPr>
        <w:pStyle w:val="Heading1"/>
        <w:keepNext/>
      </w:pPr>
      <w:r>
        <w:t>14. Conceptual data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7365D"/>
            <w:tcMar>
              <w:top w:w="100" w:type="dxa"/>
              <w:start w:w="110" w:type="dxa"/>
              <w:bottom w:w="100" w:type="dxa"/>
              <w:end w:w="110" w:type="dxa"/>
            </w:tcMar>
            <w:vAlign w:val="center"/>
          </w:tcPr>
          <w:p>
            <w:pPr>
              <w:jc w:val="center"/>
            </w:pPr>
            <w:r>
              <w:rPr>
                <w:b/>
                <w:color w:val="FFFFFF"/>
                <w:sz w:val="15"/>
              </w:rPr>
              <w:t>Domain</w:t>
            </w:r>
          </w:p>
        </w:tc>
        <w:tc>
          <w:tcPr>
            <w:tcW w:type="dxa" w:w="8208"/>
            <w:shd w:fill="17365D"/>
            <w:tcMar>
              <w:top w:w="100" w:type="dxa"/>
              <w:start w:w="110" w:type="dxa"/>
              <w:bottom w:w="100" w:type="dxa"/>
              <w:end w:w="110" w:type="dxa"/>
            </w:tcMar>
            <w:vAlign w:val="center"/>
          </w:tcPr>
          <w:p>
            <w:pPr>
              <w:jc w:val="center"/>
            </w:pPr>
            <w:r>
              <w:rPr>
                <w:b/>
                <w:color w:val="FFFFFF"/>
                <w:sz w:val="15"/>
              </w:rPr>
              <w:t>Core entities</w:t>
            </w:r>
          </w:p>
        </w:tc>
      </w:tr>
      <w:tr>
        <w:trPr>
          <w:cantSplit/>
        </w:trPr>
        <w:tc>
          <w:tcPr>
            <w:tcW w:type="dxa" w:w="2232"/>
            <w:tcMar>
              <w:top w:w="90" w:type="dxa"/>
              <w:start w:w="110" w:type="dxa"/>
              <w:bottom w:w="90" w:type="dxa"/>
              <w:end w:w="110" w:type="dxa"/>
            </w:tcMar>
            <w:vAlign w:val="center"/>
          </w:tcPr>
          <w:p>
            <w:pPr>
              <w:spacing w:after="0"/>
              <w:jc w:val="center"/>
            </w:pPr>
            <w:r>
              <w:rPr>
                <w:color w:val="243447"/>
                <w:sz w:val="15"/>
              </w:rPr>
              <w:t>Organization</w:t>
            </w:r>
          </w:p>
        </w:tc>
        <w:tc>
          <w:tcPr>
            <w:tcW w:type="dxa" w:w="8208"/>
            <w:tcMar>
              <w:top w:w="90" w:type="dxa"/>
              <w:start w:w="110" w:type="dxa"/>
              <w:bottom w:w="90" w:type="dxa"/>
              <w:end w:w="110" w:type="dxa"/>
            </w:tcMar>
            <w:vAlign w:val="center"/>
          </w:tcPr>
          <w:p>
            <w:pPr>
              <w:spacing w:after="0"/>
            </w:pPr>
            <w:r>
              <w:rPr>
                <w:color w:val="243447"/>
                <w:sz w:val="15"/>
              </w:rPr>
              <w:t>Retailer, market, portal, banner, advertiser, agency, user, permission</w:t>
            </w:r>
          </w:p>
        </w:tc>
      </w:tr>
      <w:tr>
        <w:trPr>
          <w:cantSplit/>
        </w:trPr>
        <w:tc>
          <w:tcPr>
            <w:tcW w:type="dxa" w:w="2232"/>
            <w:tcMar>
              <w:top w:w="90" w:type="dxa"/>
              <w:start w:w="110" w:type="dxa"/>
              <w:bottom w:w="90" w:type="dxa"/>
              <w:end w:w="110" w:type="dxa"/>
            </w:tcMar>
            <w:vAlign w:val="center"/>
            <w:shd w:fill="F7F9FC"/>
          </w:tcPr>
          <w:p>
            <w:pPr>
              <w:spacing w:after="0"/>
              <w:jc w:val="center"/>
            </w:pPr>
            <w:r>
              <w:rPr>
                <w:color w:val="243447"/>
                <w:sz w:val="15"/>
              </w:rPr>
              <w:t>Planning</w:t>
            </w:r>
          </w:p>
        </w:tc>
        <w:tc>
          <w:tcPr>
            <w:tcW w:type="dxa" w:w="8208"/>
            <w:tcMar>
              <w:top w:w="90" w:type="dxa"/>
              <w:start w:w="110" w:type="dxa"/>
              <w:bottom w:w="90" w:type="dxa"/>
              <w:end w:w="110" w:type="dxa"/>
            </w:tcMar>
            <w:vAlign w:val="center"/>
            <w:shd w:fill="F7F9FC"/>
          </w:tcPr>
          <w:p>
            <w:pPr>
              <w:spacing w:after="0"/>
            </w:pPr>
            <w:r>
              <w:rPr>
                <w:color w:val="243447"/>
                <w:sz w:val="15"/>
              </w:rPr>
              <w:t>Advertiser initiative, objective, brief, budget, forecast, product set, measurement plan</w:t>
            </w:r>
          </w:p>
        </w:tc>
      </w:tr>
      <w:tr>
        <w:trPr>
          <w:cantSplit/>
        </w:trPr>
        <w:tc>
          <w:tcPr>
            <w:tcW w:type="dxa" w:w="2232"/>
            <w:tcMar>
              <w:top w:w="90" w:type="dxa"/>
              <w:start w:w="110" w:type="dxa"/>
              <w:bottom w:w="90" w:type="dxa"/>
              <w:end w:w="110" w:type="dxa"/>
            </w:tcMar>
            <w:vAlign w:val="center"/>
          </w:tcPr>
          <w:p>
            <w:pPr>
              <w:spacing w:after="0"/>
              <w:jc w:val="center"/>
            </w:pPr>
            <w:r>
              <w:rPr>
                <w:color w:val="243447"/>
                <w:sz w:val="15"/>
              </w:rPr>
              <w:t>Audience</w:t>
            </w:r>
          </w:p>
        </w:tc>
        <w:tc>
          <w:tcPr>
            <w:tcW w:type="dxa" w:w="8208"/>
            <w:tcMar>
              <w:top w:w="90" w:type="dxa"/>
              <w:start w:w="110" w:type="dxa"/>
              <w:bottom w:w="90" w:type="dxa"/>
              <w:end w:w="110" w:type="dxa"/>
            </w:tcMar>
            <w:vAlign w:val="center"/>
          </w:tcPr>
          <w:p>
            <w:pPr>
              <w:spacing w:after="0"/>
            </w:pPr>
            <w:r>
              <w:rPr>
                <w:color w:val="243447"/>
                <w:sz w:val="15"/>
              </w:rPr>
              <w:t>Segment definition, audience version, membership, exclusion, control assignment, export batch</w:t>
            </w:r>
          </w:p>
        </w:tc>
      </w:tr>
      <w:tr>
        <w:trPr>
          <w:cantSplit/>
        </w:trPr>
        <w:tc>
          <w:tcPr>
            <w:tcW w:type="dxa" w:w="2232"/>
            <w:tcMar>
              <w:top w:w="90" w:type="dxa"/>
              <w:start w:w="110" w:type="dxa"/>
              <w:bottom w:w="90" w:type="dxa"/>
              <w:end w:w="110" w:type="dxa"/>
            </w:tcMar>
            <w:vAlign w:val="center"/>
            <w:shd w:fill="F7F9FC"/>
          </w:tcPr>
          <w:p>
            <w:pPr>
              <w:spacing w:after="0"/>
              <w:jc w:val="center"/>
            </w:pPr>
            <w:r>
              <w:rPr>
                <w:color w:val="243447"/>
                <w:sz w:val="15"/>
              </w:rPr>
              <w:t>Media</w:t>
            </w:r>
          </w:p>
        </w:tc>
        <w:tc>
          <w:tcPr>
            <w:tcW w:type="dxa" w:w="8208"/>
            <w:tcMar>
              <w:top w:w="90" w:type="dxa"/>
              <w:start w:w="110" w:type="dxa"/>
              <w:bottom w:w="90" w:type="dxa"/>
              <w:end w:w="110" w:type="dxa"/>
            </w:tcMar>
            <w:vAlign w:val="center"/>
            <w:shd w:fill="F7F9FC"/>
          </w:tcPr>
          <w:p>
            <w:pPr>
              <w:spacing w:after="0"/>
            </w:pPr>
            <w:r>
              <w:rPr>
                <w:color w:val="243447"/>
                <w:sz w:val="15"/>
              </w:rPr>
              <w:t>Channel, platform, campaign, ad group, placement, creative, cost, impression/click aggregate</w:t>
            </w:r>
          </w:p>
        </w:tc>
      </w:tr>
      <w:tr>
        <w:trPr>
          <w:cantSplit/>
        </w:trPr>
        <w:tc>
          <w:tcPr>
            <w:tcW w:type="dxa" w:w="2232"/>
            <w:tcMar>
              <w:top w:w="90" w:type="dxa"/>
              <w:start w:w="110" w:type="dxa"/>
              <w:bottom w:w="90" w:type="dxa"/>
              <w:end w:w="110" w:type="dxa"/>
            </w:tcMar>
            <w:vAlign w:val="center"/>
          </w:tcPr>
          <w:p>
            <w:pPr>
              <w:spacing w:after="0"/>
              <w:jc w:val="center"/>
            </w:pPr>
            <w:r>
              <w:rPr>
                <w:color w:val="243447"/>
                <w:sz w:val="15"/>
              </w:rPr>
              <w:t>Identity</w:t>
            </w:r>
          </w:p>
        </w:tc>
        <w:tc>
          <w:tcPr>
            <w:tcW w:type="dxa" w:w="8208"/>
            <w:tcMar>
              <w:top w:w="90" w:type="dxa"/>
              <w:start w:w="110" w:type="dxa"/>
              <w:bottom w:w="90" w:type="dxa"/>
              <w:end w:w="110" w:type="dxa"/>
            </w:tcMar>
            <w:vAlign w:val="center"/>
          </w:tcPr>
          <w:p>
            <w:pPr>
              <w:spacing w:after="0"/>
            </w:pPr>
            <w:r>
              <w:rPr>
                <w:color w:val="243447"/>
                <w:sz w:val="15"/>
              </w:rPr>
              <w:t>Pseudonymous shopper/household, platform ID, match result, identity scope</w:t>
            </w:r>
          </w:p>
        </w:tc>
      </w:tr>
      <w:tr>
        <w:trPr>
          <w:cantSplit/>
        </w:trPr>
        <w:tc>
          <w:tcPr>
            <w:tcW w:type="dxa" w:w="2232"/>
            <w:tcMar>
              <w:top w:w="90" w:type="dxa"/>
              <w:start w:w="110" w:type="dxa"/>
              <w:bottom w:w="90" w:type="dxa"/>
              <w:end w:w="110" w:type="dxa"/>
            </w:tcMar>
            <w:vAlign w:val="center"/>
            <w:shd w:fill="F7F9FC"/>
          </w:tcPr>
          <w:p>
            <w:pPr>
              <w:spacing w:after="0"/>
              <w:jc w:val="center"/>
            </w:pPr>
            <w:r>
              <w:rPr>
                <w:color w:val="243447"/>
                <w:sz w:val="15"/>
              </w:rPr>
              <w:t>Commerce</w:t>
            </w:r>
          </w:p>
        </w:tc>
        <w:tc>
          <w:tcPr>
            <w:tcW w:type="dxa" w:w="8208"/>
            <w:tcMar>
              <w:top w:w="90" w:type="dxa"/>
              <w:start w:w="110" w:type="dxa"/>
              <w:bottom w:w="90" w:type="dxa"/>
              <w:end w:w="110" w:type="dxa"/>
            </w:tcMar>
            <w:vAlign w:val="center"/>
            <w:shd w:fill="F7F9FC"/>
          </w:tcPr>
          <w:p>
            <w:pPr>
              <w:spacing w:after="0"/>
            </w:pPr>
            <w:r>
              <w:rPr>
                <w:color w:val="243447"/>
                <w:sz w:val="15"/>
              </w:rPr>
              <w:t>Product, SKU, brand, category, store, transaction, basket, trip, return, inventory/promotion context</w:t>
            </w:r>
          </w:p>
        </w:tc>
      </w:tr>
      <w:tr>
        <w:trPr>
          <w:cantSplit/>
        </w:trPr>
        <w:tc>
          <w:tcPr>
            <w:tcW w:type="dxa" w:w="2232"/>
            <w:tcMar>
              <w:top w:w="90" w:type="dxa"/>
              <w:start w:w="110" w:type="dxa"/>
              <w:bottom w:w="90" w:type="dxa"/>
              <w:end w:w="110" w:type="dxa"/>
            </w:tcMar>
            <w:vAlign w:val="center"/>
          </w:tcPr>
          <w:p>
            <w:pPr>
              <w:spacing w:after="0"/>
              <w:jc w:val="center"/>
            </w:pPr>
            <w:r>
              <w:rPr>
                <w:color w:val="243447"/>
                <w:sz w:val="15"/>
              </w:rPr>
              <w:t>Measurement</w:t>
            </w:r>
          </w:p>
        </w:tc>
        <w:tc>
          <w:tcPr>
            <w:tcW w:type="dxa" w:w="8208"/>
            <w:tcMar>
              <w:top w:w="90" w:type="dxa"/>
              <w:start w:w="110" w:type="dxa"/>
              <w:bottom w:w="90" w:type="dxa"/>
              <w:end w:w="110" w:type="dxa"/>
            </w:tcMar>
            <w:vAlign w:val="center"/>
          </w:tcPr>
          <w:p>
            <w:pPr>
              <w:spacing w:after="0"/>
            </w:pPr>
            <w:r>
              <w:rPr>
                <w:color w:val="243447"/>
                <w:sz w:val="15"/>
              </w:rPr>
              <w:t>Attribution rule, outcome, experiment, counterfactual, estimate, uncertainty, quality test, certification</w:t>
            </w:r>
          </w:p>
        </w:tc>
      </w:tr>
      <w:tr>
        <w:trPr>
          <w:cantSplit/>
        </w:trPr>
        <w:tc>
          <w:tcPr>
            <w:tcW w:type="dxa" w:w="2232"/>
            <w:tcMar>
              <w:top w:w="90" w:type="dxa"/>
              <w:start w:w="110" w:type="dxa"/>
              <w:bottom w:w="90" w:type="dxa"/>
              <w:end w:w="110" w:type="dxa"/>
            </w:tcMar>
            <w:vAlign w:val="center"/>
            <w:shd w:fill="F7F9FC"/>
          </w:tcPr>
          <w:p>
            <w:pPr>
              <w:spacing w:after="0"/>
              <w:jc w:val="center"/>
            </w:pPr>
            <w:r>
              <w:rPr>
                <w:color w:val="243447"/>
                <w:sz w:val="15"/>
              </w:rPr>
              <w:t>Reporting</w:t>
            </w:r>
          </w:p>
        </w:tc>
        <w:tc>
          <w:tcPr>
            <w:tcW w:type="dxa" w:w="8208"/>
            <w:tcMar>
              <w:top w:w="90" w:type="dxa"/>
              <w:start w:w="110" w:type="dxa"/>
              <w:bottom w:w="90" w:type="dxa"/>
              <w:end w:w="110" w:type="dxa"/>
            </w:tcMar>
            <w:vAlign w:val="center"/>
            <w:shd w:fill="F7F9FC"/>
          </w:tcPr>
          <w:p>
            <w:pPr>
              <w:spacing w:after="0"/>
            </w:pPr>
            <w:r>
              <w:rPr>
                <w:color w:val="243447"/>
                <w:sz w:val="15"/>
              </w:rPr>
              <w:t>Metric definition, report template, saved view, narrative, annotation, share, export</w:t>
            </w:r>
          </w:p>
        </w:tc>
      </w:tr>
    </w:tbl>
    <w:p>
      <w:pPr>
        <w:spacing w:after="0"/>
      </w:pPr>
    </w:p>
    <w:p>
      <w:pPr>
        <w:pStyle w:val="Heading2"/>
        <w:keepNext/>
      </w:pPr>
      <w:r>
        <w:t>14.1 Critical relationships</w:t>
      </w:r>
    </w:p>
    <w:p>
      <w:pPr>
        <w:pStyle w:val="ListBullet"/>
        <w:spacing w:after="50"/>
      </w:pPr>
      <w:r>
        <w:t>Advertiser initiative 1→many channel campaigns</w:t>
      </w:r>
    </w:p>
    <w:p>
      <w:pPr>
        <w:pStyle w:val="ListBullet"/>
        <w:spacing w:after="50"/>
      </w:pPr>
      <w:r>
        <w:t>Campaign many↔many audience versions through targeting assignment</w:t>
      </w:r>
    </w:p>
    <w:p>
      <w:pPr>
        <w:pStyle w:val="ListBullet"/>
        <w:spacing w:after="50"/>
      </w:pPr>
      <w:r>
        <w:t>Campaign/creative many↔many promoted products with effective dates</w:t>
      </w:r>
    </w:p>
    <w:p>
      <w:pPr>
        <w:pStyle w:val="ListBullet"/>
        <w:spacing w:after="50"/>
      </w:pPr>
      <w:r>
        <w:t>Audience export 1→many member records and match outcomes</w:t>
      </w:r>
    </w:p>
    <w:p>
      <w:pPr>
        <w:pStyle w:val="ListBullet"/>
        <w:spacing w:after="50"/>
      </w:pPr>
      <w:r>
        <w:t>Shopper 1→many exposure events and transactions</w:t>
      </w:r>
    </w:p>
    <w:p>
      <w:pPr>
        <w:pStyle w:val="ListBullet"/>
        <w:spacing w:after="50"/>
      </w:pPr>
      <w:r>
        <w:t>Experiment 1→many assignments and outcomes</w:t>
      </w:r>
    </w:p>
    <w:p>
      <w:pPr>
        <w:pStyle w:val="ListBullet"/>
        <w:spacing w:after="50"/>
      </w:pPr>
      <w:r>
        <w:t>Measurement result references exact data, metric and methodology versions</w:t>
      </w:r>
    </w:p>
    <w:p>
      <w:pPr>
        <w:pStyle w:val="ListBullet"/>
        <w:spacing w:after="50"/>
      </w:pPr>
      <w:r>
        <w:t>Report references certified measurement-result versions rather than recalculating silently</w:t>
      </w:r>
    </w:p>
    <w:p>
      <w:r>
        <w:br w:type="page"/>
      </w:r>
    </w:p>
    <w:p>
      <w:pPr>
        <w:pStyle w:val="Heading1"/>
        <w:keepNext/>
      </w:pPr>
      <w:r>
        <w:t>15. Proposed data contracts and onboarding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tcMar>
              <w:top w:w="100" w:type="dxa"/>
              <w:start w:w="110" w:type="dxa"/>
              <w:bottom w:w="100" w:type="dxa"/>
              <w:end w:w="110" w:type="dxa"/>
            </w:tcMar>
            <w:vAlign w:val="center"/>
          </w:tcPr>
          <w:p>
            <w:pPr>
              <w:jc w:val="center"/>
            </w:pPr>
            <w:r>
              <w:rPr>
                <w:b/>
                <w:color w:val="FFFFFF"/>
                <w:sz w:val="14"/>
              </w:rPr>
              <w:t>Feed</w:t>
            </w:r>
          </w:p>
        </w:tc>
        <w:tc>
          <w:tcPr>
            <w:tcW w:type="dxa" w:w="5256"/>
            <w:shd w:fill="17365D"/>
            <w:tcMar>
              <w:top w:w="100" w:type="dxa"/>
              <w:start w:w="110" w:type="dxa"/>
              <w:bottom w:w="100" w:type="dxa"/>
              <w:end w:w="110" w:type="dxa"/>
            </w:tcMar>
            <w:vAlign w:val="center"/>
          </w:tcPr>
          <w:p>
            <w:pPr>
              <w:jc w:val="center"/>
            </w:pPr>
            <w:r>
              <w:rPr>
                <w:b/>
                <w:color w:val="FFFFFF"/>
                <w:sz w:val="14"/>
              </w:rPr>
              <w:t>Minimum fields</w:t>
            </w:r>
          </w:p>
        </w:tc>
        <w:tc>
          <w:tcPr>
            <w:tcW w:type="dxa" w:w="3384"/>
            <w:shd w:fill="17365D"/>
            <w:tcMar>
              <w:top w:w="100" w:type="dxa"/>
              <w:start w:w="110" w:type="dxa"/>
              <w:bottom w:w="100" w:type="dxa"/>
              <w:end w:w="110" w:type="dxa"/>
            </w:tcMar>
            <w:vAlign w:val="center"/>
          </w:tcPr>
          <w:p>
            <w:pPr>
              <w:jc w:val="center"/>
            </w:pPr>
            <w:r>
              <w:rPr>
                <w:b/>
                <w:color w:val="FFFFFF"/>
                <w:sz w:val="14"/>
              </w:rPr>
              <w:t>Quality checks</w:t>
            </w:r>
          </w:p>
        </w:tc>
      </w:tr>
      <w:tr>
        <w:trPr>
          <w:cantSplit/>
        </w:trPr>
        <w:tc>
          <w:tcPr>
            <w:tcW w:type="dxa" w:w="1800"/>
            <w:tcMar>
              <w:top w:w="90" w:type="dxa"/>
              <w:start w:w="110" w:type="dxa"/>
              <w:bottom w:w="90" w:type="dxa"/>
              <w:end w:w="110" w:type="dxa"/>
            </w:tcMar>
            <w:vAlign w:val="center"/>
          </w:tcPr>
          <w:p>
            <w:pPr>
              <w:spacing w:after="0"/>
              <w:jc w:val="center"/>
            </w:pPr>
            <w:r>
              <w:rPr>
                <w:color w:val="243447"/>
                <w:sz w:val="14"/>
              </w:rPr>
              <w:t>Campaign metadata</w:t>
            </w:r>
          </w:p>
        </w:tc>
        <w:tc>
          <w:tcPr>
            <w:tcW w:type="dxa" w:w="5256"/>
            <w:tcMar>
              <w:top w:w="90" w:type="dxa"/>
              <w:start w:w="110" w:type="dxa"/>
              <w:bottom w:w="90" w:type="dxa"/>
              <w:end w:w="110" w:type="dxa"/>
            </w:tcMar>
            <w:vAlign w:val="center"/>
          </w:tcPr>
          <w:p>
            <w:pPr>
              <w:spacing w:after="0"/>
            </w:pPr>
            <w:r>
              <w:rPr>
                <w:color w:val="243447"/>
                <w:sz w:val="14"/>
              </w:rPr>
              <w:t>initiative/campaign/ad group/creative IDs; names; dates; status; channel; objective; cost scope</w:t>
            </w:r>
          </w:p>
        </w:tc>
        <w:tc>
          <w:tcPr>
            <w:tcW w:type="dxa" w:w="3384"/>
            <w:tcMar>
              <w:top w:w="90" w:type="dxa"/>
              <w:start w:w="110" w:type="dxa"/>
              <w:bottom w:w="90" w:type="dxa"/>
              <w:end w:w="110" w:type="dxa"/>
            </w:tcMar>
            <w:vAlign w:val="center"/>
          </w:tcPr>
          <w:p>
            <w:pPr>
              <w:spacing w:after="0"/>
            </w:pPr>
            <w:r>
              <w:rPr>
                <w:color w:val="243447"/>
                <w:sz w:val="14"/>
              </w:rPr>
              <w:t>Hierarchy integrity, dates, duplicates, status transitions</w:t>
            </w:r>
          </w:p>
        </w:tc>
      </w:tr>
      <w:tr>
        <w:trPr>
          <w:cantSplit/>
        </w:trPr>
        <w:tc>
          <w:tcPr>
            <w:tcW w:type="dxa" w:w="1800"/>
            <w:tcMar>
              <w:top w:w="90" w:type="dxa"/>
              <w:start w:w="110" w:type="dxa"/>
              <w:bottom w:w="90" w:type="dxa"/>
              <w:end w:w="110" w:type="dxa"/>
            </w:tcMar>
            <w:vAlign w:val="center"/>
            <w:shd w:fill="F7F9FC"/>
          </w:tcPr>
          <w:p>
            <w:pPr>
              <w:spacing w:after="0"/>
              <w:jc w:val="center"/>
            </w:pPr>
            <w:r>
              <w:rPr>
                <w:color w:val="243447"/>
                <w:sz w:val="14"/>
              </w:rPr>
              <w:t>Audience export</w:t>
            </w:r>
          </w:p>
        </w:tc>
        <w:tc>
          <w:tcPr>
            <w:tcW w:type="dxa" w:w="5256"/>
            <w:tcMar>
              <w:top w:w="90" w:type="dxa"/>
              <w:start w:w="110" w:type="dxa"/>
              <w:bottom w:w="90" w:type="dxa"/>
              <w:end w:w="110" w:type="dxa"/>
            </w:tcMar>
            <w:vAlign w:val="center"/>
            <w:shd w:fill="F7F9FC"/>
          </w:tcPr>
          <w:p>
            <w:pPr>
              <w:spacing w:after="0"/>
            </w:pPr>
            <w:r>
              <w:rPr>
                <w:color w:val="243447"/>
                <w:sz w:val="14"/>
              </w:rPr>
              <w:t>batch; audience/version; pseudonymous ID; market/banner; arm; timestamp</w:t>
            </w:r>
          </w:p>
        </w:tc>
        <w:tc>
          <w:tcPr>
            <w:tcW w:type="dxa" w:w="3384"/>
            <w:tcMar>
              <w:top w:w="90" w:type="dxa"/>
              <w:start w:w="110" w:type="dxa"/>
              <w:bottom w:w="90" w:type="dxa"/>
              <w:end w:w="110" w:type="dxa"/>
            </w:tcMar>
            <w:vAlign w:val="center"/>
            <w:shd w:fill="F7F9FC"/>
          </w:tcPr>
          <w:p>
            <w:pPr>
              <w:spacing w:after="0"/>
            </w:pPr>
            <w:r>
              <w:rPr>
                <w:color w:val="243447"/>
                <w:sz w:val="14"/>
              </w:rPr>
              <w:t>Uniqueness, counts, consent scope, checksum</w:t>
            </w:r>
          </w:p>
        </w:tc>
      </w:tr>
      <w:tr>
        <w:trPr>
          <w:cantSplit/>
        </w:trPr>
        <w:tc>
          <w:tcPr>
            <w:tcW w:type="dxa" w:w="1800"/>
            <w:tcMar>
              <w:top w:w="90" w:type="dxa"/>
              <w:start w:w="110" w:type="dxa"/>
              <w:bottom w:w="90" w:type="dxa"/>
              <w:end w:w="110" w:type="dxa"/>
            </w:tcMar>
            <w:vAlign w:val="center"/>
          </w:tcPr>
          <w:p>
            <w:pPr>
              <w:spacing w:after="0"/>
              <w:jc w:val="center"/>
            </w:pPr>
            <w:r>
              <w:rPr>
                <w:color w:val="243447"/>
                <w:sz w:val="14"/>
              </w:rPr>
              <w:t>Match return</w:t>
            </w:r>
          </w:p>
        </w:tc>
        <w:tc>
          <w:tcPr>
            <w:tcW w:type="dxa" w:w="5256"/>
            <w:tcMar>
              <w:top w:w="90" w:type="dxa"/>
              <w:start w:w="110" w:type="dxa"/>
              <w:bottom w:w="90" w:type="dxa"/>
              <w:end w:w="110" w:type="dxa"/>
            </w:tcMar>
            <w:vAlign w:val="center"/>
          </w:tcPr>
          <w:p>
            <w:pPr>
              <w:spacing w:after="0"/>
            </w:pPr>
            <w:r>
              <w:rPr>
                <w:color w:val="243447"/>
                <w:sz w:val="14"/>
              </w:rPr>
              <w:t>batch; member or aggregate arm count; match status/reason; platform</w:t>
            </w:r>
          </w:p>
        </w:tc>
        <w:tc>
          <w:tcPr>
            <w:tcW w:type="dxa" w:w="3384"/>
            <w:tcMar>
              <w:top w:w="90" w:type="dxa"/>
              <w:start w:w="110" w:type="dxa"/>
              <w:bottom w:w="90" w:type="dxa"/>
              <w:end w:w="110" w:type="dxa"/>
            </w:tcMar>
            <w:vAlign w:val="center"/>
          </w:tcPr>
          <w:p>
            <w:pPr>
              <w:spacing w:after="0"/>
            </w:pPr>
            <w:r>
              <w:rPr>
                <w:color w:val="243447"/>
                <w:sz w:val="14"/>
              </w:rPr>
              <w:t>Arm parity, reconciliation, unexpected loss</w:t>
            </w:r>
          </w:p>
        </w:tc>
      </w:tr>
      <w:tr>
        <w:trPr>
          <w:cantSplit/>
        </w:trPr>
        <w:tc>
          <w:tcPr>
            <w:tcW w:type="dxa" w:w="1800"/>
            <w:tcMar>
              <w:top w:w="90" w:type="dxa"/>
              <w:start w:w="110" w:type="dxa"/>
              <w:bottom w:w="90" w:type="dxa"/>
              <w:end w:w="110" w:type="dxa"/>
            </w:tcMar>
            <w:vAlign w:val="center"/>
            <w:shd w:fill="F7F9FC"/>
          </w:tcPr>
          <w:p>
            <w:pPr>
              <w:spacing w:after="0"/>
              <w:jc w:val="center"/>
            </w:pPr>
            <w:r>
              <w:rPr>
                <w:color w:val="243447"/>
                <w:sz w:val="14"/>
              </w:rPr>
              <w:t>Exposure/event</w:t>
            </w:r>
          </w:p>
        </w:tc>
        <w:tc>
          <w:tcPr>
            <w:tcW w:type="dxa" w:w="5256"/>
            <w:tcMar>
              <w:top w:w="90" w:type="dxa"/>
              <w:start w:w="110" w:type="dxa"/>
              <w:bottom w:w="90" w:type="dxa"/>
              <w:end w:w="110" w:type="dxa"/>
            </w:tcMar>
            <w:vAlign w:val="center"/>
            <w:shd w:fill="F7F9FC"/>
          </w:tcPr>
          <w:p>
            <w:pPr>
              <w:spacing w:after="0"/>
            </w:pPr>
            <w:r>
              <w:rPr>
                <w:color w:val="243447"/>
                <w:sz w:val="14"/>
              </w:rPr>
              <w:t>shopper token; campaign/creative; event type; timestamp; placement/device where allowed</w:t>
            </w:r>
          </w:p>
        </w:tc>
        <w:tc>
          <w:tcPr>
            <w:tcW w:type="dxa" w:w="3384"/>
            <w:tcMar>
              <w:top w:w="90" w:type="dxa"/>
              <w:start w:w="110" w:type="dxa"/>
              <w:bottom w:w="90" w:type="dxa"/>
              <w:end w:w="110" w:type="dxa"/>
            </w:tcMar>
            <w:vAlign w:val="center"/>
            <w:shd w:fill="F7F9FC"/>
          </w:tcPr>
          <w:p>
            <w:pPr>
              <w:spacing w:after="0"/>
            </w:pPr>
            <w:r>
              <w:rPr>
                <w:color w:val="243447"/>
                <w:sz w:val="14"/>
              </w:rPr>
              <w:t>Referential integrity, duplication, timestamp range, coverage</w:t>
            </w:r>
          </w:p>
        </w:tc>
      </w:tr>
      <w:tr>
        <w:trPr>
          <w:cantSplit/>
        </w:trPr>
        <w:tc>
          <w:tcPr>
            <w:tcW w:type="dxa" w:w="1800"/>
            <w:tcMar>
              <w:top w:w="90" w:type="dxa"/>
              <w:start w:w="110" w:type="dxa"/>
              <w:bottom w:w="90" w:type="dxa"/>
              <w:end w:w="110" w:type="dxa"/>
            </w:tcMar>
            <w:vAlign w:val="center"/>
          </w:tcPr>
          <w:p>
            <w:pPr>
              <w:spacing w:after="0"/>
              <w:jc w:val="center"/>
            </w:pPr>
            <w:r>
              <w:rPr>
                <w:color w:val="243447"/>
                <w:sz w:val="14"/>
              </w:rPr>
              <w:t>Media aggregate</w:t>
            </w:r>
          </w:p>
        </w:tc>
        <w:tc>
          <w:tcPr>
            <w:tcW w:type="dxa" w:w="5256"/>
            <w:tcMar>
              <w:top w:w="90" w:type="dxa"/>
              <w:start w:w="110" w:type="dxa"/>
              <w:bottom w:w="90" w:type="dxa"/>
              <w:end w:w="110" w:type="dxa"/>
            </w:tcMar>
            <w:vAlign w:val="center"/>
          </w:tcPr>
          <w:p>
            <w:pPr>
              <w:spacing w:after="0"/>
            </w:pPr>
            <w:r>
              <w:rPr>
                <w:color w:val="243447"/>
                <w:sz w:val="14"/>
              </w:rPr>
              <w:t>date; campaign; impressions; clicks; spend; reach/frequency if available</w:t>
            </w:r>
          </w:p>
        </w:tc>
        <w:tc>
          <w:tcPr>
            <w:tcW w:type="dxa" w:w="3384"/>
            <w:tcMar>
              <w:top w:w="90" w:type="dxa"/>
              <w:start w:w="110" w:type="dxa"/>
              <w:bottom w:w="90" w:type="dxa"/>
              <w:end w:w="110" w:type="dxa"/>
            </w:tcMar>
            <w:vAlign w:val="center"/>
          </w:tcPr>
          <w:p>
            <w:pPr>
              <w:spacing w:after="0"/>
            </w:pPr>
            <w:r>
              <w:rPr>
                <w:color w:val="243447"/>
                <w:sz w:val="14"/>
              </w:rPr>
              <w:t>Totals, currency, late revisions, platform reconciliation</w:t>
            </w:r>
          </w:p>
        </w:tc>
      </w:tr>
      <w:tr>
        <w:trPr>
          <w:cantSplit/>
        </w:trPr>
        <w:tc>
          <w:tcPr>
            <w:tcW w:type="dxa" w:w="1800"/>
            <w:tcMar>
              <w:top w:w="90" w:type="dxa"/>
              <w:start w:w="110" w:type="dxa"/>
              <w:bottom w:w="90" w:type="dxa"/>
              <w:end w:w="110" w:type="dxa"/>
            </w:tcMar>
            <w:vAlign w:val="center"/>
            <w:shd w:fill="F7F9FC"/>
          </w:tcPr>
          <w:p>
            <w:pPr>
              <w:spacing w:after="0"/>
            </w:pPr>
            <w:r>
              <w:rPr>
                <w:color w:val="243447"/>
                <w:sz w:val="14"/>
              </w:rPr>
              <w:t>Creative-product map</w:t>
            </w:r>
          </w:p>
        </w:tc>
        <w:tc>
          <w:tcPr>
            <w:tcW w:type="dxa" w:w="5256"/>
            <w:tcMar>
              <w:top w:w="90" w:type="dxa"/>
              <w:start w:w="110" w:type="dxa"/>
              <w:bottom w:w="90" w:type="dxa"/>
              <w:end w:w="110" w:type="dxa"/>
            </w:tcMar>
            <w:vAlign w:val="center"/>
            <w:shd w:fill="F7F9FC"/>
          </w:tcPr>
          <w:p>
            <w:pPr>
              <w:spacing w:after="0"/>
            </w:pPr>
            <w:r>
              <w:rPr>
                <w:color w:val="243447"/>
                <w:sz w:val="14"/>
              </w:rPr>
              <w:t>creative/campaign; SKU/product set; halo; effective dates</w:t>
            </w:r>
          </w:p>
        </w:tc>
        <w:tc>
          <w:tcPr>
            <w:tcW w:type="dxa" w:w="3384"/>
            <w:tcMar>
              <w:top w:w="90" w:type="dxa"/>
              <w:start w:w="110" w:type="dxa"/>
              <w:bottom w:w="90" w:type="dxa"/>
              <w:end w:w="110" w:type="dxa"/>
            </w:tcMar>
            <w:vAlign w:val="center"/>
            <w:shd w:fill="F7F9FC"/>
          </w:tcPr>
          <w:p>
            <w:pPr>
              <w:spacing w:after="0"/>
            </w:pPr>
            <w:r>
              <w:rPr>
                <w:color w:val="243447"/>
                <w:sz w:val="14"/>
              </w:rPr>
              <w:t>Unmapped media, overlapping scope, invalid SKU/category</w:t>
            </w:r>
          </w:p>
        </w:tc>
      </w:tr>
      <w:tr>
        <w:trPr>
          <w:cantSplit/>
        </w:trPr>
        <w:tc>
          <w:tcPr>
            <w:tcW w:type="dxa" w:w="1800"/>
            <w:tcMar>
              <w:top w:w="90" w:type="dxa"/>
              <w:start w:w="110" w:type="dxa"/>
              <w:bottom w:w="90" w:type="dxa"/>
              <w:end w:w="110" w:type="dxa"/>
            </w:tcMar>
            <w:vAlign w:val="center"/>
          </w:tcPr>
          <w:p>
            <w:pPr>
              <w:spacing w:after="0"/>
              <w:jc w:val="center"/>
            </w:pPr>
            <w:r>
              <w:rPr>
                <w:color w:val="243447"/>
                <w:sz w:val="14"/>
              </w:rPr>
              <w:t>Transaction</w:t>
            </w:r>
          </w:p>
        </w:tc>
        <w:tc>
          <w:tcPr>
            <w:tcW w:type="dxa" w:w="5256"/>
            <w:tcMar>
              <w:top w:w="90" w:type="dxa"/>
              <w:start w:w="110" w:type="dxa"/>
              <w:bottom w:w="90" w:type="dxa"/>
              <w:end w:w="110" w:type="dxa"/>
            </w:tcMar>
            <w:vAlign w:val="center"/>
          </w:tcPr>
          <w:p>
            <w:pPr>
              <w:spacing w:after="0"/>
            </w:pPr>
            <w:r>
              <w:rPr>
                <w:color w:val="243447"/>
                <w:sz w:val="14"/>
              </w:rPr>
              <w:t>shopper; basket/trip; SKU; store/channel; timestamp; units; value; return/promo</w:t>
            </w:r>
          </w:p>
        </w:tc>
        <w:tc>
          <w:tcPr>
            <w:tcW w:type="dxa" w:w="3384"/>
            <w:tcMar>
              <w:top w:w="90" w:type="dxa"/>
              <w:start w:w="110" w:type="dxa"/>
              <w:bottom w:w="90" w:type="dxa"/>
              <w:end w:w="110" w:type="dxa"/>
            </w:tcMar>
            <w:vAlign w:val="center"/>
          </w:tcPr>
          <w:p>
            <w:pPr>
              <w:spacing w:after="0"/>
            </w:pPr>
            <w:r>
              <w:rPr>
                <w:color w:val="243447"/>
                <w:sz w:val="14"/>
              </w:rPr>
              <w:t>Identity coverage, taxonomy, currency, duplicates, maturity</w:t>
            </w:r>
          </w:p>
        </w:tc>
      </w:tr>
      <w:tr>
        <w:trPr>
          <w:cantSplit/>
        </w:trPr>
        <w:tc>
          <w:tcPr>
            <w:tcW w:type="dxa" w:w="1800"/>
            <w:tcMar>
              <w:top w:w="90" w:type="dxa"/>
              <w:start w:w="110" w:type="dxa"/>
              <w:bottom w:w="90" w:type="dxa"/>
              <w:end w:w="110" w:type="dxa"/>
            </w:tcMar>
            <w:vAlign w:val="center"/>
            <w:shd w:fill="F7F9FC"/>
          </w:tcPr>
          <w:p>
            <w:pPr>
              <w:spacing w:after="0"/>
              <w:jc w:val="center"/>
            </w:pPr>
            <w:r>
              <w:rPr>
                <w:color w:val="243447"/>
                <w:sz w:val="14"/>
              </w:rPr>
              <w:t>Experiment</w:t>
            </w:r>
          </w:p>
        </w:tc>
        <w:tc>
          <w:tcPr>
            <w:tcW w:type="dxa" w:w="5256"/>
            <w:tcMar>
              <w:top w:w="90" w:type="dxa"/>
              <w:start w:w="110" w:type="dxa"/>
              <w:bottom w:w="90" w:type="dxa"/>
              <w:end w:w="110" w:type="dxa"/>
            </w:tcMar>
            <w:vAlign w:val="center"/>
            <w:shd w:fill="F7F9FC"/>
          </w:tcPr>
          <w:p>
            <w:pPr>
              <w:spacing w:after="0"/>
            </w:pPr>
            <w:r>
              <w:rPr>
                <w:color w:val="243447"/>
                <w:sz w:val="14"/>
              </w:rPr>
              <w:t>assignment unit; arm; assignment time; suppression; strata/seed</w:t>
            </w:r>
          </w:p>
        </w:tc>
        <w:tc>
          <w:tcPr>
            <w:tcW w:type="dxa" w:w="3384"/>
            <w:tcMar>
              <w:top w:w="90" w:type="dxa"/>
              <w:start w:w="110" w:type="dxa"/>
              <w:bottom w:w="90" w:type="dxa"/>
              <w:end w:w="110" w:type="dxa"/>
            </w:tcMar>
            <w:vAlign w:val="center"/>
            <w:shd w:fill="F7F9FC"/>
          </w:tcPr>
          <w:p>
            <w:pPr>
              <w:spacing w:after="0"/>
            </w:pPr>
            <w:r>
              <w:rPr>
                <w:color w:val="243447"/>
                <w:sz w:val="14"/>
              </w:rPr>
              <w:t>Randomization, leakage, balance, immutability</w:t>
            </w:r>
          </w:p>
        </w:tc>
      </w:tr>
    </w:tbl>
    <w:p>
      <w:pPr>
        <w:spacing w:after="0"/>
      </w:pPr>
    </w:p>
    <w:p>
      <w:pPr>
        <w:pStyle w:val="Heading2"/>
        <w:keepNext/>
      </w:pPr>
      <w:r>
        <w:t>15.1 Onboarding workspace</w:t>
      </w:r>
    </w:p>
    <w:p>
      <w:pPr>
        <w:pStyle w:val="ListBullet"/>
        <w:spacing w:after="50"/>
      </w:pPr>
      <w:r>
        <w:t>Connector setup and credential status</w:t>
      </w:r>
    </w:p>
    <w:p>
      <w:pPr>
        <w:pStyle w:val="ListBullet"/>
        <w:spacing w:after="50"/>
      </w:pPr>
      <w:r>
        <w:t>Schema mapping to canonical model</w:t>
      </w:r>
    </w:p>
    <w:p>
      <w:pPr>
        <w:pStyle w:val="ListBullet"/>
        <w:spacing w:after="50"/>
      </w:pPr>
      <w:r>
        <w:t>Sample-file profiler</w:t>
      </w:r>
    </w:p>
    <w:p>
      <w:pPr>
        <w:pStyle w:val="ListBullet"/>
        <w:spacing w:after="50"/>
      </w:pPr>
      <w:r>
        <w:t>Identity scope and match test</w:t>
      </w:r>
    </w:p>
    <w:p>
      <w:pPr>
        <w:pStyle w:val="ListBullet"/>
        <w:spacing w:after="50"/>
      </w:pPr>
      <w:r>
        <w:t>Product hierarchy and taxonomy validation</w:t>
      </w:r>
    </w:p>
    <w:p>
      <w:pPr>
        <w:pStyle w:val="ListBullet"/>
        <w:spacing w:after="50"/>
      </w:pPr>
      <w:r>
        <w:t>Historical completeness and data-lag profile</w:t>
      </w:r>
    </w:p>
    <w:p>
      <w:pPr>
        <w:pStyle w:val="ListBullet"/>
        <w:spacing w:after="50"/>
      </w:pPr>
      <w:r>
        <w:t>Channel capability declaration</w:t>
      </w:r>
    </w:p>
    <w:p>
      <w:pPr>
        <w:pStyle w:val="ListBullet"/>
        <w:spacing w:after="50"/>
      </w:pPr>
      <w:r>
        <w:t>Metric contract mapping</w:t>
      </w:r>
    </w:p>
    <w:p>
      <w:pPr>
        <w:pStyle w:val="ListBullet"/>
        <w:spacing w:after="50"/>
      </w:pPr>
      <w:r>
        <w:t>Backfill and revision policy</w:t>
      </w:r>
    </w:p>
    <w:p>
      <w:pPr>
        <w:pStyle w:val="ListBullet"/>
        <w:spacing w:after="50"/>
      </w:pPr>
      <w:r>
        <w:t>Production certification checklist</w:t>
      </w:r>
    </w:p>
    <w:p>
      <w:r>
        <w:br w:type="page"/>
      </w:r>
    </w:p>
    <w:p>
      <w:pPr>
        <w:pStyle w:val="Heading1"/>
        <w:keepNext/>
      </w:pPr>
      <w:r>
        <w:t>16. Data quality, privacy, security and governance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tcMar>
              <w:top w:w="100" w:type="dxa"/>
              <w:start w:w="110" w:type="dxa"/>
              <w:bottom w:w="100" w:type="dxa"/>
              <w:end w:w="110" w:type="dxa"/>
            </w:tcMar>
            <w:vAlign w:val="center"/>
          </w:tcPr>
          <w:p>
            <w:pPr>
              <w:jc w:val="center"/>
            </w:pPr>
            <w:r>
              <w:rPr>
                <w:b/>
                <w:color w:val="FFFFFF"/>
                <w:sz w:val="15"/>
              </w:rPr>
              <w:t>Control</w:t>
            </w:r>
          </w:p>
        </w:tc>
        <w:tc>
          <w:tcPr>
            <w:tcW w:type="dxa" w:w="7848"/>
            <w:shd w:fill="17365D"/>
            <w:tcMar>
              <w:top w:w="100" w:type="dxa"/>
              <w:start w:w="110" w:type="dxa"/>
              <w:bottom w:w="100" w:type="dxa"/>
              <w:end w:w="110" w:type="dxa"/>
            </w:tcMar>
            <w:vAlign w:val="center"/>
          </w:tcPr>
          <w:p>
            <w:pPr>
              <w:jc w:val="center"/>
            </w:pPr>
            <w:r>
              <w:rPr>
                <w:b/>
                <w:color w:val="FFFFFF"/>
                <w:sz w:val="15"/>
              </w:rPr>
              <w:t>Requirement</w:t>
            </w:r>
          </w:p>
        </w:tc>
      </w:tr>
      <w:tr>
        <w:trPr>
          <w:cantSplit/>
        </w:trPr>
        <w:tc>
          <w:tcPr>
            <w:tcW w:type="dxa" w:w="2592"/>
            <w:tcMar>
              <w:top w:w="90" w:type="dxa"/>
              <w:start w:w="110" w:type="dxa"/>
              <w:bottom w:w="90" w:type="dxa"/>
              <w:end w:w="110" w:type="dxa"/>
            </w:tcMar>
            <w:vAlign w:val="center"/>
          </w:tcPr>
          <w:p>
            <w:pPr>
              <w:spacing w:after="0"/>
            </w:pPr>
            <w:r>
              <w:rPr>
                <w:color w:val="243447"/>
                <w:sz w:val="15"/>
              </w:rPr>
              <w:t>Retailer-controlled data</w:t>
            </w:r>
          </w:p>
        </w:tc>
        <w:tc>
          <w:tcPr>
            <w:tcW w:type="dxa" w:w="7848"/>
            <w:tcMar>
              <w:top w:w="90" w:type="dxa"/>
              <w:start w:w="110" w:type="dxa"/>
              <w:bottom w:w="90" w:type="dxa"/>
              <w:end w:w="110" w:type="dxa"/>
            </w:tcMar>
            <w:vAlign w:val="center"/>
          </w:tcPr>
          <w:p>
            <w:pPr>
              <w:spacing w:after="0"/>
            </w:pPr>
            <w:r>
              <w:rPr>
                <w:color w:val="243447"/>
                <w:sz w:val="15"/>
              </w:rPr>
              <w:t>Support in-tenant, private-cloud, clean-room or bring-compute-to-data patterns.</w:t>
            </w:r>
          </w:p>
        </w:tc>
      </w:tr>
      <w:tr>
        <w:trPr>
          <w:cantSplit/>
        </w:trPr>
        <w:tc>
          <w:tcPr>
            <w:tcW w:type="dxa" w:w="2592"/>
            <w:tcMar>
              <w:top w:w="90" w:type="dxa"/>
              <w:start w:w="110" w:type="dxa"/>
              <w:bottom w:w="90" w:type="dxa"/>
              <w:end w:w="110" w:type="dxa"/>
            </w:tcMar>
            <w:vAlign w:val="center"/>
            <w:shd w:fill="F7F9FC"/>
          </w:tcPr>
          <w:p>
            <w:pPr>
              <w:spacing w:after="0"/>
              <w:jc w:val="center"/>
            </w:pPr>
            <w:r>
              <w:rPr>
                <w:color w:val="243447"/>
                <w:sz w:val="15"/>
              </w:rPr>
              <w:t>Data minimization</w:t>
            </w:r>
          </w:p>
        </w:tc>
        <w:tc>
          <w:tcPr>
            <w:tcW w:type="dxa" w:w="7848"/>
            <w:tcMar>
              <w:top w:w="90" w:type="dxa"/>
              <w:start w:w="110" w:type="dxa"/>
              <w:bottom w:w="90" w:type="dxa"/>
              <w:end w:w="110" w:type="dxa"/>
            </w:tcMar>
            <w:vAlign w:val="center"/>
            <w:shd w:fill="F7F9FC"/>
          </w:tcPr>
          <w:p>
            <w:pPr>
              <w:spacing w:after="0"/>
            </w:pPr>
            <w:r>
              <w:rPr>
                <w:color w:val="243447"/>
                <w:sz w:val="15"/>
              </w:rPr>
              <w:t>Use pseudonymous identity and aggregate outputs; prohibit unnecessary raw-data export.</w:t>
            </w:r>
          </w:p>
        </w:tc>
      </w:tr>
      <w:tr>
        <w:trPr>
          <w:cantSplit/>
        </w:trPr>
        <w:tc>
          <w:tcPr>
            <w:tcW w:type="dxa" w:w="2592"/>
            <w:tcMar>
              <w:top w:w="90" w:type="dxa"/>
              <w:start w:w="110" w:type="dxa"/>
              <w:bottom w:w="90" w:type="dxa"/>
              <w:end w:w="110" w:type="dxa"/>
            </w:tcMar>
            <w:vAlign w:val="center"/>
          </w:tcPr>
          <w:p>
            <w:pPr>
              <w:spacing w:after="0"/>
            </w:pPr>
            <w:r>
              <w:rPr>
                <w:color w:val="243447"/>
                <w:sz w:val="15"/>
              </w:rPr>
              <w:t>Purpose limitation</w:t>
            </w:r>
          </w:p>
        </w:tc>
        <w:tc>
          <w:tcPr>
            <w:tcW w:type="dxa" w:w="7848"/>
            <w:tcMar>
              <w:top w:w="90" w:type="dxa"/>
              <w:start w:w="110" w:type="dxa"/>
              <w:bottom w:w="90" w:type="dxa"/>
              <w:end w:w="110" w:type="dxa"/>
            </w:tcMar>
            <w:vAlign w:val="center"/>
          </w:tcPr>
          <w:p>
            <w:pPr>
              <w:spacing w:after="0"/>
            </w:pPr>
            <w:r>
              <w:rPr>
                <w:color w:val="243447"/>
                <w:sz w:val="15"/>
              </w:rPr>
              <w:t>Measurement data cannot be reused for unrelated targeting without policy and consent.</w:t>
            </w:r>
          </w:p>
        </w:tc>
      </w:tr>
      <w:tr>
        <w:trPr>
          <w:cantSplit/>
        </w:trPr>
        <w:tc>
          <w:tcPr>
            <w:tcW w:type="dxa" w:w="2592"/>
            <w:tcMar>
              <w:top w:w="90" w:type="dxa"/>
              <w:start w:w="110" w:type="dxa"/>
              <w:bottom w:w="90" w:type="dxa"/>
              <w:end w:w="110" w:type="dxa"/>
            </w:tcMar>
            <w:vAlign w:val="center"/>
            <w:shd w:fill="F7F9FC"/>
          </w:tcPr>
          <w:p>
            <w:pPr>
              <w:spacing w:after="0"/>
            </w:pPr>
            <w:r>
              <w:rPr>
                <w:color w:val="243447"/>
                <w:sz w:val="15"/>
              </w:rPr>
              <w:t>Small-cell protection</w:t>
            </w:r>
          </w:p>
        </w:tc>
        <w:tc>
          <w:tcPr>
            <w:tcW w:type="dxa" w:w="7848"/>
            <w:tcMar>
              <w:top w:w="90" w:type="dxa"/>
              <w:start w:w="110" w:type="dxa"/>
              <w:bottom w:w="90" w:type="dxa"/>
              <w:end w:w="110" w:type="dxa"/>
            </w:tcMar>
            <w:vAlign w:val="center"/>
            <w:shd w:fill="F7F9FC"/>
          </w:tcPr>
          <w:p>
            <w:pPr>
              <w:spacing w:after="0"/>
            </w:pPr>
            <w:r>
              <w:rPr>
                <w:color w:val="243447"/>
                <w:sz w:val="15"/>
              </w:rPr>
              <w:t>Suppress or aggregate outputs below configured thresholds.</w:t>
            </w:r>
          </w:p>
        </w:tc>
      </w:tr>
      <w:tr>
        <w:trPr>
          <w:cantSplit/>
        </w:trPr>
        <w:tc>
          <w:tcPr>
            <w:tcW w:type="dxa" w:w="2592"/>
            <w:tcMar>
              <w:top w:w="90" w:type="dxa"/>
              <w:start w:w="110" w:type="dxa"/>
              <w:bottom w:w="90" w:type="dxa"/>
              <w:end w:w="110" w:type="dxa"/>
            </w:tcMar>
            <w:vAlign w:val="center"/>
          </w:tcPr>
          <w:p>
            <w:pPr>
              <w:spacing w:after="0"/>
              <w:jc w:val="center"/>
            </w:pPr>
            <w:r>
              <w:rPr>
                <w:color w:val="243447"/>
                <w:sz w:val="15"/>
              </w:rPr>
              <w:t>Audit</w:t>
            </w:r>
          </w:p>
        </w:tc>
        <w:tc>
          <w:tcPr>
            <w:tcW w:type="dxa" w:w="7848"/>
            <w:tcMar>
              <w:top w:w="90" w:type="dxa"/>
              <w:start w:w="110" w:type="dxa"/>
              <w:bottom w:w="90" w:type="dxa"/>
              <w:end w:w="110" w:type="dxa"/>
            </w:tcMar>
            <w:vAlign w:val="center"/>
          </w:tcPr>
          <w:p>
            <w:pPr>
              <w:spacing w:after="0"/>
            </w:pPr>
            <w:r>
              <w:rPr>
                <w:color w:val="243447"/>
                <w:sz w:val="15"/>
              </w:rPr>
              <w:t>Record access, export, methodology, configuration and certification events.</w:t>
            </w:r>
          </w:p>
        </w:tc>
      </w:tr>
      <w:tr>
        <w:trPr>
          <w:cantSplit/>
        </w:trPr>
        <w:tc>
          <w:tcPr>
            <w:tcW w:type="dxa" w:w="2592"/>
            <w:tcMar>
              <w:top w:w="90" w:type="dxa"/>
              <w:start w:w="110" w:type="dxa"/>
              <w:bottom w:w="90" w:type="dxa"/>
              <w:end w:w="110" w:type="dxa"/>
            </w:tcMar>
            <w:vAlign w:val="center"/>
            <w:shd w:fill="F7F9FC"/>
          </w:tcPr>
          <w:p>
            <w:pPr>
              <w:spacing w:after="0"/>
              <w:jc w:val="center"/>
            </w:pPr>
            <w:r>
              <w:rPr>
                <w:color w:val="243447"/>
                <w:sz w:val="15"/>
              </w:rPr>
              <w:t>Retention</w:t>
            </w:r>
          </w:p>
        </w:tc>
        <w:tc>
          <w:tcPr>
            <w:tcW w:type="dxa" w:w="7848"/>
            <w:tcMar>
              <w:top w:w="90" w:type="dxa"/>
              <w:start w:w="110" w:type="dxa"/>
              <w:bottom w:w="90" w:type="dxa"/>
              <w:end w:w="110" w:type="dxa"/>
            </w:tcMar>
            <w:vAlign w:val="center"/>
            <w:shd w:fill="F7F9FC"/>
          </w:tcPr>
          <w:p>
            <w:pPr>
              <w:spacing w:after="0"/>
            </w:pPr>
            <w:r>
              <w:rPr>
                <w:color w:val="243447"/>
                <w:sz w:val="15"/>
              </w:rPr>
              <w:t>Configurable by feed, market, campaign and legal basis.</w:t>
            </w:r>
          </w:p>
        </w:tc>
      </w:tr>
      <w:tr>
        <w:trPr>
          <w:cantSplit/>
        </w:trPr>
        <w:tc>
          <w:tcPr>
            <w:tcW w:type="dxa" w:w="2592"/>
            <w:tcMar>
              <w:top w:w="90" w:type="dxa"/>
              <w:start w:w="110" w:type="dxa"/>
              <w:bottom w:w="90" w:type="dxa"/>
              <w:end w:w="110" w:type="dxa"/>
            </w:tcMar>
            <w:vAlign w:val="center"/>
          </w:tcPr>
          <w:p>
            <w:pPr>
              <w:spacing w:after="0"/>
              <w:jc w:val="center"/>
            </w:pPr>
            <w:r>
              <w:rPr>
                <w:color w:val="243447"/>
                <w:sz w:val="15"/>
              </w:rPr>
              <w:t>Quality SLAs</w:t>
            </w:r>
          </w:p>
        </w:tc>
        <w:tc>
          <w:tcPr>
            <w:tcW w:type="dxa" w:w="7848"/>
            <w:tcMar>
              <w:top w:w="90" w:type="dxa"/>
              <w:start w:w="110" w:type="dxa"/>
              <w:bottom w:w="90" w:type="dxa"/>
              <w:end w:w="110" w:type="dxa"/>
            </w:tcMar>
            <w:vAlign w:val="center"/>
          </w:tcPr>
          <w:p>
            <w:pPr>
              <w:spacing w:after="0"/>
            </w:pPr>
            <w:r>
              <w:rPr>
                <w:color w:val="243447"/>
                <w:sz w:val="15"/>
              </w:rPr>
              <w:t>Freshness, completeness, mapping and identity coverage thresholds by measurement tier.</w:t>
            </w:r>
          </w:p>
        </w:tc>
      </w:tr>
      <w:tr>
        <w:trPr>
          <w:cantSplit/>
        </w:trPr>
        <w:tc>
          <w:tcPr>
            <w:tcW w:type="dxa" w:w="2592"/>
            <w:tcMar>
              <w:top w:w="90" w:type="dxa"/>
              <w:start w:w="110" w:type="dxa"/>
              <w:bottom w:w="90" w:type="dxa"/>
              <w:end w:w="110" w:type="dxa"/>
            </w:tcMar>
            <w:vAlign w:val="center"/>
            <w:shd w:fill="F7F9FC"/>
          </w:tcPr>
          <w:p>
            <w:pPr>
              <w:spacing w:after="0"/>
              <w:jc w:val="center"/>
            </w:pPr>
            <w:r>
              <w:rPr>
                <w:color w:val="243447"/>
                <w:sz w:val="15"/>
              </w:rPr>
              <w:t>Revision policy</w:t>
            </w:r>
          </w:p>
        </w:tc>
        <w:tc>
          <w:tcPr>
            <w:tcW w:type="dxa" w:w="7848"/>
            <w:tcMar>
              <w:top w:w="90" w:type="dxa"/>
              <w:start w:w="110" w:type="dxa"/>
              <w:bottom w:w="90" w:type="dxa"/>
              <w:end w:w="110" w:type="dxa"/>
            </w:tcMar>
            <w:vAlign w:val="center"/>
            <w:shd w:fill="F7F9FC"/>
          </w:tcPr>
          <w:p>
            <w:pPr>
              <w:spacing w:after="0"/>
            </w:pPr>
            <w:r>
              <w:rPr>
                <w:color w:val="243447"/>
                <w:sz w:val="15"/>
              </w:rPr>
              <w:t>Late-arriving platform or transaction data produces a versioned restatement, not silent change.</w:t>
            </w:r>
          </w:p>
        </w:tc>
      </w:tr>
      <w:tr>
        <w:trPr>
          <w:cantSplit/>
        </w:trPr>
        <w:tc>
          <w:tcPr>
            <w:tcW w:type="dxa" w:w="2592"/>
            <w:tcMar>
              <w:top w:w="90" w:type="dxa"/>
              <w:start w:w="110" w:type="dxa"/>
              <w:bottom w:w="90" w:type="dxa"/>
              <w:end w:w="110" w:type="dxa"/>
            </w:tcMar>
            <w:vAlign w:val="center"/>
          </w:tcPr>
          <w:p>
            <w:pPr>
              <w:spacing w:after="0"/>
            </w:pPr>
            <w:r>
              <w:rPr>
                <w:color w:val="243447"/>
                <w:sz w:val="15"/>
              </w:rPr>
              <w:t>Taxonomy governance</w:t>
            </w:r>
          </w:p>
        </w:tc>
        <w:tc>
          <w:tcPr>
            <w:tcW w:type="dxa" w:w="7848"/>
            <w:tcMar>
              <w:top w:w="90" w:type="dxa"/>
              <w:start w:w="110" w:type="dxa"/>
              <w:bottom w:w="90" w:type="dxa"/>
              <w:end w:w="110" w:type="dxa"/>
            </w:tcMar>
            <w:vAlign w:val="center"/>
          </w:tcPr>
          <w:p>
            <w:pPr>
              <w:spacing w:after="0"/>
            </w:pPr>
            <w:r>
              <w:rPr>
                <w:color w:val="243447"/>
                <w:sz w:val="15"/>
              </w:rPr>
              <w:t>Product and campaign mappings require stewardship and effective dating.</w:t>
            </w:r>
          </w:p>
        </w:tc>
      </w:tr>
      <w:tr>
        <w:trPr>
          <w:cantSplit/>
        </w:trPr>
        <w:tc>
          <w:tcPr>
            <w:tcW w:type="dxa" w:w="2592"/>
            <w:tcMar>
              <w:top w:w="90" w:type="dxa"/>
              <w:start w:w="110" w:type="dxa"/>
              <w:bottom w:w="90" w:type="dxa"/>
              <w:end w:w="110" w:type="dxa"/>
            </w:tcMar>
            <w:vAlign w:val="center"/>
            <w:shd w:fill="F7F9FC"/>
          </w:tcPr>
          <w:p>
            <w:pPr>
              <w:spacing w:after="0"/>
              <w:jc w:val="center"/>
            </w:pPr>
            <w:r>
              <w:rPr>
                <w:color w:val="243447"/>
                <w:sz w:val="15"/>
              </w:rPr>
              <w:t>Method governance</w:t>
            </w:r>
          </w:p>
        </w:tc>
        <w:tc>
          <w:tcPr>
            <w:tcW w:type="dxa" w:w="7848"/>
            <w:tcMar>
              <w:top w:w="90" w:type="dxa"/>
              <w:start w:w="110" w:type="dxa"/>
              <w:bottom w:w="90" w:type="dxa"/>
              <w:end w:w="110" w:type="dxa"/>
            </w:tcMar>
            <w:vAlign w:val="center"/>
            <w:shd w:fill="F7F9FC"/>
          </w:tcPr>
          <w:p>
            <w:pPr>
              <w:spacing w:after="0"/>
            </w:pPr>
            <w:r>
              <w:rPr>
                <w:color w:val="243447"/>
                <w:sz w:val="15"/>
              </w:rPr>
              <w:t>Every causal algorithm is versioned, validated and explicitly approved.</w:t>
            </w:r>
          </w:p>
        </w:tc>
      </w:tr>
    </w:tbl>
    <w:p>
      <w:pPr>
        <w:spacing w:after="0"/>
      </w:pPr>
    </w:p>
    <w:p>
      <w:pPr>
        <w:pStyle w:val="Heading2"/>
        <w:keepNext/>
      </w:pPr>
      <w:r>
        <w:t>16.1 Campaign quality score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912"/>
            <w:shd w:fill="17365D"/>
            <w:tcMar>
              <w:top w:w="100" w:type="dxa"/>
              <w:start w:w="110" w:type="dxa"/>
              <w:bottom w:w="100" w:type="dxa"/>
              <w:end w:w="110" w:type="dxa"/>
            </w:tcMar>
            <w:vAlign w:val="center"/>
          </w:tcPr>
          <w:p>
            <w:pPr>
              <w:jc w:val="center"/>
            </w:pPr>
            <w:r>
              <w:rPr>
                <w:b/>
                <w:color w:val="FFFFFF"/>
                <w:sz w:val="15"/>
              </w:rPr>
              <w:t>Component</w:t>
            </w:r>
          </w:p>
        </w:tc>
        <w:tc>
          <w:tcPr>
            <w:tcW w:type="dxa" w:w="3456"/>
            <w:shd w:fill="17365D"/>
            <w:tcMar>
              <w:top w:w="100" w:type="dxa"/>
              <w:start w:w="110" w:type="dxa"/>
              <w:bottom w:w="100" w:type="dxa"/>
              <w:end w:w="110" w:type="dxa"/>
            </w:tcMar>
            <w:vAlign w:val="center"/>
          </w:tcPr>
          <w:p>
            <w:pPr>
              <w:jc w:val="center"/>
            </w:pPr>
            <w:r>
              <w:rPr>
                <w:b/>
                <w:color w:val="FFFFFF"/>
                <w:sz w:val="15"/>
              </w:rPr>
              <w:t>Example weighting</w:t>
            </w:r>
          </w:p>
        </w:tc>
      </w:tr>
      <w:tr>
        <w:trPr>
          <w:cantSplit/>
        </w:trPr>
        <w:tc>
          <w:tcPr>
            <w:tcW w:type="dxa" w:w="6912"/>
            <w:tcMar>
              <w:top w:w="90" w:type="dxa"/>
              <w:start w:w="110" w:type="dxa"/>
              <w:bottom w:w="90" w:type="dxa"/>
              <w:end w:w="110" w:type="dxa"/>
            </w:tcMar>
            <w:vAlign w:val="center"/>
          </w:tcPr>
          <w:p>
            <w:pPr>
              <w:spacing w:after="0"/>
            </w:pPr>
            <w:r>
              <w:rPr>
                <w:color w:val="243447"/>
                <w:sz w:val="15"/>
              </w:rPr>
              <w:t>Identity and match coverage</w:t>
            </w:r>
          </w:p>
        </w:tc>
        <w:tc>
          <w:tcPr>
            <w:tcW w:type="dxa" w:w="3456"/>
            <w:tcMar>
              <w:top w:w="90" w:type="dxa"/>
              <w:start w:w="110" w:type="dxa"/>
              <w:bottom w:w="90" w:type="dxa"/>
              <w:end w:w="110" w:type="dxa"/>
            </w:tcMar>
            <w:vAlign w:val="center"/>
          </w:tcPr>
          <w:p>
            <w:pPr>
              <w:spacing w:after="0"/>
              <w:jc w:val="center"/>
            </w:pPr>
            <w:r>
              <w:rPr>
                <w:color w:val="243447"/>
                <w:sz w:val="15"/>
              </w:rPr>
              <w:t>20%</w:t>
            </w:r>
          </w:p>
        </w:tc>
      </w:tr>
      <w:tr>
        <w:trPr>
          <w:cantSplit/>
        </w:trPr>
        <w:tc>
          <w:tcPr>
            <w:tcW w:type="dxa" w:w="6912"/>
            <w:tcMar>
              <w:top w:w="90" w:type="dxa"/>
              <w:start w:w="110" w:type="dxa"/>
              <w:bottom w:w="90" w:type="dxa"/>
              <w:end w:w="110" w:type="dxa"/>
            </w:tcMar>
            <w:vAlign w:val="center"/>
            <w:shd w:fill="F7F9FC"/>
          </w:tcPr>
          <w:p>
            <w:pPr>
              <w:spacing w:after="0"/>
            </w:pPr>
            <w:r>
              <w:rPr>
                <w:color w:val="243447"/>
                <w:sz w:val="15"/>
              </w:rPr>
              <w:t>Exposure/media completeness</w:t>
            </w:r>
          </w:p>
        </w:tc>
        <w:tc>
          <w:tcPr>
            <w:tcW w:type="dxa" w:w="3456"/>
            <w:tcMar>
              <w:top w:w="90" w:type="dxa"/>
              <w:start w:w="110" w:type="dxa"/>
              <w:bottom w:w="90" w:type="dxa"/>
              <w:end w:w="110" w:type="dxa"/>
            </w:tcMar>
            <w:vAlign w:val="center"/>
            <w:shd w:fill="F7F9FC"/>
          </w:tcPr>
          <w:p>
            <w:pPr>
              <w:spacing w:after="0"/>
              <w:jc w:val="center"/>
            </w:pPr>
            <w:r>
              <w:rPr>
                <w:color w:val="243447"/>
                <w:sz w:val="15"/>
              </w:rPr>
              <w:t>20%</w:t>
            </w:r>
          </w:p>
        </w:tc>
      </w:tr>
      <w:tr>
        <w:trPr>
          <w:cantSplit/>
        </w:trPr>
        <w:tc>
          <w:tcPr>
            <w:tcW w:type="dxa" w:w="6912"/>
            <w:tcMar>
              <w:top w:w="90" w:type="dxa"/>
              <w:start w:w="110" w:type="dxa"/>
              <w:bottom w:w="90" w:type="dxa"/>
              <w:end w:w="110" w:type="dxa"/>
            </w:tcMar>
            <w:vAlign w:val="center"/>
          </w:tcPr>
          <w:p>
            <w:pPr>
              <w:spacing w:after="0"/>
            </w:pPr>
            <w:r>
              <w:rPr>
                <w:color w:val="243447"/>
                <w:sz w:val="15"/>
              </w:rPr>
              <w:t>Product mapping accuracy</w:t>
            </w:r>
          </w:p>
        </w:tc>
        <w:tc>
          <w:tcPr>
            <w:tcW w:type="dxa" w:w="3456"/>
            <w:tcMar>
              <w:top w:w="90" w:type="dxa"/>
              <w:start w:w="110" w:type="dxa"/>
              <w:bottom w:w="90" w:type="dxa"/>
              <w:end w:w="110" w:type="dxa"/>
            </w:tcMar>
            <w:vAlign w:val="center"/>
          </w:tcPr>
          <w:p>
            <w:pPr>
              <w:spacing w:after="0"/>
              <w:jc w:val="center"/>
            </w:pPr>
            <w:r>
              <w:rPr>
                <w:color w:val="243447"/>
                <w:sz w:val="15"/>
              </w:rPr>
              <w:t>15%</w:t>
            </w:r>
          </w:p>
        </w:tc>
      </w:tr>
      <w:tr>
        <w:trPr>
          <w:cantSplit/>
        </w:trPr>
        <w:tc>
          <w:tcPr>
            <w:tcW w:type="dxa" w:w="6912"/>
            <w:tcMar>
              <w:top w:w="90" w:type="dxa"/>
              <w:start w:w="110" w:type="dxa"/>
              <w:bottom w:w="90" w:type="dxa"/>
              <w:end w:w="110" w:type="dxa"/>
            </w:tcMar>
            <w:vAlign w:val="center"/>
            <w:shd w:fill="F7F9FC"/>
          </w:tcPr>
          <w:p>
            <w:pPr>
              <w:spacing w:after="0"/>
            </w:pPr>
            <w:r>
              <w:rPr>
                <w:color w:val="243447"/>
                <w:sz w:val="15"/>
              </w:rPr>
              <w:t>Transaction maturity and coverage</w:t>
            </w:r>
          </w:p>
        </w:tc>
        <w:tc>
          <w:tcPr>
            <w:tcW w:type="dxa" w:w="3456"/>
            <w:tcMar>
              <w:top w:w="90" w:type="dxa"/>
              <w:start w:w="110" w:type="dxa"/>
              <w:bottom w:w="90" w:type="dxa"/>
              <w:end w:w="110" w:type="dxa"/>
            </w:tcMar>
            <w:vAlign w:val="center"/>
            <w:shd w:fill="F7F9FC"/>
          </w:tcPr>
          <w:p>
            <w:pPr>
              <w:spacing w:after="0"/>
              <w:jc w:val="center"/>
            </w:pPr>
            <w:r>
              <w:rPr>
                <w:color w:val="243447"/>
                <w:sz w:val="15"/>
              </w:rPr>
              <w:t>15%</w:t>
            </w:r>
          </w:p>
        </w:tc>
      </w:tr>
      <w:tr>
        <w:trPr>
          <w:cantSplit/>
        </w:trPr>
        <w:tc>
          <w:tcPr>
            <w:tcW w:type="dxa" w:w="6912"/>
            <w:tcMar>
              <w:top w:w="90" w:type="dxa"/>
              <w:start w:w="110" w:type="dxa"/>
              <w:bottom w:w="90" w:type="dxa"/>
              <w:end w:w="110" w:type="dxa"/>
            </w:tcMar>
            <w:vAlign w:val="center"/>
          </w:tcPr>
          <w:p>
            <w:pPr>
              <w:spacing w:after="0"/>
            </w:pPr>
            <w:r>
              <w:rPr>
                <w:color w:val="243447"/>
                <w:sz w:val="15"/>
              </w:rPr>
              <w:t>Experiment validity/power</w:t>
            </w:r>
          </w:p>
        </w:tc>
        <w:tc>
          <w:tcPr>
            <w:tcW w:type="dxa" w:w="3456"/>
            <w:tcMar>
              <w:top w:w="90" w:type="dxa"/>
              <w:start w:w="110" w:type="dxa"/>
              <w:bottom w:w="90" w:type="dxa"/>
              <w:end w:w="110" w:type="dxa"/>
            </w:tcMar>
            <w:vAlign w:val="center"/>
          </w:tcPr>
          <w:p>
            <w:pPr>
              <w:spacing w:after="0"/>
              <w:jc w:val="center"/>
            </w:pPr>
            <w:r>
              <w:rPr>
                <w:color w:val="243447"/>
                <w:sz w:val="15"/>
              </w:rPr>
              <w:t>20%</w:t>
            </w:r>
          </w:p>
        </w:tc>
      </w:tr>
      <w:tr>
        <w:trPr>
          <w:cantSplit/>
        </w:trPr>
        <w:tc>
          <w:tcPr>
            <w:tcW w:type="dxa" w:w="6912"/>
            <w:tcMar>
              <w:top w:w="90" w:type="dxa"/>
              <w:start w:w="110" w:type="dxa"/>
              <w:bottom w:w="90" w:type="dxa"/>
              <w:end w:w="110" w:type="dxa"/>
            </w:tcMar>
            <w:vAlign w:val="center"/>
            <w:shd w:fill="F7F9FC"/>
          </w:tcPr>
          <w:p>
            <w:pPr>
              <w:spacing w:after="0"/>
            </w:pPr>
            <w:r>
              <w:rPr>
                <w:color w:val="243447"/>
                <w:sz w:val="15"/>
              </w:rPr>
              <w:t>Cost and metadata completeness</w:t>
            </w:r>
          </w:p>
        </w:tc>
        <w:tc>
          <w:tcPr>
            <w:tcW w:type="dxa" w:w="3456"/>
            <w:tcMar>
              <w:top w:w="90" w:type="dxa"/>
              <w:start w:w="110" w:type="dxa"/>
              <w:bottom w:w="90" w:type="dxa"/>
              <w:end w:w="110" w:type="dxa"/>
            </w:tcMar>
            <w:vAlign w:val="center"/>
            <w:shd w:fill="F7F9FC"/>
          </w:tcPr>
          <w:p>
            <w:pPr>
              <w:spacing w:after="0"/>
              <w:jc w:val="center"/>
            </w:pPr>
            <w:r>
              <w:rPr>
                <w:color w:val="243447"/>
                <w:sz w:val="15"/>
              </w:rPr>
              <w:t>10%</w:t>
            </w:r>
          </w:p>
        </w:tc>
      </w:tr>
    </w:tbl>
    <w:p>
      <w:pPr>
        <w:spacing w:after="0"/>
      </w:pPr>
    </w:p>
    <w:p>
      <w:pPr>
        <w:pStyle w:val="Small"/>
      </w:pPr>
      <w:r>
        <w:rPr>
          <w:b/>
        </w:rPr>
        <w:t xml:space="preserve">Design note: </w:t>
      </w:r>
      <w:r>
        <w:t>Weights should be configurable and the composite score must never replace the underlying diagnostics.</w:t>
      </w:r>
    </w:p>
    <w:p>
      <w:r>
        <w:br w:type="page"/>
      </w:r>
    </w:p>
    <w:p>
      <w:pPr>
        <w:pStyle w:val="Heading1"/>
        <w:keepNext/>
      </w:pPr>
      <w:r>
        <w:t>17. AI and automation strategy</w:t>
      </w:r>
    </w:p>
    <w:p>
      <w:pPr>
        <w:pStyle w:val="Heading2"/>
        <w:keepNext/>
      </w:pPr>
      <w:r>
        <w:t>17.1 Recommended AI capabilities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7365D"/>
            <w:tcMar>
              <w:top w:w="100" w:type="dxa"/>
              <w:start w:w="110" w:type="dxa"/>
              <w:bottom w:w="100" w:type="dxa"/>
              <w:end w:w="110" w:type="dxa"/>
            </w:tcMar>
            <w:vAlign w:val="center"/>
          </w:tcPr>
          <w:p>
            <w:pPr>
              <w:jc w:val="center"/>
            </w:pPr>
            <w:r>
              <w:rPr>
                <w:b/>
                <w:color w:val="FFFFFF"/>
                <w:sz w:val="14"/>
              </w:rPr>
              <w:t>Capability</w:t>
            </w:r>
          </w:p>
        </w:tc>
        <w:tc>
          <w:tcPr>
            <w:tcW w:type="dxa" w:w="4680"/>
            <w:shd w:fill="17365D"/>
            <w:tcMar>
              <w:top w:w="100" w:type="dxa"/>
              <w:start w:w="110" w:type="dxa"/>
              <w:bottom w:w="100" w:type="dxa"/>
              <w:end w:w="110" w:type="dxa"/>
            </w:tcMar>
            <w:vAlign w:val="center"/>
          </w:tcPr>
          <w:p>
            <w:pPr>
              <w:jc w:val="center"/>
            </w:pPr>
            <w:r>
              <w:rPr>
                <w:b/>
                <w:color w:val="FFFFFF"/>
                <w:sz w:val="14"/>
              </w:rPr>
              <w:t>Experience</w:t>
            </w:r>
          </w:p>
        </w:tc>
        <w:tc>
          <w:tcPr>
            <w:tcW w:type="dxa" w:w="3888"/>
            <w:shd w:fill="17365D"/>
            <w:tcMar>
              <w:top w:w="100" w:type="dxa"/>
              <w:start w:w="110" w:type="dxa"/>
              <w:bottom w:w="100" w:type="dxa"/>
              <w:end w:w="110" w:type="dxa"/>
            </w:tcMar>
            <w:vAlign w:val="center"/>
          </w:tcPr>
          <w:p>
            <w:pPr>
              <w:jc w:val="center"/>
            </w:pPr>
            <w:r>
              <w:rPr>
                <w:b/>
                <w:color w:val="FFFFFF"/>
                <w:sz w:val="14"/>
              </w:rPr>
              <w:t>Guardrail</w:t>
            </w:r>
          </w:p>
        </w:tc>
      </w:tr>
      <w:tr>
        <w:trPr>
          <w:cantSplit/>
        </w:trPr>
        <w:tc>
          <w:tcPr>
            <w:tcW w:type="dxa" w:w="2232"/>
            <w:tcMar>
              <w:top w:w="90" w:type="dxa"/>
              <w:start w:w="110" w:type="dxa"/>
              <w:bottom w:w="90" w:type="dxa"/>
              <w:end w:w="110" w:type="dxa"/>
            </w:tcMar>
            <w:vAlign w:val="center"/>
          </w:tcPr>
          <w:p>
            <w:pPr>
              <w:spacing w:after="0"/>
            </w:pPr>
            <w:r>
              <w:rPr>
                <w:color w:val="243447"/>
                <w:sz w:val="14"/>
              </w:rPr>
              <w:t>Campaign setup copilot</w:t>
            </w:r>
          </w:p>
        </w:tc>
        <w:tc>
          <w:tcPr>
            <w:tcW w:type="dxa" w:w="4680"/>
            <w:tcMar>
              <w:top w:w="90" w:type="dxa"/>
              <w:start w:w="110" w:type="dxa"/>
              <w:bottom w:w="90" w:type="dxa"/>
              <w:end w:w="110" w:type="dxa"/>
            </w:tcMar>
            <w:vAlign w:val="center"/>
          </w:tcPr>
          <w:p>
            <w:pPr>
              <w:spacing w:after="0"/>
            </w:pPr>
            <w:r>
              <w:rPr>
                <w:color w:val="243447"/>
                <w:sz w:val="14"/>
              </w:rPr>
              <w:t>Converts a brief into structured objectives, product sets, audience and measurement checklist</w:t>
            </w:r>
          </w:p>
        </w:tc>
        <w:tc>
          <w:tcPr>
            <w:tcW w:type="dxa" w:w="3888"/>
            <w:tcMar>
              <w:top w:w="90" w:type="dxa"/>
              <w:start w:w="110" w:type="dxa"/>
              <w:bottom w:w="90" w:type="dxa"/>
              <w:end w:w="110" w:type="dxa"/>
            </w:tcMar>
            <w:vAlign w:val="center"/>
          </w:tcPr>
          <w:p>
            <w:pPr>
              <w:spacing w:after="0"/>
            </w:pPr>
            <w:r>
              <w:rPr>
                <w:color w:val="243447"/>
                <w:sz w:val="14"/>
              </w:rPr>
              <w:t>User approval; no automatic causal method selection without rules</w:t>
            </w:r>
          </w:p>
        </w:tc>
      </w:tr>
      <w:tr>
        <w:trPr>
          <w:cantSplit/>
        </w:trPr>
        <w:tc>
          <w:tcPr>
            <w:tcW w:type="dxa" w:w="2232"/>
            <w:tcMar>
              <w:top w:w="90" w:type="dxa"/>
              <w:start w:w="110" w:type="dxa"/>
              <w:bottom w:w="90" w:type="dxa"/>
              <w:end w:w="110" w:type="dxa"/>
            </w:tcMar>
            <w:vAlign w:val="center"/>
            <w:shd w:fill="F7F9FC"/>
          </w:tcPr>
          <w:p>
            <w:pPr>
              <w:spacing w:after="0"/>
            </w:pPr>
            <w:r>
              <w:rPr>
                <w:color w:val="243447"/>
                <w:sz w:val="14"/>
              </w:rPr>
              <w:t>Data mapping assistant</w:t>
            </w:r>
          </w:p>
        </w:tc>
        <w:tc>
          <w:tcPr>
            <w:tcW w:type="dxa" w:w="4680"/>
            <w:tcMar>
              <w:top w:w="90" w:type="dxa"/>
              <w:start w:w="110" w:type="dxa"/>
              <w:bottom w:w="90" w:type="dxa"/>
              <w:end w:w="110" w:type="dxa"/>
            </w:tcMar>
            <w:vAlign w:val="center"/>
            <w:shd w:fill="F7F9FC"/>
          </w:tcPr>
          <w:p>
            <w:pPr>
              <w:spacing w:after="0"/>
            </w:pPr>
            <w:r>
              <w:rPr>
                <w:color w:val="243447"/>
                <w:sz w:val="14"/>
              </w:rPr>
              <w:t>Suggests mappings for campaign, creative and product fields</w:t>
            </w:r>
          </w:p>
        </w:tc>
        <w:tc>
          <w:tcPr>
            <w:tcW w:type="dxa" w:w="3888"/>
            <w:tcMar>
              <w:top w:w="90" w:type="dxa"/>
              <w:start w:w="110" w:type="dxa"/>
              <w:bottom w:w="90" w:type="dxa"/>
              <w:end w:w="110" w:type="dxa"/>
            </w:tcMar>
            <w:vAlign w:val="center"/>
            <w:shd w:fill="F7F9FC"/>
          </w:tcPr>
          <w:p>
            <w:pPr>
              <w:spacing w:after="0"/>
            </w:pPr>
            <w:r>
              <w:rPr>
                <w:color w:val="243447"/>
                <w:sz w:val="14"/>
              </w:rPr>
              <w:t>Confidence and steward approval</w:t>
            </w:r>
          </w:p>
        </w:tc>
      </w:tr>
      <w:tr>
        <w:trPr>
          <w:cantSplit/>
        </w:trPr>
        <w:tc>
          <w:tcPr>
            <w:tcW w:type="dxa" w:w="2232"/>
            <w:tcMar>
              <w:top w:w="90" w:type="dxa"/>
              <w:start w:w="110" w:type="dxa"/>
              <w:bottom w:w="90" w:type="dxa"/>
              <w:end w:w="110" w:type="dxa"/>
            </w:tcMar>
            <w:vAlign w:val="center"/>
          </w:tcPr>
          <w:p>
            <w:pPr>
              <w:spacing w:after="0"/>
              <w:jc w:val="center"/>
            </w:pPr>
            <w:r>
              <w:rPr>
                <w:color w:val="243447"/>
                <w:sz w:val="14"/>
              </w:rPr>
              <w:t>Insight narrator</w:t>
            </w:r>
          </w:p>
        </w:tc>
        <w:tc>
          <w:tcPr>
            <w:tcW w:type="dxa" w:w="4680"/>
            <w:tcMar>
              <w:top w:w="90" w:type="dxa"/>
              <w:start w:w="110" w:type="dxa"/>
              <w:bottom w:w="90" w:type="dxa"/>
              <w:end w:w="110" w:type="dxa"/>
            </w:tcMar>
            <w:vAlign w:val="center"/>
          </w:tcPr>
          <w:p>
            <w:pPr>
              <w:spacing w:after="0"/>
            </w:pPr>
            <w:r>
              <w:rPr>
                <w:color w:val="243447"/>
                <w:sz w:val="14"/>
              </w:rPr>
              <w:t>Explains what changed, likely drivers and limitations</w:t>
            </w:r>
          </w:p>
        </w:tc>
        <w:tc>
          <w:tcPr>
            <w:tcW w:type="dxa" w:w="3888"/>
            <w:tcMar>
              <w:top w:w="90" w:type="dxa"/>
              <w:start w:w="110" w:type="dxa"/>
              <w:bottom w:w="90" w:type="dxa"/>
              <w:end w:w="110" w:type="dxa"/>
            </w:tcMar>
            <w:vAlign w:val="center"/>
          </w:tcPr>
          <w:p>
            <w:pPr>
              <w:spacing w:after="0"/>
            </w:pPr>
            <w:r>
              <w:rPr>
                <w:color w:val="243447"/>
                <w:sz w:val="14"/>
              </w:rPr>
              <w:t>Only cites governed metrics and evidence links</w:t>
            </w:r>
          </w:p>
        </w:tc>
      </w:tr>
      <w:tr>
        <w:trPr>
          <w:cantSplit/>
        </w:trPr>
        <w:tc>
          <w:tcPr>
            <w:tcW w:type="dxa" w:w="2232"/>
            <w:tcMar>
              <w:top w:w="90" w:type="dxa"/>
              <w:start w:w="110" w:type="dxa"/>
              <w:bottom w:w="90" w:type="dxa"/>
              <w:end w:w="110" w:type="dxa"/>
            </w:tcMar>
            <w:vAlign w:val="center"/>
            <w:shd w:fill="F7F9FC"/>
          </w:tcPr>
          <w:p>
            <w:pPr>
              <w:spacing w:after="0"/>
              <w:jc w:val="center"/>
            </w:pPr>
            <w:r>
              <w:rPr>
                <w:color w:val="243447"/>
                <w:sz w:val="14"/>
              </w:rPr>
              <w:t>Anomaly detector</w:t>
            </w:r>
          </w:p>
        </w:tc>
        <w:tc>
          <w:tcPr>
            <w:tcW w:type="dxa" w:w="4680"/>
            <w:tcMar>
              <w:top w:w="90" w:type="dxa"/>
              <w:start w:w="110" w:type="dxa"/>
              <w:bottom w:w="90" w:type="dxa"/>
              <w:end w:w="110" w:type="dxa"/>
            </w:tcMar>
            <w:vAlign w:val="center"/>
            <w:shd w:fill="F7F9FC"/>
          </w:tcPr>
          <w:p>
            <w:pPr>
              <w:spacing w:after="0"/>
            </w:pPr>
            <w:r>
              <w:rPr>
                <w:color w:val="243447"/>
                <w:sz w:val="14"/>
              </w:rPr>
              <w:t>Detects feed gaps, implausible ROAS, shifts, leakage and broken mappings</w:t>
            </w:r>
          </w:p>
        </w:tc>
        <w:tc>
          <w:tcPr>
            <w:tcW w:type="dxa" w:w="3888"/>
            <w:tcMar>
              <w:top w:w="90" w:type="dxa"/>
              <w:start w:w="110" w:type="dxa"/>
              <w:bottom w:w="90" w:type="dxa"/>
              <w:end w:w="110" w:type="dxa"/>
            </w:tcMar>
            <w:vAlign w:val="center"/>
            <w:shd w:fill="F7F9FC"/>
          </w:tcPr>
          <w:p>
            <w:pPr>
              <w:spacing w:after="0"/>
            </w:pPr>
            <w:r>
              <w:rPr>
                <w:color w:val="243447"/>
                <w:sz w:val="14"/>
              </w:rPr>
              <w:t>Alert, not silent correction</w:t>
            </w:r>
          </w:p>
        </w:tc>
      </w:tr>
      <w:tr>
        <w:trPr>
          <w:cantSplit/>
        </w:trPr>
        <w:tc>
          <w:tcPr>
            <w:tcW w:type="dxa" w:w="2232"/>
            <w:tcMar>
              <w:top w:w="90" w:type="dxa"/>
              <w:start w:w="110" w:type="dxa"/>
              <w:bottom w:w="90" w:type="dxa"/>
              <w:end w:w="110" w:type="dxa"/>
            </w:tcMar>
            <w:vAlign w:val="center"/>
          </w:tcPr>
          <w:p>
            <w:pPr>
              <w:spacing w:after="0"/>
            </w:pPr>
            <w:r>
              <w:rPr>
                <w:color w:val="243447"/>
                <w:sz w:val="14"/>
              </w:rPr>
              <w:t>Next-test recommender</w:t>
            </w:r>
          </w:p>
        </w:tc>
        <w:tc>
          <w:tcPr>
            <w:tcW w:type="dxa" w:w="4680"/>
            <w:tcMar>
              <w:top w:w="90" w:type="dxa"/>
              <w:start w:w="110" w:type="dxa"/>
              <w:bottom w:w="90" w:type="dxa"/>
              <w:end w:w="110" w:type="dxa"/>
            </w:tcMar>
            <w:vAlign w:val="center"/>
          </w:tcPr>
          <w:p>
            <w:pPr>
              <w:spacing w:after="0"/>
            </w:pPr>
            <w:r>
              <w:rPr>
                <w:color w:val="243447"/>
                <w:sz w:val="14"/>
              </w:rPr>
              <w:t>Suggests audience, creative, channel or test refinements</w:t>
            </w:r>
          </w:p>
        </w:tc>
        <w:tc>
          <w:tcPr>
            <w:tcW w:type="dxa" w:w="3888"/>
            <w:tcMar>
              <w:top w:w="90" w:type="dxa"/>
              <w:start w:w="110" w:type="dxa"/>
              <w:bottom w:w="90" w:type="dxa"/>
              <w:end w:w="110" w:type="dxa"/>
            </w:tcMar>
            <w:vAlign w:val="center"/>
          </w:tcPr>
          <w:p>
            <w:pPr>
              <w:spacing w:after="0"/>
            </w:pPr>
            <w:r>
              <w:rPr>
                <w:color w:val="243447"/>
                <w:sz w:val="14"/>
              </w:rPr>
              <w:t>Distinguish evidence from hypothesis</w:t>
            </w:r>
          </w:p>
        </w:tc>
      </w:tr>
      <w:tr>
        <w:trPr>
          <w:cantSplit/>
        </w:trPr>
        <w:tc>
          <w:tcPr>
            <w:tcW w:type="dxa" w:w="2232"/>
            <w:tcMar>
              <w:top w:w="90" w:type="dxa"/>
              <w:start w:w="110" w:type="dxa"/>
              <w:bottom w:w="90" w:type="dxa"/>
              <w:end w:w="110" w:type="dxa"/>
            </w:tcMar>
            <w:vAlign w:val="center"/>
            <w:shd w:fill="F7F9FC"/>
          </w:tcPr>
          <w:p>
            <w:pPr>
              <w:spacing w:after="0"/>
              <w:jc w:val="center"/>
            </w:pPr>
            <w:r>
              <w:rPr>
                <w:color w:val="243447"/>
                <w:sz w:val="14"/>
              </w:rPr>
              <w:t>Report composer</w:t>
            </w:r>
          </w:p>
        </w:tc>
        <w:tc>
          <w:tcPr>
            <w:tcW w:type="dxa" w:w="4680"/>
            <w:tcMar>
              <w:top w:w="90" w:type="dxa"/>
              <w:start w:w="110" w:type="dxa"/>
              <w:bottom w:w="90" w:type="dxa"/>
              <w:end w:w="110" w:type="dxa"/>
            </w:tcMar>
            <w:vAlign w:val="center"/>
            <w:shd w:fill="F7F9FC"/>
          </w:tcPr>
          <w:p>
            <w:pPr>
              <w:spacing w:after="0"/>
            </w:pPr>
            <w:r>
              <w:rPr>
                <w:color w:val="243447"/>
                <w:sz w:val="14"/>
              </w:rPr>
              <w:t>Builds executive and analyst report packs</w:t>
            </w:r>
          </w:p>
        </w:tc>
        <w:tc>
          <w:tcPr>
            <w:tcW w:type="dxa" w:w="3888"/>
            <w:tcMar>
              <w:top w:w="90" w:type="dxa"/>
              <w:start w:w="110" w:type="dxa"/>
              <w:bottom w:w="90" w:type="dxa"/>
              <w:end w:w="110" w:type="dxa"/>
            </w:tcMar>
            <w:vAlign w:val="center"/>
            <w:shd w:fill="F7F9FC"/>
          </w:tcPr>
          <w:p>
            <w:pPr>
              <w:spacing w:after="0"/>
            </w:pPr>
            <w:r>
              <w:rPr>
                <w:color w:val="243447"/>
                <w:sz w:val="14"/>
              </w:rPr>
              <w:t>Preserves methodology and required caveats</w:t>
            </w:r>
          </w:p>
        </w:tc>
      </w:tr>
      <w:tr>
        <w:trPr>
          <w:cantSplit/>
        </w:trPr>
        <w:tc>
          <w:tcPr>
            <w:tcW w:type="dxa" w:w="2232"/>
            <w:tcMar>
              <w:top w:w="90" w:type="dxa"/>
              <w:start w:w="110" w:type="dxa"/>
              <w:bottom w:w="90" w:type="dxa"/>
              <w:end w:w="110" w:type="dxa"/>
            </w:tcMar>
            <w:vAlign w:val="center"/>
          </w:tcPr>
          <w:p>
            <w:pPr>
              <w:spacing w:after="0"/>
            </w:pPr>
            <w:r>
              <w:rPr>
                <w:color w:val="243447"/>
                <w:sz w:val="14"/>
              </w:rPr>
              <w:t>Conversational analysis</w:t>
            </w:r>
          </w:p>
        </w:tc>
        <w:tc>
          <w:tcPr>
            <w:tcW w:type="dxa" w:w="4680"/>
            <w:tcMar>
              <w:top w:w="90" w:type="dxa"/>
              <w:start w:w="110" w:type="dxa"/>
              <w:bottom w:w="90" w:type="dxa"/>
              <w:end w:w="110" w:type="dxa"/>
            </w:tcMar>
            <w:vAlign w:val="center"/>
          </w:tcPr>
          <w:p>
            <w:pPr>
              <w:spacing w:after="0"/>
            </w:pPr>
            <w:r>
              <w:rPr>
                <w:color w:val="243447"/>
                <w:sz w:val="14"/>
              </w:rPr>
              <w:t>Answers questions across certified semantic metrics</w:t>
            </w:r>
          </w:p>
        </w:tc>
        <w:tc>
          <w:tcPr>
            <w:tcW w:type="dxa" w:w="3888"/>
            <w:tcMar>
              <w:top w:w="90" w:type="dxa"/>
              <w:start w:w="110" w:type="dxa"/>
              <w:bottom w:w="90" w:type="dxa"/>
              <w:end w:w="110" w:type="dxa"/>
            </w:tcMar>
            <w:vAlign w:val="center"/>
          </w:tcPr>
          <w:p>
            <w:pPr>
              <w:spacing w:after="0"/>
            </w:pPr>
            <w:r>
              <w:rPr>
                <w:color w:val="243447"/>
                <w:sz w:val="14"/>
              </w:rPr>
              <w:t>No raw PII; shows query context and metric definitions</w:t>
            </w:r>
          </w:p>
        </w:tc>
      </w:tr>
    </w:tbl>
    <w:p>
      <w:pPr>
        <w:spacing w:after="0"/>
      </w:pPr>
    </w:p>
    <w:tbl>
      <w:tblPr>
        <w:tblW w:type="auto" w:w="0"/>
        <w:tblLook w:firstColumn="1" w:firstRow="1" w:lastColumn="0" w:lastRow="0" w:noHBand="0" w:noVBand="1" w:val="04A0"/>
      </w:tblPr>
      <w:tblGrid>
        <w:gridCol w:w="10166"/>
      </w:tblGrid>
      <w:tr>
        <w:tc>
          <w:tcPr>
            <w:tcW w:type="dxa" w:w="10166"/>
            <w:shd w:fill="FFF2CC"/>
            <w:tcMar>
              <w:top w:w="125" w:type="dxa"/>
              <w:start w:w="145" w:type="dxa"/>
              <w:bottom w:w="125" w:type="dxa"/>
              <w:end w:w="145" w:type="dxa"/>
            </w:tcMar>
          </w:tcPr>
          <w:p>
            <w:pPr>
              <w:spacing w:after="0"/>
            </w:pPr>
            <w:r>
              <w:rPr>
                <w:b/>
                <w:color w:val="17365D"/>
              </w:rPr>
              <w:t xml:space="preserve">AI principle  </w:t>
            </w:r>
            <w:r>
              <w:t>AI should reduce configuration and explanation effort, but it must never invent performance, hide data limitations or convert correlation into causality.</w:t>
            </w:r>
          </w:p>
        </w:tc>
      </w:tr>
    </w:tbl>
    <w:p>
      <w:pPr>
        <w:spacing w:after="0"/>
      </w:pPr>
    </w:p>
    <w:p>
      <w:pPr>
        <w:pStyle w:val="Small"/>
        <w:spacing w:before="40"/>
      </w:pPr>
      <w:r>
        <w:rPr>
          <w:b/>
        </w:rPr>
        <w:t xml:space="preserve">Research basis: </w:t>
      </w:r>
      <w:r>
        <w:t>&lt;File&gt;MarsUnited_RetailMediaReportCardUS_2Q2026_Final.pdf&lt;/File&gt; identifies AI-enabled audience building, insight reports, performance reports and media optimization as emerging capabilities. The ideal NIQ implementation should focus first on governed insight and workflow automation.</w:t>
      </w:r>
    </w:p>
    <w:p>
      <w:r>
        <w:br w:type="page"/>
      </w:r>
    </w:p>
    <w:p>
      <w:pPr>
        <w:pStyle w:val="Heading1"/>
        <w:keepNext/>
      </w:pPr>
      <w:r>
        <w:t>18. Recommended MVP</w:t>
      </w:r>
    </w:p>
    <w:p>
      <w:pPr>
        <w:pStyle w:val="Heading2"/>
        <w:keepNext/>
      </w:pPr>
      <w:r>
        <w:t>18.1 MVP target</w:t>
      </w:r>
    </w:p>
    <w:tbl>
      <w:tblPr>
        <w:tblW w:type="auto" w:w="0"/>
        <w:tblLook w:firstColumn="1" w:firstRow="1" w:lastColumn="0" w:lastRow="0" w:noHBand="0" w:noVBand="1" w:val="04A0"/>
      </w:tblPr>
      <w:tblGrid>
        <w:gridCol w:w="10166"/>
      </w:tblGrid>
      <w:tr>
        <w:tc>
          <w:tcPr>
            <w:tcW w:type="dxa" w:w="10166"/>
            <w:shd w:fill="E2F0D9"/>
            <w:tcMar>
              <w:top w:w="125" w:type="dxa"/>
              <w:start w:w="145" w:type="dxa"/>
              <w:bottom w:w="125" w:type="dxa"/>
              <w:end w:w="145" w:type="dxa"/>
            </w:tcMar>
          </w:tcPr>
          <w:p>
            <w:pPr>
              <w:spacing w:after="0"/>
            </w:pPr>
            <w:r>
              <w:rPr>
                <w:b/>
                <w:color w:val="17365D"/>
              </w:rPr>
              <w:t xml:space="preserve">MVP  </w:t>
            </w:r>
            <w:r>
              <w:t>A retailer-embedded, addressable-channel closed-loop measurement workspace that delivers campaign lineage, audience funnel, conversion/attribution, transparent ROAS, deterministic product-level outcomes, experiment readiness and certified shareable reports.</w:t>
            </w:r>
          </w:p>
        </w:tc>
      </w:tr>
    </w:tbl>
    <w:p>
      <w:pPr>
        <w:spacing w:after="0"/>
      </w:pPr>
    </w:p>
    <w:p>
      <w:pPr>
        <w:pStyle w:val="Heading2"/>
        <w:keepNext/>
      </w:pPr>
      <w:r>
        <w:t>18.2 MVP must have</w:t>
      </w:r>
    </w:p>
    <w:p>
      <w:pPr>
        <w:pStyle w:val="ListBullet"/>
        <w:spacing w:after="50"/>
      </w:pPr>
      <w:r>
        <w:t>Advertiser initiative plus channel campaign registry</w:t>
      </w:r>
    </w:p>
    <w:p>
      <w:pPr>
        <w:pStyle w:val="ListBullet"/>
        <w:spacing w:after="50"/>
      </w:pPr>
      <w:r>
        <w:t>Campaign intake and measurement readiness checklist</w:t>
      </w:r>
    </w:p>
    <w:p>
      <w:pPr>
        <w:pStyle w:val="ListBullet"/>
        <w:spacing w:after="50"/>
      </w:pPr>
      <w:r>
        <w:t>Audience version and export lineage</w:t>
      </w:r>
    </w:p>
    <w:p>
      <w:pPr>
        <w:pStyle w:val="ListBullet"/>
        <w:spacing w:after="50"/>
      </w:pPr>
      <w:r>
        <w:t>Built/pushed/matched/exposed/measured funnel</w:t>
      </w:r>
    </w:p>
    <w:p>
      <w:pPr>
        <w:pStyle w:val="ListBullet"/>
        <w:spacing w:after="50"/>
      </w:pPr>
      <w:r>
        <w:t>Campaign/ad group/creative hierarchy</w:t>
      </w:r>
    </w:p>
    <w:p>
      <w:pPr>
        <w:pStyle w:val="ListBullet"/>
        <w:spacing w:after="50"/>
      </w:pPr>
      <w:r>
        <w:t>Creative/campaign to promoted-SKU mapping</w:t>
      </w:r>
    </w:p>
    <w:p>
      <w:pPr>
        <w:pStyle w:val="ListBullet"/>
        <w:spacing w:after="50"/>
      </w:pPr>
      <w:r>
        <w:t>Shopper-level exposure ingestion where available</w:t>
      </w:r>
    </w:p>
    <w:p>
      <w:pPr>
        <w:pStyle w:val="ListBullet"/>
        <w:spacing w:after="50"/>
      </w:pPr>
      <w:r>
        <w:t>Transaction linkage and configurable attribution</w:t>
      </w:r>
    </w:p>
    <w:p>
      <w:pPr>
        <w:pStyle w:val="ListBullet"/>
        <w:spacing w:after="50"/>
      </w:pPr>
      <w:r>
        <w:t>Advertised SKU, brand halo and category halo separation</w:t>
      </w:r>
    </w:p>
    <w:p>
      <w:pPr>
        <w:pStyle w:val="ListBullet"/>
        <w:spacing w:after="50"/>
      </w:pPr>
      <w:r>
        <w:t>Attributed buyers, sales, units, trips, conversion and ROAS</w:t>
      </w:r>
    </w:p>
    <w:p>
      <w:pPr>
        <w:pStyle w:val="ListBullet"/>
        <w:spacing w:after="50"/>
      </w:pPr>
      <w:r>
        <w:t>New-to-brand with explicit history</w:t>
      </w:r>
    </w:p>
    <w:p>
      <w:pPr>
        <w:pStyle w:val="ListBullet"/>
        <w:spacing w:after="50"/>
      </w:pPr>
      <w:r>
        <w:t>Audience and creative-level reporting</w:t>
      </w:r>
    </w:p>
    <w:p>
      <w:pPr>
        <w:pStyle w:val="ListBullet"/>
        <w:spacing w:after="50"/>
      </w:pPr>
      <w:r>
        <w:t>Data freshness, completeness and coverage diagnostics</w:t>
      </w:r>
    </w:p>
    <w:p>
      <w:pPr>
        <w:pStyle w:val="ListBullet"/>
        <w:spacing w:after="50"/>
      </w:pPr>
      <w:r>
        <w:t>Methodology drawer and metric registry</w:t>
      </w:r>
    </w:p>
    <w:p>
      <w:pPr>
        <w:pStyle w:val="ListBullet"/>
        <w:spacing w:after="50"/>
      </w:pPr>
      <w:r>
        <w:t>Reusable executive and analyst report templates</w:t>
      </w:r>
    </w:p>
    <w:p>
      <w:pPr>
        <w:pStyle w:val="ListBullet"/>
        <w:spacing w:after="50"/>
      </w:pPr>
      <w:r>
        <w:t>Export/API of governed aggregates</w:t>
      </w:r>
    </w:p>
    <w:p>
      <w:pPr>
        <w:pStyle w:val="ListBullet"/>
        <w:spacing w:after="50"/>
      </w:pPr>
      <w:r>
        <w:t>Role-based access and audit</w:t>
      </w:r>
    </w:p>
    <w:p>
      <w:pPr>
        <w:pStyle w:val="Heading2"/>
        <w:keepNext/>
      </w:pPr>
      <w:r>
        <w:t>18.3 MVP incrementality pilot</w:t>
      </w:r>
    </w:p>
    <w:p>
      <w:pPr>
        <w:pStyle w:val="ListBullet"/>
        <w:spacing w:after="50"/>
      </w:pPr>
      <w:r>
        <w:t>One approved design for one or two cooperative channels</w:t>
      </w:r>
    </w:p>
    <w:p>
      <w:pPr>
        <w:pStyle w:val="ListBullet"/>
        <w:spacing w:after="50"/>
      </w:pPr>
      <w:r>
        <w:t>Power calculator and control assignment</w:t>
      </w:r>
    </w:p>
    <w:p>
      <w:pPr>
        <w:pStyle w:val="ListBullet"/>
        <w:spacing w:after="50"/>
      </w:pPr>
      <w:r>
        <w:t>Balance, leakage and confidence diagnostics</w:t>
      </w:r>
    </w:p>
    <w:p>
      <w:pPr>
        <w:pStyle w:val="ListBullet"/>
        <w:spacing w:after="50"/>
      </w:pPr>
      <w:r>
        <w:t>Incremental sales, lift and iROAS with certification status</w:t>
      </w:r>
    </w:p>
    <w:p>
      <w:pPr>
        <w:pStyle w:val="ListBullet"/>
        <w:spacing w:after="50"/>
      </w:pPr>
      <w:r>
        <w:t>No unsupported cross-channel incrementality claim</w:t>
      </w:r>
    </w:p>
    <w:p>
      <w:pPr>
        <w:pStyle w:val="Heading2"/>
        <w:keepNext/>
      </w:pPr>
      <w:r>
        <w:t>18.4 Explicitly defer</w:t>
      </w:r>
    </w:p>
    <w:p>
      <w:pPr>
        <w:pStyle w:val="ListBullet"/>
        <w:spacing w:after="50"/>
      </w:pPr>
      <w:r>
        <w:t>Universal cross-RMN incrementality</w:t>
      </w:r>
    </w:p>
    <w:p>
      <w:pPr>
        <w:pStyle w:val="ListBullet"/>
        <w:spacing w:after="50"/>
      </w:pPr>
      <w:r>
        <w:t>Full DSP/SSP/OMS and billing</w:t>
      </w:r>
    </w:p>
    <w:p>
      <w:pPr>
        <w:pStyle w:val="ListBullet"/>
        <w:spacing w:after="50"/>
      </w:pPr>
      <w:r>
        <w:t>Automated budget bidding across platforms</w:t>
      </w:r>
    </w:p>
    <w:p>
      <w:pPr>
        <w:pStyle w:val="ListBullet"/>
        <w:spacing w:after="50"/>
      </w:pPr>
      <w:r>
        <w:t>Universal person-level identity graph</w:t>
      </w:r>
    </w:p>
    <w:p>
      <w:pPr>
        <w:pStyle w:val="ListBullet"/>
        <w:spacing w:after="50"/>
      </w:pPr>
      <w:r>
        <w:t>Unlimited self-service BI</w:t>
      </w:r>
    </w:p>
    <w:p>
      <w:pPr>
        <w:pStyle w:val="ListBullet"/>
        <w:spacing w:after="50"/>
      </w:pPr>
      <w:r>
        <w:t>Deep third-party audience marketplace</w:t>
      </w:r>
    </w:p>
    <w:p>
      <w:pPr>
        <w:pStyle w:val="ListBullet"/>
        <w:spacing w:after="50"/>
      </w:pPr>
      <w:r>
        <w:t>Black-box AI optimization</w:t>
      </w:r>
    </w:p>
    <w:p>
      <w:r>
        <w:br w:type="page"/>
      </w:r>
    </w:p>
    <w:p>
      <w:pPr>
        <w:pStyle w:val="Heading1"/>
        <w:keepNext/>
      </w:pPr>
      <w:r>
        <w:t>19. Phased roadmap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7365D"/>
            <w:tcMar>
              <w:top w:w="100" w:type="dxa"/>
              <w:start w:w="110" w:type="dxa"/>
              <w:bottom w:w="100" w:type="dxa"/>
              <w:end w:w="110" w:type="dxa"/>
            </w:tcMar>
            <w:vAlign w:val="center"/>
          </w:tcPr>
          <w:p>
            <w:pPr>
              <w:jc w:val="center"/>
            </w:pPr>
            <w:r>
              <w:rPr>
                <w:b/>
                <w:color w:val="FFFFFF"/>
                <w:sz w:val="14"/>
              </w:rPr>
              <w:t>Phase</w:t>
            </w:r>
          </w:p>
        </w:tc>
        <w:tc>
          <w:tcPr>
            <w:tcW w:type="dxa" w:w="3240"/>
            <w:shd w:fill="17365D"/>
            <w:tcMar>
              <w:top w:w="100" w:type="dxa"/>
              <w:start w:w="110" w:type="dxa"/>
              <w:bottom w:w="100" w:type="dxa"/>
              <w:end w:w="110" w:type="dxa"/>
            </w:tcMar>
            <w:vAlign w:val="center"/>
          </w:tcPr>
          <w:p>
            <w:pPr>
              <w:jc w:val="center"/>
            </w:pPr>
            <w:r>
              <w:rPr>
                <w:b/>
                <w:color w:val="FFFFFF"/>
                <w:sz w:val="14"/>
              </w:rPr>
              <w:t>Outcome</w:t>
            </w:r>
          </w:p>
        </w:tc>
        <w:tc>
          <w:tcPr>
            <w:tcW w:type="dxa" w:w="5544"/>
            <w:shd w:fill="17365D"/>
            <w:tcMar>
              <w:top w:w="100" w:type="dxa"/>
              <w:start w:w="110" w:type="dxa"/>
              <w:bottom w:w="100" w:type="dxa"/>
              <w:end w:w="110" w:type="dxa"/>
            </w:tcMar>
            <w:vAlign w:val="center"/>
          </w:tcPr>
          <w:p>
            <w:pPr>
              <w:jc w:val="center"/>
            </w:pPr>
            <w:r>
              <w:rPr>
                <w:b/>
                <w:color w:val="FFFFFF"/>
                <w:sz w:val="14"/>
              </w:rPr>
              <w:t>Key capabilities</w:t>
            </w:r>
          </w:p>
        </w:tc>
      </w:tr>
      <w:tr>
        <w:trPr>
          <w:cantSplit/>
        </w:trPr>
        <w:tc>
          <w:tcPr>
            <w:tcW w:type="dxa" w:w="1944"/>
            <w:tcMar>
              <w:top w:w="90" w:type="dxa"/>
              <w:start w:w="110" w:type="dxa"/>
              <w:bottom w:w="90" w:type="dxa"/>
              <w:end w:w="110" w:type="dxa"/>
            </w:tcMar>
            <w:vAlign w:val="center"/>
          </w:tcPr>
          <w:p>
            <w:pPr>
              <w:spacing w:after="0"/>
              <w:jc w:val="center"/>
            </w:pPr>
            <w:r>
              <w:rPr>
                <w:color w:val="243447"/>
                <w:sz w:val="14"/>
              </w:rPr>
              <w:t>0. Foundation</w:t>
            </w:r>
          </w:p>
        </w:tc>
        <w:tc>
          <w:tcPr>
            <w:tcW w:type="dxa" w:w="3240"/>
            <w:tcMar>
              <w:top w:w="90" w:type="dxa"/>
              <w:start w:w="110" w:type="dxa"/>
              <w:bottom w:w="90" w:type="dxa"/>
              <w:end w:w="110" w:type="dxa"/>
            </w:tcMar>
            <w:vAlign w:val="center"/>
          </w:tcPr>
          <w:p>
            <w:pPr>
              <w:spacing w:after="0"/>
            </w:pPr>
            <w:r>
              <w:rPr>
                <w:color w:val="243447"/>
                <w:sz w:val="14"/>
              </w:rPr>
              <w:t>Data and methodology can be trusted</w:t>
            </w:r>
          </w:p>
        </w:tc>
        <w:tc>
          <w:tcPr>
            <w:tcW w:type="dxa" w:w="5544"/>
            <w:tcMar>
              <w:top w:w="90" w:type="dxa"/>
              <w:start w:w="110" w:type="dxa"/>
              <w:bottom w:w="90" w:type="dxa"/>
              <w:end w:w="110" w:type="dxa"/>
            </w:tcMar>
            <w:vAlign w:val="center"/>
          </w:tcPr>
          <w:p>
            <w:pPr>
              <w:spacing w:after="0"/>
            </w:pPr>
            <w:r>
              <w:rPr>
                <w:color w:val="243447"/>
                <w:sz w:val="14"/>
              </w:rPr>
              <w:t>Canonical model; product taxonomy; connectors; metric registry; privacy deployment; quality console</w:t>
            </w:r>
          </w:p>
        </w:tc>
      </w:tr>
      <w:tr>
        <w:trPr>
          <w:cantSplit/>
        </w:trPr>
        <w:tc>
          <w:tcPr>
            <w:tcW w:type="dxa" w:w="1944"/>
            <w:tcMar>
              <w:top w:w="90" w:type="dxa"/>
              <w:start w:w="110" w:type="dxa"/>
              <w:bottom w:w="90" w:type="dxa"/>
              <w:end w:w="110" w:type="dxa"/>
            </w:tcMar>
            <w:vAlign w:val="center"/>
            <w:shd w:fill="F7F9FC"/>
          </w:tcPr>
          <w:p>
            <w:pPr>
              <w:spacing w:after="0"/>
            </w:pPr>
            <w:r>
              <w:rPr>
                <w:color w:val="243447"/>
                <w:sz w:val="14"/>
              </w:rPr>
              <w:t>1. Closed-loop MVP</w:t>
            </w:r>
          </w:p>
        </w:tc>
        <w:tc>
          <w:tcPr>
            <w:tcW w:type="dxa" w:w="3240"/>
            <w:tcMar>
              <w:top w:w="90" w:type="dxa"/>
              <w:start w:w="110" w:type="dxa"/>
              <w:bottom w:w="90" w:type="dxa"/>
              <w:end w:w="110" w:type="dxa"/>
            </w:tcMar>
            <w:vAlign w:val="center"/>
            <w:shd w:fill="F7F9FC"/>
          </w:tcPr>
          <w:p>
            <w:pPr>
              <w:spacing w:after="0"/>
            </w:pPr>
            <w:r>
              <w:rPr>
                <w:color w:val="243447"/>
                <w:sz w:val="14"/>
              </w:rPr>
              <w:t>Addressable campaigns measured quickly and transparently</w:t>
            </w:r>
          </w:p>
        </w:tc>
        <w:tc>
          <w:tcPr>
            <w:tcW w:type="dxa" w:w="5544"/>
            <w:tcMar>
              <w:top w:w="90" w:type="dxa"/>
              <w:start w:w="110" w:type="dxa"/>
              <w:bottom w:w="90" w:type="dxa"/>
              <w:end w:w="110" w:type="dxa"/>
            </w:tcMar>
            <w:vAlign w:val="center"/>
            <w:shd w:fill="F7F9FC"/>
          </w:tcPr>
          <w:p>
            <w:pPr>
              <w:spacing w:after="0"/>
            </w:pPr>
            <w:r>
              <w:rPr>
                <w:color w:val="243447"/>
                <w:sz w:val="14"/>
              </w:rPr>
              <w:t>Campaign workspace; funnel; product mapping; attribution; ROAS; new buyers; reports</w:t>
            </w:r>
          </w:p>
        </w:tc>
      </w:tr>
      <w:tr>
        <w:trPr>
          <w:cantSplit/>
        </w:trPr>
        <w:tc>
          <w:tcPr>
            <w:tcW w:type="dxa" w:w="1944"/>
            <w:tcMar>
              <w:top w:w="90" w:type="dxa"/>
              <w:start w:w="110" w:type="dxa"/>
              <w:bottom w:w="90" w:type="dxa"/>
              <w:end w:w="110" w:type="dxa"/>
            </w:tcMar>
            <w:vAlign w:val="center"/>
          </w:tcPr>
          <w:p>
            <w:pPr>
              <w:spacing w:after="0"/>
            </w:pPr>
            <w:r>
              <w:rPr>
                <w:color w:val="243447"/>
                <w:sz w:val="14"/>
              </w:rPr>
              <w:t>2. Incrementality pilot</w:t>
            </w:r>
          </w:p>
        </w:tc>
        <w:tc>
          <w:tcPr>
            <w:tcW w:type="dxa" w:w="3240"/>
            <w:tcMar>
              <w:top w:w="90" w:type="dxa"/>
              <w:start w:w="110" w:type="dxa"/>
              <w:bottom w:w="90" w:type="dxa"/>
              <w:end w:w="110" w:type="dxa"/>
            </w:tcMar>
            <w:vAlign w:val="center"/>
          </w:tcPr>
          <w:p>
            <w:pPr>
              <w:spacing w:after="0"/>
            </w:pPr>
            <w:r>
              <w:rPr>
                <w:color w:val="243447"/>
                <w:sz w:val="14"/>
              </w:rPr>
              <w:t>Causal claims for selected campaigns</w:t>
            </w:r>
          </w:p>
        </w:tc>
        <w:tc>
          <w:tcPr>
            <w:tcW w:type="dxa" w:w="5544"/>
            <w:tcMar>
              <w:top w:w="90" w:type="dxa"/>
              <w:start w:w="110" w:type="dxa"/>
              <w:bottom w:w="90" w:type="dxa"/>
              <w:end w:w="110" w:type="dxa"/>
            </w:tcMar>
            <w:vAlign w:val="center"/>
          </w:tcPr>
          <w:p>
            <w:pPr>
              <w:spacing w:after="0"/>
            </w:pPr>
            <w:r>
              <w:rPr>
                <w:color w:val="243447"/>
                <w:sz w:val="14"/>
              </w:rPr>
              <w:t>Experiment design; power; randomization; balance; leakage; iROAS; certification</w:t>
            </w:r>
          </w:p>
        </w:tc>
      </w:tr>
      <w:tr>
        <w:trPr>
          <w:cantSplit/>
        </w:trPr>
        <w:tc>
          <w:tcPr>
            <w:tcW w:type="dxa" w:w="1944"/>
            <w:tcMar>
              <w:top w:w="90" w:type="dxa"/>
              <w:start w:w="110" w:type="dxa"/>
              <w:bottom w:w="90" w:type="dxa"/>
              <w:end w:w="110" w:type="dxa"/>
            </w:tcMar>
            <w:vAlign w:val="center"/>
            <w:shd w:fill="F7F9FC"/>
          </w:tcPr>
          <w:p>
            <w:pPr>
              <w:spacing w:after="0"/>
            </w:pPr>
            <w:r>
              <w:rPr>
                <w:color w:val="243447"/>
                <w:sz w:val="14"/>
              </w:rPr>
              <w:t>3. Planning and learning loop</w:t>
            </w:r>
          </w:p>
        </w:tc>
        <w:tc>
          <w:tcPr>
            <w:tcW w:type="dxa" w:w="3240"/>
            <w:tcMar>
              <w:top w:w="90" w:type="dxa"/>
              <w:start w:w="110" w:type="dxa"/>
              <w:bottom w:w="90" w:type="dxa"/>
              <w:end w:w="110" w:type="dxa"/>
            </w:tcMar>
            <w:vAlign w:val="center"/>
            <w:shd w:fill="F7F9FC"/>
          </w:tcPr>
          <w:p>
            <w:pPr>
              <w:spacing w:after="0"/>
            </w:pPr>
            <w:r>
              <w:rPr>
                <w:color w:val="243447"/>
                <w:sz w:val="14"/>
              </w:rPr>
              <w:t>Results improve future plans</w:t>
            </w:r>
          </w:p>
        </w:tc>
        <w:tc>
          <w:tcPr>
            <w:tcW w:type="dxa" w:w="5544"/>
            <w:tcMar>
              <w:top w:w="90" w:type="dxa"/>
              <w:start w:w="110" w:type="dxa"/>
              <w:bottom w:w="90" w:type="dxa"/>
              <w:end w:w="110" w:type="dxa"/>
            </w:tcMar>
            <w:vAlign w:val="center"/>
            <w:shd w:fill="F7F9FC"/>
          </w:tcPr>
          <w:p>
            <w:pPr>
              <w:spacing w:after="0"/>
            </w:pPr>
            <w:r>
              <w:rPr>
                <w:color w:val="243447"/>
                <w:sz w:val="14"/>
              </w:rPr>
              <w:t>Opportunity insights; benchmark norms; reusable audiences; forecast ranges; next-test recommendations</w:t>
            </w:r>
          </w:p>
        </w:tc>
      </w:tr>
      <w:tr>
        <w:trPr>
          <w:cantSplit/>
        </w:trPr>
        <w:tc>
          <w:tcPr>
            <w:tcW w:type="dxa" w:w="1944"/>
            <w:tcMar>
              <w:top w:w="90" w:type="dxa"/>
              <w:start w:w="110" w:type="dxa"/>
              <w:bottom w:w="90" w:type="dxa"/>
              <w:end w:w="110" w:type="dxa"/>
            </w:tcMar>
            <w:vAlign w:val="center"/>
          </w:tcPr>
          <w:p>
            <w:pPr>
              <w:spacing w:after="0"/>
            </w:pPr>
            <w:r>
              <w:rPr>
                <w:color w:val="243447"/>
                <w:sz w:val="14"/>
              </w:rPr>
              <w:t>4. Omnichannel expansion</w:t>
            </w:r>
          </w:p>
        </w:tc>
        <w:tc>
          <w:tcPr>
            <w:tcW w:type="dxa" w:w="3240"/>
            <w:tcMar>
              <w:top w:w="90" w:type="dxa"/>
              <w:start w:w="110" w:type="dxa"/>
              <w:bottom w:w="90" w:type="dxa"/>
              <w:end w:w="110" w:type="dxa"/>
            </w:tcMar>
            <w:vAlign w:val="center"/>
          </w:tcPr>
          <w:p>
            <w:pPr>
              <w:spacing w:after="0"/>
            </w:pPr>
            <w:r>
              <w:rPr>
                <w:color w:val="243447"/>
                <w:sz w:val="14"/>
              </w:rPr>
              <w:t>More channel types measured appropriately</w:t>
            </w:r>
          </w:p>
        </w:tc>
        <w:tc>
          <w:tcPr>
            <w:tcW w:type="dxa" w:w="5544"/>
            <w:tcMar>
              <w:top w:w="90" w:type="dxa"/>
              <w:start w:w="110" w:type="dxa"/>
              <w:bottom w:w="90" w:type="dxa"/>
              <w:end w:w="110" w:type="dxa"/>
            </w:tcMar>
            <w:vAlign w:val="center"/>
          </w:tcPr>
          <w:p>
            <w:pPr>
              <w:spacing w:after="0"/>
            </w:pPr>
            <w:r>
              <w:rPr>
                <w:color w:val="243447"/>
                <w:sz w:val="14"/>
              </w:rPr>
              <w:t>Store/geo tests; aggregate channels; in-store; follow-up cohorts; MMM export</w:t>
            </w:r>
          </w:p>
        </w:tc>
      </w:tr>
      <w:tr>
        <w:trPr>
          <w:cantSplit/>
        </w:trPr>
        <w:tc>
          <w:tcPr>
            <w:tcW w:type="dxa" w:w="1944"/>
            <w:tcMar>
              <w:top w:w="90" w:type="dxa"/>
              <w:start w:w="110" w:type="dxa"/>
              <w:bottom w:w="90" w:type="dxa"/>
              <w:end w:w="110" w:type="dxa"/>
            </w:tcMar>
            <w:vAlign w:val="center"/>
            <w:shd w:fill="F7F9FC"/>
          </w:tcPr>
          <w:p>
            <w:pPr>
              <w:spacing w:after="0"/>
            </w:pPr>
            <w:r>
              <w:rPr>
                <w:color w:val="243447"/>
                <w:sz w:val="14"/>
              </w:rPr>
              <w:t>5. Portfolio and cross-RMN</w:t>
            </w:r>
          </w:p>
        </w:tc>
        <w:tc>
          <w:tcPr>
            <w:tcW w:type="dxa" w:w="3240"/>
            <w:tcMar>
              <w:top w:w="90" w:type="dxa"/>
              <w:start w:w="110" w:type="dxa"/>
              <w:bottom w:w="90" w:type="dxa"/>
              <w:end w:w="110" w:type="dxa"/>
            </w:tcMar>
            <w:vAlign w:val="center"/>
            <w:shd w:fill="F7F9FC"/>
          </w:tcPr>
          <w:p>
            <w:pPr>
              <w:spacing w:after="0"/>
            </w:pPr>
            <w:r>
              <w:rPr>
                <w:color w:val="243447"/>
                <w:sz w:val="14"/>
              </w:rPr>
              <w:t>Normalized advertiser portfolio view</w:t>
            </w:r>
          </w:p>
        </w:tc>
        <w:tc>
          <w:tcPr>
            <w:tcW w:type="dxa" w:w="5544"/>
            <w:tcMar>
              <w:top w:w="90" w:type="dxa"/>
              <w:start w:w="110" w:type="dxa"/>
              <w:bottom w:w="90" w:type="dxa"/>
              <w:end w:w="110" w:type="dxa"/>
            </w:tcMar>
            <w:vAlign w:val="center"/>
            <w:shd w:fill="F7F9FC"/>
          </w:tcPr>
          <w:p>
            <w:pPr>
              <w:spacing w:after="0"/>
            </w:pPr>
            <w:r>
              <w:rPr>
                <w:color w:val="243447"/>
                <w:sz w:val="14"/>
              </w:rPr>
              <w:t>Metric contracts; cross-retailer benchmarks; rest-of-market; certified comparability</w:t>
            </w:r>
          </w:p>
        </w:tc>
      </w:tr>
      <w:tr>
        <w:trPr>
          <w:cantSplit/>
        </w:trPr>
        <w:tc>
          <w:tcPr>
            <w:tcW w:type="dxa" w:w="1944"/>
            <w:tcMar>
              <w:top w:w="90" w:type="dxa"/>
              <w:start w:w="110" w:type="dxa"/>
              <w:bottom w:w="90" w:type="dxa"/>
              <w:end w:w="110" w:type="dxa"/>
            </w:tcMar>
            <w:vAlign w:val="center"/>
          </w:tcPr>
          <w:p>
            <w:pPr>
              <w:spacing w:after="0"/>
            </w:pPr>
            <w:r>
              <w:rPr>
                <w:color w:val="243447"/>
                <w:sz w:val="14"/>
              </w:rPr>
              <w:t>6. Agentic workspace</w:t>
            </w:r>
          </w:p>
        </w:tc>
        <w:tc>
          <w:tcPr>
            <w:tcW w:type="dxa" w:w="3240"/>
            <w:tcMar>
              <w:top w:w="90" w:type="dxa"/>
              <w:start w:w="110" w:type="dxa"/>
              <w:bottom w:w="90" w:type="dxa"/>
              <w:end w:w="110" w:type="dxa"/>
            </w:tcMar>
            <w:vAlign w:val="center"/>
          </w:tcPr>
          <w:p>
            <w:pPr>
              <w:spacing w:after="0"/>
            </w:pPr>
            <w:r>
              <w:rPr>
                <w:color w:val="243447"/>
                <w:sz w:val="14"/>
              </w:rPr>
              <w:t>Faster setup, analysis and sharing</w:t>
            </w:r>
          </w:p>
        </w:tc>
        <w:tc>
          <w:tcPr>
            <w:tcW w:type="dxa" w:w="5544"/>
            <w:tcMar>
              <w:top w:w="90" w:type="dxa"/>
              <w:start w:w="110" w:type="dxa"/>
              <w:bottom w:w="90" w:type="dxa"/>
              <w:end w:w="110" w:type="dxa"/>
            </w:tcMar>
            <w:vAlign w:val="center"/>
          </w:tcPr>
          <w:p>
            <w:pPr>
              <w:spacing w:after="0"/>
            </w:pPr>
            <w:r>
              <w:rPr>
                <w:color w:val="243447"/>
                <w:sz w:val="14"/>
              </w:rPr>
              <w:t>Brief-to-plan copilot; conversational analysis; report agent; governed recommendations</w:t>
            </w:r>
          </w:p>
        </w:tc>
      </w:tr>
    </w:tbl>
    <w:p>
      <w:pPr>
        <w:spacing w:after="0"/>
      </w:pPr>
    </w:p>
    <w:p>
      <w:pPr>
        <w:pStyle w:val="Heading2"/>
        <w:keepNext/>
      </w:pPr>
      <w:r>
        <w:t>19.1 Sequencing gates</w:t>
      </w:r>
    </w:p>
    <w:p>
      <w:pPr>
        <w:pStyle w:val="ListBullet"/>
        <w:spacing w:after="50"/>
      </w:pPr>
      <w:r>
        <w:t>Do not start incrementality production before one end-to-end campaign can be reconciled from exposure to transaction.</w:t>
      </w:r>
    </w:p>
    <w:p>
      <w:pPr>
        <w:pStyle w:val="ListBullet"/>
        <w:spacing w:after="50"/>
      </w:pPr>
      <w:r>
        <w:t>Do not promise cross-RMN comparability before the metric-contract registry can show differences.</w:t>
      </w:r>
    </w:p>
    <w:p>
      <w:pPr>
        <w:pStyle w:val="ListBullet"/>
        <w:spacing w:after="50"/>
      </w:pPr>
      <w:r>
        <w:t>Do not add optimization recommendations before campaign objectives and outcome definitions are structured.</w:t>
      </w:r>
    </w:p>
    <w:p>
      <w:pPr>
        <w:pStyle w:val="ListBullet"/>
        <w:spacing w:after="50"/>
      </w:pPr>
      <w:r>
        <w:t>Do not scale to many channels before capability tiers and data-quality gates are operational.</w:t>
      </w:r>
    </w:p>
    <w:p>
      <w:r>
        <w:br w:type="page"/>
      </w:r>
    </w:p>
    <w:p>
      <w:pPr>
        <w:pStyle w:val="Heading1"/>
        <w:keepNext/>
      </w:pPr>
      <w:r>
        <w:t>20. Product acceptance criteria and success measures</w:t>
      </w:r>
    </w:p>
    <w:p>
      <w:pPr>
        <w:pStyle w:val="Heading2"/>
        <w:keepNext/>
      </w:pPr>
      <w:r>
        <w:t>20.1 MVP acceptance</w:t>
      </w:r>
    </w:p>
    <w:p>
      <w:pPr>
        <w:pStyle w:val="ListBullet"/>
        <w:spacing w:after="50"/>
      </w:pPr>
      <w:r>
        <w:t>A user can create a multi-channel advertiser initiative with channel-specific campaign records.</w:t>
      </w:r>
    </w:p>
    <w:p>
      <w:pPr>
        <w:pStyle w:val="ListBullet"/>
        <w:spacing w:after="50"/>
      </w:pPr>
      <w:r>
        <w:t>The system identifies missing inputs before launch and assigns a measurement tier.</w:t>
      </w:r>
    </w:p>
    <w:p>
      <w:pPr>
        <w:pStyle w:val="ListBullet"/>
        <w:spacing w:after="50"/>
      </w:pPr>
      <w:r>
        <w:t>Audience counts reconcile from exported batch through matching and exposure.</w:t>
      </w:r>
    </w:p>
    <w:p>
      <w:pPr>
        <w:pStyle w:val="ListBullet"/>
        <w:spacing w:after="50"/>
      </w:pPr>
      <w:r>
        <w:t>Every exposure used in attribution maps to a valid campaign, creative and product scope.</w:t>
      </w:r>
    </w:p>
    <w:p>
      <w:pPr>
        <w:pStyle w:val="ListBullet"/>
        <w:spacing w:after="50"/>
      </w:pPr>
      <w:r>
        <w:t>The system calculates attributed outcomes under a versioned rule and separates halo components.</w:t>
      </w:r>
    </w:p>
    <w:p>
      <w:pPr>
        <w:pStyle w:val="ListBullet"/>
        <w:spacing w:after="50"/>
      </w:pPr>
      <w:r>
        <w:t>The executive view and analyst view use the same governed metric result.</w:t>
      </w:r>
    </w:p>
    <w:p>
      <w:pPr>
        <w:pStyle w:val="ListBullet"/>
        <w:spacing w:after="50"/>
      </w:pPr>
      <w:r>
        <w:t>An advertiser report can be shared without exposing raw shopper identifiers.</w:t>
      </w:r>
    </w:p>
    <w:p>
      <w:pPr>
        <w:pStyle w:val="ListBullet"/>
        <w:spacing w:after="50"/>
      </w:pPr>
      <w:r>
        <w:t>Any causal KPI is hidden or qualified when experiment gates fail.</w:t>
      </w:r>
    </w:p>
    <w:p>
      <w:pPr>
        <w:pStyle w:val="ListBullet"/>
        <w:spacing w:after="50"/>
      </w:pPr>
      <w:r>
        <w:t>Late data causes a visible versioned restatement.</w:t>
      </w:r>
    </w:p>
    <w:p>
      <w:pPr>
        <w:pStyle w:val="ListBullet"/>
        <w:spacing w:after="50"/>
      </w:pPr>
      <w:r>
        <w:t>A KPI can be traced to source, formula, numerator, denominator and method version.</w:t>
      </w:r>
    </w:p>
    <w:p>
      <w:pPr>
        <w:pStyle w:val="Heading2"/>
        <w:keepNext/>
      </w:pPr>
      <w:r>
        <w:t>20.2 Product success measures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shd w:fill="17365D"/>
            <w:tcMar>
              <w:top w:w="100" w:type="dxa"/>
              <w:start w:w="110" w:type="dxa"/>
              <w:bottom w:w="100" w:type="dxa"/>
              <w:end w:w="110" w:type="dxa"/>
            </w:tcMar>
            <w:vAlign w:val="center"/>
          </w:tcPr>
          <w:p>
            <w:pPr>
              <w:jc w:val="center"/>
            </w:pPr>
            <w:r>
              <w:rPr>
                <w:b/>
                <w:color w:val="FFFFFF"/>
                <w:sz w:val="15"/>
              </w:rPr>
              <w:t>Dimension</w:t>
            </w:r>
          </w:p>
        </w:tc>
        <w:tc>
          <w:tcPr>
            <w:tcW w:type="dxa" w:w="7200"/>
            <w:shd w:fill="17365D"/>
            <w:tcMar>
              <w:top w:w="100" w:type="dxa"/>
              <w:start w:w="110" w:type="dxa"/>
              <w:bottom w:w="100" w:type="dxa"/>
              <w:end w:w="110" w:type="dxa"/>
            </w:tcMar>
            <w:vAlign w:val="center"/>
          </w:tcPr>
          <w:p>
            <w:pPr>
              <w:jc w:val="center"/>
            </w:pPr>
            <w:r>
              <w:rPr>
                <w:b/>
                <w:color w:val="FFFFFF"/>
                <w:sz w:val="15"/>
              </w:rPr>
              <w:t>Measure</w:t>
            </w:r>
          </w:p>
        </w:tc>
      </w:tr>
      <w:tr>
        <w:trPr>
          <w:cantSplit/>
        </w:trPr>
        <w:tc>
          <w:tcPr>
            <w:tcW w:type="dxa" w:w="3240"/>
            <w:tcMar>
              <w:top w:w="90" w:type="dxa"/>
              <w:start w:w="110" w:type="dxa"/>
              <w:bottom w:w="90" w:type="dxa"/>
              <w:end w:w="110" w:type="dxa"/>
            </w:tcMar>
            <w:vAlign w:val="center"/>
          </w:tcPr>
          <w:p>
            <w:pPr>
              <w:spacing w:after="0"/>
              <w:jc w:val="center"/>
            </w:pPr>
            <w:r>
              <w:rPr>
                <w:color w:val="243447"/>
                <w:sz w:val="15"/>
              </w:rPr>
              <w:t>Time to readiness</w:t>
            </w:r>
          </w:p>
        </w:tc>
        <w:tc>
          <w:tcPr>
            <w:tcW w:type="dxa" w:w="7200"/>
            <w:tcMar>
              <w:top w:w="90" w:type="dxa"/>
              <w:start w:w="110" w:type="dxa"/>
              <w:bottom w:w="90" w:type="dxa"/>
              <w:end w:w="110" w:type="dxa"/>
            </w:tcMar>
            <w:vAlign w:val="center"/>
          </w:tcPr>
          <w:p>
            <w:pPr>
              <w:spacing w:after="0"/>
            </w:pPr>
            <w:r>
              <w:rPr>
                <w:color w:val="243447"/>
                <w:sz w:val="15"/>
              </w:rPr>
              <w:t>Median time from campaign intake to measurement-ready</w:t>
            </w:r>
          </w:p>
        </w:tc>
      </w:tr>
      <w:tr>
        <w:trPr>
          <w:cantSplit/>
        </w:trPr>
        <w:tc>
          <w:tcPr>
            <w:tcW w:type="dxa" w:w="3240"/>
            <w:tcMar>
              <w:top w:w="90" w:type="dxa"/>
              <w:start w:w="110" w:type="dxa"/>
              <w:bottom w:w="90" w:type="dxa"/>
              <w:end w:w="110" w:type="dxa"/>
            </w:tcMar>
            <w:vAlign w:val="center"/>
            <w:shd w:fill="F7F9FC"/>
          </w:tcPr>
          <w:p>
            <w:pPr>
              <w:spacing w:after="0"/>
              <w:jc w:val="center"/>
            </w:pPr>
            <w:r>
              <w:rPr>
                <w:color w:val="243447"/>
                <w:sz w:val="15"/>
              </w:rPr>
              <w:t>Time to result</w:t>
            </w:r>
          </w:p>
        </w:tc>
        <w:tc>
          <w:tcPr>
            <w:tcW w:type="dxa" w:w="7200"/>
            <w:tcMar>
              <w:top w:w="90" w:type="dxa"/>
              <w:start w:w="110" w:type="dxa"/>
              <w:bottom w:w="90" w:type="dxa"/>
              <w:end w:w="110" w:type="dxa"/>
            </w:tcMar>
            <w:vAlign w:val="center"/>
            <w:shd w:fill="F7F9FC"/>
          </w:tcPr>
          <w:p>
            <w:pPr>
              <w:spacing w:after="0"/>
            </w:pPr>
            <w:r>
              <w:rPr>
                <w:color w:val="243447"/>
                <w:sz w:val="15"/>
              </w:rPr>
              <w:t>Latency from matured source data to report availability</w:t>
            </w:r>
          </w:p>
        </w:tc>
      </w:tr>
      <w:tr>
        <w:trPr>
          <w:cantSplit/>
        </w:trPr>
        <w:tc>
          <w:tcPr>
            <w:tcW w:type="dxa" w:w="3240"/>
            <w:tcMar>
              <w:top w:w="90" w:type="dxa"/>
              <w:start w:w="110" w:type="dxa"/>
              <w:bottom w:w="90" w:type="dxa"/>
              <w:end w:w="110" w:type="dxa"/>
            </w:tcMar>
            <w:vAlign w:val="center"/>
          </w:tcPr>
          <w:p>
            <w:pPr>
              <w:spacing w:after="0"/>
              <w:jc w:val="center"/>
            </w:pPr>
            <w:r>
              <w:rPr>
                <w:color w:val="243447"/>
                <w:sz w:val="15"/>
              </w:rPr>
              <w:t>Automation</w:t>
            </w:r>
          </w:p>
        </w:tc>
        <w:tc>
          <w:tcPr>
            <w:tcW w:type="dxa" w:w="7200"/>
            <w:tcMar>
              <w:top w:w="90" w:type="dxa"/>
              <w:start w:w="110" w:type="dxa"/>
              <w:bottom w:w="90" w:type="dxa"/>
              <w:end w:w="110" w:type="dxa"/>
            </w:tcMar>
            <w:vAlign w:val="center"/>
          </w:tcPr>
          <w:p>
            <w:pPr>
              <w:spacing w:after="0"/>
            </w:pPr>
            <w:r>
              <w:rPr>
                <w:color w:val="243447"/>
                <w:sz w:val="15"/>
              </w:rPr>
              <w:t>% campaigns requiring no manual data correction</w:t>
            </w:r>
          </w:p>
        </w:tc>
      </w:tr>
      <w:tr>
        <w:trPr>
          <w:cantSplit/>
        </w:trPr>
        <w:tc>
          <w:tcPr>
            <w:tcW w:type="dxa" w:w="3240"/>
            <w:tcMar>
              <w:top w:w="90" w:type="dxa"/>
              <w:start w:w="110" w:type="dxa"/>
              <w:bottom w:w="90" w:type="dxa"/>
              <w:end w:w="110" w:type="dxa"/>
            </w:tcMar>
            <w:vAlign w:val="center"/>
            <w:shd w:fill="F7F9FC"/>
          </w:tcPr>
          <w:p>
            <w:pPr>
              <w:spacing w:after="0"/>
              <w:jc w:val="center"/>
            </w:pPr>
            <w:r>
              <w:rPr>
                <w:color w:val="243447"/>
                <w:sz w:val="15"/>
              </w:rPr>
              <w:t>Coverage</w:t>
            </w:r>
          </w:p>
        </w:tc>
        <w:tc>
          <w:tcPr>
            <w:tcW w:type="dxa" w:w="7200"/>
            <w:tcMar>
              <w:top w:w="90" w:type="dxa"/>
              <w:start w:w="110" w:type="dxa"/>
              <w:bottom w:w="90" w:type="dxa"/>
              <w:end w:w="110" w:type="dxa"/>
            </w:tcMar>
            <w:vAlign w:val="center"/>
            <w:shd w:fill="F7F9FC"/>
          </w:tcPr>
          <w:p>
            <w:pPr>
              <w:spacing w:after="0"/>
            </w:pPr>
            <w:r>
              <w:rPr>
                <w:color w:val="243447"/>
                <w:sz w:val="15"/>
              </w:rPr>
              <w:t>% eligible spend/campaigns with attributed outcomes</w:t>
            </w:r>
          </w:p>
        </w:tc>
      </w:tr>
      <w:tr>
        <w:trPr>
          <w:cantSplit/>
        </w:trPr>
        <w:tc>
          <w:tcPr>
            <w:tcW w:type="dxa" w:w="3240"/>
            <w:tcMar>
              <w:top w:w="90" w:type="dxa"/>
              <w:start w:w="110" w:type="dxa"/>
              <w:bottom w:w="90" w:type="dxa"/>
              <w:end w:w="110" w:type="dxa"/>
            </w:tcMar>
            <w:vAlign w:val="center"/>
          </w:tcPr>
          <w:p>
            <w:pPr>
              <w:spacing w:after="0"/>
              <w:jc w:val="center"/>
            </w:pPr>
            <w:r>
              <w:rPr>
                <w:color w:val="243447"/>
                <w:sz w:val="15"/>
              </w:rPr>
              <w:t>Causal coverage</w:t>
            </w:r>
          </w:p>
        </w:tc>
        <w:tc>
          <w:tcPr>
            <w:tcW w:type="dxa" w:w="7200"/>
            <w:tcMar>
              <w:top w:w="90" w:type="dxa"/>
              <w:start w:w="110" w:type="dxa"/>
              <w:bottom w:w="90" w:type="dxa"/>
              <w:end w:w="110" w:type="dxa"/>
            </w:tcMar>
            <w:vAlign w:val="center"/>
          </w:tcPr>
          <w:p>
            <w:pPr>
              <w:spacing w:after="0"/>
            </w:pPr>
            <w:r>
              <w:rPr>
                <w:color w:val="243447"/>
                <w:sz w:val="15"/>
              </w:rPr>
              <w:t>% eligible campaigns with certified incrementality</w:t>
            </w:r>
          </w:p>
        </w:tc>
      </w:tr>
      <w:tr>
        <w:trPr>
          <w:cantSplit/>
        </w:trPr>
        <w:tc>
          <w:tcPr>
            <w:tcW w:type="dxa" w:w="3240"/>
            <w:tcMar>
              <w:top w:w="90" w:type="dxa"/>
              <w:start w:w="110" w:type="dxa"/>
              <w:bottom w:w="90" w:type="dxa"/>
              <w:end w:w="110" w:type="dxa"/>
            </w:tcMar>
            <w:vAlign w:val="center"/>
            <w:shd w:fill="F7F9FC"/>
          </w:tcPr>
          <w:p>
            <w:pPr>
              <w:spacing w:after="0"/>
              <w:jc w:val="center"/>
            </w:pPr>
            <w:r>
              <w:rPr>
                <w:color w:val="243447"/>
                <w:sz w:val="15"/>
              </w:rPr>
              <w:t>Trust</w:t>
            </w:r>
          </w:p>
        </w:tc>
        <w:tc>
          <w:tcPr>
            <w:tcW w:type="dxa" w:w="7200"/>
            <w:tcMar>
              <w:top w:w="90" w:type="dxa"/>
              <w:start w:w="110" w:type="dxa"/>
              <w:bottom w:w="90" w:type="dxa"/>
              <w:end w:w="110" w:type="dxa"/>
            </w:tcMar>
            <w:vAlign w:val="center"/>
            <w:shd w:fill="F7F9FC"/>
          </w:tcPr>
          <w:p>
            <w:pPr>
              <w:spacing w:after="0"/>
            </w:pPr>
            <w:r>
              <w:rPr>
                <w:color w:val="243447"/>
                <w:sz w:val="15"/>
              </w:rPr>
              <w:t>% reports accepted without methodology dispute; reconciliation variance</w:t>
            </w:r>
          </w:p>
        </w:tc>
      </w:tr>
      <w:tr>
        <w:trPr>
          <w:cantSplit/>
        </w:trPr>
        <w:tc>
          <w:tcPr>
            <w:tcW w:type="dxa" w:w="3240"/>
            <w:tcMar>
              <w:top w:w="90" w:type="dxa"/>
              <w:start w:w="110" w:type="dxa"/>
              <w:bottom w:w="90" w:type="dxa"/>
              <w:end w:w="110" w:type="dxa"/>
            </w:tcMar>
            <w:vAlign w:val="center"/>
          </w:tcPr>
          <w:p>
            <w:pPr>
              <w:spacing w:after="0"/>
              <w:jc w:val="center"/>
            </w:pPr>
            <w:r>
              <w:rPr>
                <w:color w:val="243447"/>
                <w:sz w:val="15"/>
              </w:rPr>
              <w:t>Data quality</w:t>
            </w:r>
          </w:p>
        </w:tc>
        <w:tc>
          <w:tcPr>
            <w:tcW w:type="dxa" w:w="7200"/>
            <w:tcMar>
              <w:top w:w="90" w:type="dxa"/>
              <w:start w:w="110" w:type="dxa"/>
              <w:bottom w:w="90" w:type="dxa"/>
              <w:end w:w="110" w:type="dxa"/>
            </w:tcMar>
            <w:vAlign w:val="center"/>
          </w:tcPr>
          <w:p>
            <w:pPr>
              <w:spacing w:after="0"/>
            </w:pPr>
            <w:r>
              <w:rPr>
                <w:color w:val="243447"/>
                <w:sz w:val="15"/>
              </w:rPr>
              <w:t>Feed SLA attainment; mapping completeness; identity coverage</w:t>
            </w:r>
          </w:p>
        </w:tc>
      </w:tr>
      <w:tr>
        <w:trPr>
          <w:cantSplit/>
        </w:trPr>
        <w:tc>
          <w:tcPr>
            <w:tcW w:type="dxa" w:w="3240"/>
            <w:tcMar>
              <w:top w:w="90" w:type="dxa"/>
              <w:start w:w="110" w:type="dxa"/>
              <w:bottom w:w="90" w:type="dxa"/>
              <w:end w:w="110" w:type="dxa"/>
            </w:tcMar>
            <w:vAlign w:val="center"/>
            <w:shd w:fill="F7F9FC"/>
          </w:tcPr>
          <w:p>
            <w:pPr>
              <w:spacing w:after="0"/>
              <w:jc w:val="center"/>
            </w:pPr>
            <w:r>
              <w:rPr>
                <w:color w:val="243447"/>
                <w:sz w:val="15"/>
              </w:rPr>
              <w:t>Adoption</w:t>
            </w:r>
          </w:p>
        </w:tc>
        <w:tc>
          <w:tcPr>
            <w:tcW w:type="dxa" w:w="7200"/>
            <w:tcMar>
              <w:top w:w="90" w:type="dxa"/>
              <w:start w:w="110" w:type="dxa"/>
              <w:bottom w:w="90" w:type="dxa"/>
              <w:end w:w="110" w:type="dxa"/>
            </w:tcMar>
            <w:vAlign w:val="center"/>
            <w:shd w:fill="F7F9FC"/>
          </w:tcPr>
          <w:p>
            <w:pPr>
              <w:spacing w:after="0"/>
            </w:pPr>
            <w:r>
              <w:rPr>
                <w:color w:val="243447"/>
                <w:sz w:val="15"/>
              </w:rPr>
              <w:t>Active users; self-service reports; saved templates reused</w:t>
            </w:r>
          </w:p>
        </w:tc>
      </w:tr>
      <w:tr>
        <w:trPr>
          <w:cantSplit/>
        </w:trPr>
        <w:tc>
          <w:tcPr>
            <w:tcW w:type="dxa" w:w="3240"/>
            <w:tcMar>
              <w:top w:w="90" w:type="dxa"/>
              <w:start w:w="110" w:type="dxa"/>
              <w:bottom w:w="90" w:type="dxa"/>
              <w:end w:w="110" w:type="dxa"/>
            </w:tcMar>
            <w:vAlign w:val="center"/>
          </w:tcPr>
          <w:p>
            <w:pPr>
              <w:spacing w:after="0"/>
              <w:jc w:val="center"/>
            </w:pPr>
            <w:r>
              <w:rPr>
                <w:color w:val="243447"/>
                <w:sz w:val="15"/>
              </w:rPr>
              <w:t>Commercial</w:t>
            </w:r>
          </w:p>
        </w:tc>
        <w:tc>
          <w:tcPr>
            <w:tcW w:type="dxa" w:w="7200"/>
            <w:tcMar>
              <w:top w:w="90" w:type="dxa"/>
              <w:start w:w="110" w:type="dxa"/>
              <w:bottom w:w="90" w:type="dxa"/>
              <w:end w:w="110" w:type="dxa"/>
            </w:tcMar>
            <w:vAlign w:val="center"/>
          </w:tcPr>
          <w:p>
            <w:pPr>
              <w:spacing w:after="0"/>
            </w:pPr>
            <w:r>
              <w:rPr>
                <w:color w:val="243447"/>
                <w:sz w:val="15"/>
              </w:rPr>
              <w:t>Renewal/upsell usage; measured spend; advertiser satisfaction</w:t>
            </w:r>
          </w:p>
        </w:tc>
      </w:tr>
      <w:tr>
        <w:trPr>
          <w:cantSplit/>
        </w:trPr>
        <w:tc>
          <w:tcPr>
            <w:tcW w:type="dxa" w:w="3240"/>
            <w:tcMar>
              <w:top w:w="90" w:type="dxa"/>
              <w:start w:w="110" w:type="dxa"/>
              <w:bottom w:w="90" w:type="dxa"/>
              <w:end w:w="110" w:type="dxa"/>
            </w:tcMar>
            <w:vAlign w:val="center"/>
            <w:shd w:fill="F7F9FC"/>
          </w:tcPr>
          <w:p>
            <w:pPr>
              <w:spacing w:after="0"/>
              <w:jc w:val="center"/>
            </w:pPr>
            <w:r>
              <w:rPr>
                <w:color w:val="243447"/>
                <w:sz w:val="15"/>
              </w:rPr>
              <w:t>Learning</w:t>
            </w:r>
          </w:p>
        </w:tc>
        <w:tc>
          <w:tcPr>
            <w:tcW w:type="dxa" w:w="7200"/>
            <w:tcMar>
              <w:top w:w="90" w:type="dxa"/>
              <w:start w:w="110" w:type="dxa"/>
              <w:bottom w:w="90" w:type="dxa"/>
              <w:end w:w="110" w:type="dxa"/>
            </w:tcMar>
            <w:vAlign w:val="center"/>
            <w:shd w:fill="F7F9FC"/>
          </w:tcPr>
          <w:p>
            <w:pPr>
              <w:spacing w:after="0"/>
            </w:pPr>
            <w:r>
              <w:rPr>
                <w:color w:val="243447"/>
                <w:sz w:val="15"/>
              </w:rPr>
              <w:t>% campaigns with documented next action and reused audience/test design</w:t>
            </w:r>
          </w:p>
        </w:tc>
      </w:tr>
    </w:tbl>
    <w:p>
      <w:pPr>
        <w:spacing w:after="0"/>
      </w:pPr>
    </w:p>
    <w:p>
      <w:r>
        <w:br w:type="page"/>
      </w:r>
    </w:p>
    <w:p>
      <w:pPr>
        <w:pStyle w:val="Heading1"/>
        <w:keepNext/>
      </w:pPr>
      <w:r>
        <w:t>21. Delivery and commercial model</w:t>
      </w:r>
    </w:p>
    <w:p>
      <w:pPr>
        <w:pStyle w:val="Heading2"/>
        <w:keepNext/>
      </w:pPr>
      <w:r>
        <w:t>21.1 Recommended delivery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shd w:fill="17365D"/>
            <w:tcMar>
              <w:top w:w="100" w:type="dxa"/>
              <w:start w:w="110" w:type="dxa"/>
              <w:bottom w:w="100" w:type="dxa"/>
              <w:end w:w="110" w:type="dxa"/>
            </w:tcMar>
            <w:vAlign w:val="center"/>
          </w:tcPr>
          <w:p>
            <w:pPr>
              <w:jc w:val="center"/>
            </w:pPr>
            <w:r>
              <w:rPr>
                <w:b/>
                <w:color w:val="FFFFFF"/>
                <w:sz w:val="15"/>
              </w:rPr>
              <w:t>Customer type</w:t>
            </w:r>
          </w:p>
        </w:tc>
        <w:tc>
          <w:tcPr>
            <w:tcW w:type="dxa" w:w="7704"/>
            <w:shd w:fill="17365D"/>
            <w:tcMar>
              <w:top w:w="100" w:type="dxa"/>
              <w:start w:w="110" w:type="dxa"/>
              <w:bottom w:w="100" w:type="dxa"/>
              <w:end w:w="110" w:type="dxa"/>
            </w:tcMar>
            <w:vAlign w:val="center"/>
          </w:tcPr>
          <w:p>
            <w:pPr>
              <w:jc w:val="center"/>
            </w:pPr>
            <w:r>
              <w:rPr>
                <w:b/>
                <w:color w:val="FFFFFF"/>
                <w:sz w:val="15"/>
              </w:rPr>
              <w:t>Offer</w:t>
            </w:r>
          </w:p>
        </w:tc>
      </w:tr>
      <w:tr>
        <w:trPr>
          <w:cantSplit/>
        </w:trPr>
        <w:tc>
          <w:tcPr>
            <w:tcW w:type="dxa" w:w="2736"/>
            <w:tcMar>
              <w:top w:w="90" w:type="dxa"/>
              <w:start w:w="110" w:type="dxa"/>
              <w:bottom w:w="90" w:type="dxa"/>
              <w:end w:w="110" w:type="dxa"/>
            </w:tcMar>
            <w:vAlign w:val="center"/>
          </w:tcPr>
          <w:p>
            <w:pPr>
              <w:spacing w:after="0"/>
            </w:pPr>
            <w:r>
              <w:rPr>
                <w:color w:val="243447"/>
                <w:sz w:val="15"/>
              </w:rPr>
              <w:t>Strategic retailer / Unlimitail-like partner</w:t>
            </w:r>
          </w:p>
        </w:tc>
        <w:tc>
          <w:tcPr>
            <w:tcW w:type="dxa" w:w="7704"/>
            <w:tcMar>
              <w:top w:w="90" w:type="dxa"/>
              <w:start w:w="110" w:type="dxa"/>
              <w:bottom w:w="90" w:type="dxa"/>
              <w:end w:w="110" w:type="dxa"/>
            </w:tcMar>
            <w:vAlign w:val="center"/>
          </w:tcPr>
          <w:p>
            <w:pPr>
              <w:spacing w:after="0"/>
            </w:pPr>
            <w:r>
              <w:rPr>
                <w:color w:val="243447"/>
                <w:sz w:val="15"/>
              </w:rPr>
              <w:t>Embedded product module plus implementation, methodology and managed onboarding</w:t>
            </w:r>
          </w:p>
        </w:tc>
      </w:tr>
      <w:tr>
        <w:trPr>
          <w:cantSplit/>
        </w:trPr>
        <w:tc>
          <w:tcPr>
            <w:tcW w:type="dxa" w:w="2736"/>
            <w:tcMar>
              <w:top w:w="90" w:type="dxa"/>
              <w:start w:w="110" w:type="dxa"/>
              <w:bottom w:w="90" w:type="dxa"/>
              <w:end w:w="110" w:type="dxa"/>
            </w:tcMar>
            <w:vAlign w:val="center"/>
            <w:shd w:fill="F7F9FC"/>
          </w:tcPr>
          <w:p>
            <w:pPr>
              <w:spacing w:after="0"/>
              <w:jc w:val="center"/>
            </w:pPr>
            <w:r>
              <w:rPr>
                <w:color w:val="243447"/>
                <w:sz w:val="15"/>
              </w:rPr>
              <w:t>Mid-market RMN</w:t>
            </w:r>
          </w:p>
        </w:tc>
        <w:tc>
          <w:tcPr>
            <w:tcW w:type="dxa" w:w="7704"/>
            <w:tcMar>
              <w:top w:w="90" w:type="dxa"/>
              <w:start w:w="110" w:type="dxa"/>
              <w:bottom w:w="90" w:type="dxa"/>
              <w:end w:w="110" w:type="dxa"/>
            </w:tcMar>
            <w:vAlign w:val="center"/>
            <w:shd w:fill="F7F9FC"/>
          </w:tcPr>
          <w:p>
            <w:pPr>
              <w:spacing w:after="0"/>
            </w:pPr>
            <w:r>
              <w:rPr>
                <w:color w:val="243447"/>
                <w:sz w:val="15"/>
              </w:rPr>
              <w:t>Packaged closed-loop module with connectors, templates and optional managed measurement</w:t>
            </w:r>
          </w:p>
        </w:tc>
      </w:tr>
      <w:tr>
        <w:trPr>
          <w:cantSplit/>
        </w:trPr>
        <w:tc>
          <w:tcPr>
            <w:tcW w:type="dxa" w:w="2736"/>
            <w:tcMar>
              <w:top w:w="90" w:type="dxa"/>
              <w:start w:w="110" w:type="dxa"/>
              <w:bottom w:w="90" w:type="dxa"/>
              <w:end w:w="110" w:type="dxa"/>
            </w:tcMar>
            <w:vAlign w:val="center"/>
          </w:tcPr>
          <w:p>
            <w:pPr>
              <w:spacing w:after="0"/>
              <w:jc w:val="center"/>
            </w:pPr>
            <w:r>
              <w:rPr>
                <w:color w:val="243447"/>
                <w:sz w:val="15"/>
              </w:rPr>
              <w:t>Scale RMN</w:t>
            </w:r>
          </w:p>
        </w:tc>
        <w:tc>
          <w:tcPr>
            <w:tcW w:type="dxa" w:w="7704"/>
            <w:tcMar>
              <w:top w:w="90" w:type="dxa"/>
              <w:start w:w="110" w:type="dxa"/>
              <w:bottom w:w="90" w:type="dxa"/>
              <w:end w:w="110" w:type="dxa"/>
            </w:tcMar>
            <w:vAlign w:val="center"/>
          </w:tcPr>
          <w:p>
            <w:pPr>
              <w:spacing w:after="0"/>
            </w:pPr>
            <w:r>
              <w:rPr>
                <w:color w:val="243447"/>
                <w:sz w:val="15"/>
              </w:rPr>
              <w:t>Bilateral validation, rest-of-market/benchmark augmentation or independent certification, not replacement of their stack</w:t>
            </w:r>
          </w:p>
        </w:tc>
      </w:tr>
      <w:tr>
        <w:trPr>
          <w:cantSplit/>
        </w:trPr>
        <w:tc>
          <w:tcPr>
            <w:tcW w:type="dxa" w:w="2736"/>
            <w:tcMar>
              <w:top w:w="90" w:type="dxa"/>
              <w:start w:w="110" w:type="dxa"/>
              <w:bottom w:w="90" w:type="dxa"/>
              <w:end w:w="110" w:type="dxa"/>
            </w:tcMar>
            <w:vAlign w:val="center"/>
            <w:shd w:fill="F7F9FC"/>
          </w:tcPr>
          <w:p>
            <w:pPr>
              <w:spacing w:after="0"/>
              <w:jc w:val="center"/>
            </w:pPr>
            <w:r>
              <w:rPr>
                <w:color w:val="243447"/>
                <w:sz w:val="15"/>
              </w:rPr>
              <w:t>Advertiser/agency</w:t>
            </w:r>
          </w:p>
        </w:tc>
        <w:tc>
          <w:tcPr>
            <w:tcW w:type="dxa" w:w="7704"/>
            <w:tcMar>
              <w:top w:w="90" w:type="dxa"/>
              <w:start w:w="110" w:type="dxa"/>
              <w:bottom w:w="90" w:type="dxa"/>
              <w:end w:w="110" w:type="dxa"/>
            </w:tcMar>
            <w:vAlign w:val="center"/>
            <w:shd w:fill="F7F9FC"/>
          </w:tcPr>
          <w:p>
            <w:pPr>
              <w:spacing w:after="0"/>
            </w:pPr>
            <w:r>
              <w:rPr>
                <w:color w:val="243447"/>
                <w:sz w:val="15"/>
              </w:rPr>
              <w:t>Shared certified reports, portfolio normalization and benchmarks where retailer permissions permit</w:t>
            </w:r>
          </w:p>
        </w:tc>
      </w:tr>
      <w:tr>
        <w:trPr>
          <w:cantSplit/>
        </w:trPr>
        <w:tc>
          <w:tcPr>
            <w:tcW w:type="dxa" w:w="2736"/>
            <w:tcMar>
              <w:top w:w="90" w:type="dxa"/>
              <w:start w:w="110" w:type="dxa"/>
              <w:bottom w:w="90" w:type="dxa"/>
              <w:end w:w="110" w:type="dxa"/>
            </w:tcMar>
            <w:vAlign w:val="center"/>
          </w:tcPr>
          <w:p>
            <w:pPr>
              <w:spacing w:after="0"/>
            </w:pPr>
            <w:r>
              <w:rPr>
                <w:color w:val="243447"/>
                <w:sz w:val="15"/>
              </w:rPr>
              <w:t>Technology partner</w:t>
            </w:r>
          </w:p>
        </w:tc>
        <w:tc>
          <w:tcPr>
            <w:tcW w:type="dxa" w:w="7704"/>
            <w:tcMar>
              <w:top w:w="90" w:type="dxa"/>
              <w:start w:w="110" w:type="dxa"/>
              <w:bottom w:w="90" w:type="dxa"/>
              <w:end w:w="110" w:type="dxa"/>
            </w:tcMar>
            <w:vAlign w:val="center"/>
          </w:tcPr>
          <w:p>
            <w:pPr>
              <w:spacing w:after="0"/>
            </w:pPr>
            <w:r>
              <w:rPr>
                <w:color w:val="243447"/>
                <w:sz w:val="15"/>
              </w:rPr>
              <w:t>API/embedded measurement outputs into planning and activation tools</w:t>
            </w:r>
          </w:p>
        </w:tc>
      </w:tr>
    </w:tbl>
    <w:p>
      <w:pPr>
        <w:spacing w:after="0"/>
      </w:pPr>
    </w:p>
    <w:p>
      <w:pPr>
        <w:pStyle w:val="Heading2"/>
        <w:keepNext/>
      </w:pPr>
      <w:r>
        <w:t>21.2 Pricing hypotheses to validate</w:t>
      </w:r>
    </w:p>
    <w:p>
      <w:pPr>
        <w:pStyle w:val="ListBullet"/>
        <w:spacing w:after="50"/>
      </w:pPr>
      <w:r>
        <w:t>Base platform fee by retailer/market and data volume</w:t>
      </w:r>
    </w:p>
    <w:p>
      <w:pPr>
        <w:pStyle w:val="ListBullet"/>
        <w:spacing w:after="50"/>
      </w:pPr>
      <w:r>
        <w:t>Campaign or measured-spend fee for closed-loop measurement</w:t>
      </w:r>
    </w:p>
    <w:p>
      <w:pPr>
        <w:pStyle w:val="ListBullet"/>
        <w:spacing w:after="50"/>
      </w:pPr>
      <w:r>
        <w:t>Premium incrementality study/module fee</w:t>
      </w:r>
    </w:p>
    <w:p>
      <w:pPr>
        <w:pStyle w:val="ListBullet"/>
        <w:spacing w:after="50"/>
      </w:pPr>
      <w:r>
        <w:t>Managed-service or methodology-consulting package</w:t>
      </w:r>
    </w:p>
    <w:p>
      <w:pPr>
        <w:pStyle w:val="ListBullet"/>
        <w:spacing w:after="50"/>
      </w:pPr>
      <w:r>
        <w:t>Advertiser portfolio/benchmark subscription where data rights allow</w:t>
      </w:r>
    </w:p>
    <w:p>
      <w:pPr>
        <w:pStyle w:val="ListBullet"/>
        <w:spacing w:after="50"/>
      </w:pPr>
      <w:r>
        <w:t>Avoid charging advertisers twice for mandatory basic campaign reporting; premium should correspond to normalized, causal or external-market value</w:t>
      </w:r>
    </w:p>
    <w:p>
      <w:pPr>
        <w:pStyle w:val="Small"/>
        <w:spacing w:before="40"/>
      </w:pPr>
      <w:r>
        <w:rPr>
          <w:b/>
        </w:rPr>
        <w:t xml:space="preserve">Research basis: </w:t>
      </w:r>
      <w:r>
        <w:t>The sector research finds low retailer willingness to pay for generic point solutions, higher advertiser willingness to pay for standardized measurement, and a preference for measurement embedded in existing RMN or broader measurement environments.</w:t>
      </w:r>
    </w:p>
    <w:p>
      <w:r>
        <w:br w:type="page"/>
      </w:r>
    </w:p>
    <w:p>
      <w:pPr>
        <w:pStyle w:val="Heading1"/>
        <w:keepNext/>
      </w:pPr>
      <w:r>
        <w:t>22. Risks, unresolved decisions and validation plan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shd w:fill="17365D"/>
            <w:tcMar>
              <w:top w:w="100" w:type="dxa"/>
              <w:start w:w="110" w:type="dxa"/>
              <w:bottom w:w="100" w:type="dxa"/>
              <w:end w:w="110" w:type="dxa"/>
            </w:tcMar>
            <w:vAlign w:val="center"/>
          </w:tcPr>
          <w:p>
            <w:pPr>
              <w:jc w:val="center"/>
            </w:pPr>
            <w:r>
              <w:rPr>
                <w:b/>
                <w:color w:val="FFFFFF"/>
                <w:sz w:val="15"/>
              </w:rPr>
              <w:t>Risk</w:t>
            </w:r>
          </w:p>
        </w:tc>
        <w:tc>
          <w:tcPr>
            <w:tcW w:type="dxa" w:w="7200"/>
            <w:shd w:fill="17365D"/>
            <w:tcMar>
              <w:top w:w="100" w:type="dxa"/>
              <w:start w:w="110" w:type="dxa"/>
              <w:bottom w:w="100" w:type="dxa"/>
              <w:end w:w="110" w:type="dxa"/>
            </w:tcMar>
            <w:vAlign w:val="center"/>
          </w:tcPr>
          <w:p>
            <w:pPr>
              <w:jc w:val="center"/>
            </w:pPr>
            <w:r>
              <w:rPr>
                <w:b/>
                <w:color w:val="FFFFFF"/>
                <w:sz w:val="15"/>
              </w:rPr>
              <w:t>Product response</w:t>
            </w:r>
          </w:p>
        </w:tc>
      </w:tr>
      <w:tr>
        <w:trPr>
          <w:cantSplit/>
        </w:trPr>
        <w:tc>
          <w:tcPr>
            <w:tcW w:type="dxa" w:w="3240"/>
            <w:tcMar>
              <w:top w:w="90" w:type="dxa"/>
              <w:start w:w="110" w:type="dxa"/>
              <w:bottom w:w="90" w:type="dxa"/>
              <w:end w:w="110" w:type="dxa"/>
            </w:tcMar>
            <w:vAlign w:val="center"/>
          </w:tcPr>
          <w:p>
            <w:pPr>
              <w:spacing w:after="0"/>
            </w:pPr>
            <w:r>
              <w:rPr>
                <w:color w:val="243447"/>
                <w:sz w:val="15"/>
              </w:rPr>
              <w:t>Retailer will not share raw data</w:t>
            </w:r>
          </w:p>
        </w:tc>
        <w:tc>
          <w:tcPr>
            <w:tcW w:type="dxa" w:w="7200"/>
            <w:tcMar>
              <w:top w:w="90" w:type="dxa"/>
              <w:start w:w="110" w:type="dxa"/>
              <w:bottom w:w="90" w:type="dxa"/>
              <w:end w:w="110" w:type="dxa"/>
            </w:tcMar>
            <w:vAlign w:val="center"/>
          </w:tcPr>
          <w:p>
            <w:pPr>
              <w:spacing w:after="0"/>
            </w:pPr>
            <w:r>
              <w:rPr>
                <w:color w:val="243447"/>
                <w:sz w:val="15"/>
              </w:rPr>
              <w:t>Embedded/private deployment and aggregate output contracts</w:t>
            </w:r>
          </w:p>
        </w:tc>
      </w:tr>
      <w:tr>
        <w:trPr>
          <w:cantSplit/>
        </w:trPr>
        <w:tc>
          <w:tcPr>
            <w:tcW w:type="dxa" w:w="3240"/>
            <w:tcMar>
              <w:top w:w="90" w:type="dxa"/>
              <w:start w:w="110" w:type="dxa"/>
              <w:bottom w:w="90" w:type="dxa"/>
              <w:end w:w="110" w:type="dxa"/>
            </w:tcMar>
            <w:vAlign w:val="center"/>
            <w:shd w:fill="F7F9FC"/>
          </w:tcPr>
          <w:p>
            <w:pPr>
              <w:spacing w:after="0"/>
            </w:pPr>
            <w:r>
              <w:rPr>
                <w:color w:val="243447"/>
                <w:sz w:val="15"/>
              </w:rPr>
              <w:t>Exposure logs are incomplete</w:t>
            </w:r>
          </w:p>
        </w:tc>
        <w:tc>
          <w:tcPr>
            <w:tcW w:type="dxa" w:w="7200"/>
            <w:tcMar>
              <w:top w:w="90" w:type="dxa"/>
              <w:start w:w="110" w:type="dxa"/>
              <w:bottom w:w="90" w:type="dxa"/>
              <w:end w:w="110" w:type="dxa"/>
            </w:tcMar>
            <w:vAlign w:val="center"/>
            <w:shd w:fill="F7F9FC"/>
          </w:tcPr>
          <w:p>
            <w:pPr>
              <w:spacing w:after="0"/>
            </w:pPr>
            <w:r>
              <w:rPr>
                <w:color w:val="243447"/>
                <w:sz w:val="15"/>
              </w:rPr>
              <w:t>Capability tiering and directional labels</w:t>
            </w:r>
          </w:p>
        </w:tc>
      </w:tr>
      <w:tr>
        <w:trPr>
          <w:cantSplit/>
        </w:trPr>
        <w:tc>
          <w:tcPr>
            <w:tcW w:type="dxa" w:w="3240"/>
            <w:tcMar>
              <w:top w:w="90" w:type="dxa"/>
              <w:start w:w="110" w:type="dxa"/>
              <w:bottom w:w="90" w:type="dxa"/>
              <w:end w:w="110" w:type="dxa"/>
            </w:tcMar>
            <w:vAlign w:val="center"/>
          </w:tcPr>
          <w:p>
            <w:pPr>
              <w:spacing w:after="0"/>
            </w:pPr>
            <w:r>
              <w:rPr>
                <w:color w:val="243447"/>
                <w:sz w:val="15"/>
              </w:rPr>
              <w:t>Control cannot be operationally suppressed</w:t>
            </w:r>
          </w:p>
        </w:tc>
        <w:tc>
          <w:tcPr>
            <w:tcW w:type="dxa" w:w="7200"/>
            <w:tcMar>
              <w:top w:w="90" w:type="dxa"/>
              <w:start w:w="110" w:type="dxa"/>
              <w:bottom w:w="90" w:type="dxa"/>
              <w:end w:w="110" w:type="dxa"/>
            </w:tcMar>
            <w:vAlign w:val="center"/>
          </w:tcPr>
          <w:p>
            <w:pPr>
              <w:spacing w:after="0"/>
            </w:pPr>
            <w:r>
              <w:rPr>
                <w:color w:val="243447"/>
                <w:sz w:val="15"/>
              </w:rPr>
              <w:t>Use alternate approved design or do not claim causality</w:t>
            </w:r>
          </w:p>
        </w:tc>
      </w:tr>
      <w:tr>
        <w:trPr>
          <w:cantSplit/>
        </w:trPr>
        <w:tc>
          <w:tcPr>
            <w:tcW w:type="dxa" w:w="3240"/>
            <w:tcMar>
              <w:top w:w="90" w:type="dxa"/>
              <w:start w:w="110" w:type="dxa"/>
              <w:bottom w:w="90" w:type="dxa"/>
              <w:end w:w="110" w:type="dxa"/>
            </w:tcMar>
            <w:vAlign w:val="center"/>
            <w:shd w:fill="F7F9FC"/>
          </w:tcPr>
          <w:p>
            <w:pPr>
              <w:spacing w:after="0"/>
            </w:pPr>
            <w:r>
              <w:rPr>
                <w:color w:val="243447"/>
                <w:sz w:val="15"/>
              </w:rPr>
              <w:t>Small audiences become underpowered after match loss</w:t>
            </w:r>
          </w:p>
        </w:tc>
        <w:tc>
          <w:tcPr>
            <w:tcW w:type="dxa" w:w="7200"/>
            <w:tcMar>
              <w:top w:w="90" w:type="dxa"/>
              <w:start w:w="110" w:type="dxa"/>
              <w:bottom w:w="90" w:type="dxa"/>
              <w:end w:w="110" w:type="dxa"/>
            </w:tcMar>
            <w:vAlign w:val="center"/>
            <w:shd w:fill="F7F9FC"/>
          </w:tcPr>
          <w:p>
            <w:pPr>
              <w:spacing w:after="0"/>
            </w:pPr>
            <w:r>
              <w:rPr>
                <w:color w:val="243447"/>
                <w:sz w:val="15"/>
              </w:rPr>
              <w:t>Pre-campaign power based on expected attrition and minimum thresholds</w:t>
            </w:r>
          </w:p>
        </w:tc>
      </w:tr>
      <w:tr>
        <w:trPr>
          <w:cantSplit/>
        </w:trPr>
        <w:tc>
          <w:tcPr>
            <w:tcW w:type="dxa" w:w="3240"/>
            <w:tcMar>
              <w:top w:w="90" w:type="dxa"/>
              <w:start w:w="110" w:type="dxa"/>
              <w:bottom w:w="90" w:type="dxa"/>
              <w:end w:w="110" w:type="dxa"/>
            </w:tcMar>
            <w:vAlign w:val="center"/>
          </w:tcPr>
          <w:p>
            <w:pPr>
              <w:spacing w:after="0"/>
            </w:pPr>
            <w:r>
              <w:rPr>
                <w:color w:val="243447"/>
                <w:sz w:val="15"/>
              </w:rPr>
              <w:t>Advertised SKU taxonomy is wrong</w:t>
            </w:r>
          </w:p>
        </w:tc>
        <w:tc>
          <w:tcPr>
            <w:tcW w:type="dxa" w:w="7200"/>
            <w:tcMar>
              <w:top w:w="90" w:type="dxa"/>
              <w:start w:w="110" w:type="dxa"/>
              <w:bottom w:w="90" w:type="dxa"/>
              <w:end w:w="110" w:type="dxa"/>
            </w:tcMar>
            <w:vAlign w:val="center"/>
          </w:tcPr>
          <w:p>
            <w:pPr>
              <w:spacing w:after="0"/>
            </w:pPr>
            <w:r>
              <w:rPr>
                <w:color w:val="243447"/>
                <w:sz w:val="15"/>
              </w:rPr>
              <w:t>Mapping workflow, stewardship and quality block</w:t>
            </w:r>
          </w:p>
        </w:tc>
      </w:tr>
      <w:tr>
        <w:trPr>
          <w:cantSplit/>
        </w:trPr>
        <w:tc>
          <w:tcPr>
            <w:tcW w:type="dxa" w:w="3240"/>
            <w:tcMar>
              <w:top w:w="90" w:type="dxa"/>
              <w:start w:w="110" w:type="dxa"/>
              <w:bottom w:w="90" w:type="dxa"/>
              <w:end w:w="110" w:type="dxa"/>
            </w:tcMar>
            <w:vAlign w:val="center"/>
            <w:shd w:fill="F7F9FC"/>
          </w:tcPr>
          <w:p>
            <w:pPr>
              <w:spacing w:after="0"/>
            </w:pPr>
            <w:r>
              <w:rPr>
                <w:color w:val="243447"/>
                <w:sz w:val="15"/>
              </w:rPr>
              <w:t>Platform metrics cannot be normalized</w:t>
            </w:r>
          </w:p>
        </w:tc>
        <w:tc>
          <w:tcPr>
            <w:tcW w:type="dxa" w:w="7200"/>
            <w:tcMar>
              <w:top w:w="90" w:type="dxa"/>
              <w:start w:w="110" w:type="dxa"/>
              <w:bottom w:w="90" w:type="dxa"/>
              <w:end w:w="110" w:type="dxa"/>
            </w:tcMar>
            <w:vAlign w:val="center"/>
            <w:shd w:fill="F7F9FC"/>
          </w:tcPr>
          <w:p>
            <w:pPr>
              <w:spacing w:after="0"/>
            </w:pPr>
            <w:r>
              <w:rPr>
                <w:color w:val="243447"/>
                <w:sz w:val="15"/>
              </w:rPr>
              <w:t>Show side-by-side with non-comparable status</w:t>
            </w:r>
          </w:p>
        </w:tc>
      </w:tr>
      <w:tr>
        <w:trPr>
          <w:cantSplit/>
        </w:trPr>
        <w:tc>
          <w:tcPr>
            <w:tcW w:type="dxa" w:w="3240"/>
            <w:tcMar>
              <w:top w:w="90" w:type="dxa"/>
              <w:start w:w="110" w:type="dxa"/>
              <w:bottom w:w="90" w:type="dxa"/>
              <w:end w:w="110" w:type="dxa"/>
            </w:tcMar>
            <w:vAlign w:val="center"/>
          </w:tcPr>
          <w:p>
            <w:pPr>
              <w:spacing w:after="0"/>
            </w:pPr>
            <w:r>
              <w:rPr>
                <w:color w:val="243447"/>
                <w:sz w:val="15"/>
              </w:rPr>
              <w:t>Cross-channel double counting</w:t>
            </w:r>
          </w:p>
        </w:tc>
        <w:tc>
          <w:tcPr>
            <w:tcW w:type="dxa" w:w="7200"/>
            <w:tcMar>
              <w:top w:w="90" w:type="dxa"/>
              <w:start w:w="110" w:type="dxa"/>
              <w:bottom w:w="90" w:type="dxa"/>
              <w:end w:w="110" w:type="dxa"/>
            </w:tcMar>
            <w:vAlign w:val="center"/>
          </w:tcPr>
          <w:p>
            <w:pPr>
              <w:spacing w:after="0"/>
            </w:pPr>
            <w:r>
              <w:rPr>
                <w:color w:val="243447"/>
                <w:sz w:val="15"/>
              </w:rPr>
              <w:t>Do not sum non-deduplicated outcomes; label coverage and overlap</w:t>
            </w:r>
          </w:p>
        </w:tc>
      </w:tr>
      <w:tr>
        <w:trPr>
          <w:cantSplit/>
        </w:trPr>
        <w:tc>
          <w:tcPr>
            <w:tcW w:type="dxa" w:w="3240"/>
            <w:tcMar>
              <w:top w:w="90" w:type="dxa"/>
              <w:start w:w="110" w:type="dxa"/>
              <w:bottom w:w="90" w:type="dxa"/>
              <w:end w:w="110" w:type="dxa"/>
            </w:tcMar>
            <w:vAlign w:val="center"/>
            <w:shd w:fill="F7F9FC"/>
          </w:tcPr>
          <w:p>
            <w:pPr>
              <w:spacing w:after="0"/>
            </w:pPr>
            <w:r>
              <w:rPr>
                <w:color w:val="243447"/>
                <w:sz w:val="15"/>
              </w:rPr>
              <w:t>Reporting arrives too late</w:t>
            </w:r>
          </w:p>
        </w:tc>
        <w:tc>
          <w:tcPr>
            <w:tcW w:type="dxa" w:w="7200"/>
            <w:tcMar>
              <w:top w:w="90" w:type="dxa"/>
              <w:start w:w="110" w:type="dxa"/>
              <w:bottom w:w="90" w:type="dxa"/>
              <w:end w:w="110" w:type="dxa"/>
            </w:tcMar>
            <w:vAlign w:val="center"/>
            <w:shd w:fill="F7F9FC"/>
          </w:tcPr>
          <w:p>
            <w:pPr>
              <w:spacing w:after="0"/>
            </w:pPr>
            <w:r>
              <w:rPr>
                <w:color w:val="243447"/>
                <w:sz w:val="15"/>
              </w:rPr>
              <w:t>Pipeline SLAs, early directional views and maturity states</w:t>
            </w:r>
          </w:p>
        </w:tc>
      </w:tr>
      <w:tr>
        <w:trPr>
          <w:cantSplit/>
        </w:trPr>
        <w:tc>
          <w:tcPr>
            <w:tcW w:type="dxa" w:w="3240"/>
            <w:tcMar>
              <w:top w:w="90" w:type="dxa"/>
              <w:start w:w="110" w:type="dxa"/>
              <w:bottom w:w="90" w:type="dxa"/>
              <w:end w:w="110" w:type="dxa"/>
            </w:tcMar>
            <w:vAlign w:val="center"/>
          </w:tcPr>
          <w:p>
            <w:pPr>
              <w:spacing w:after="0"/>
            </w:pPr>
            <w:r>
              <w:rPr>
                <w:color w:val="243447"/>
                <w:sz w:val="15"/>
              </w:rPr>
              <w:t>Tool becomes too broad</w:t>
            </w:r>
          </w:p>
        </w:tc>
        <w:tc>
          <w:tcPr>
            <w:tcW w:type="dxa" w:w="7200"/>
            <w:tcMar>
              <w:top w:w="90" w:type="dxa"/>
              <w:start w:w="110" w:type="dxa"/>
              <w:bottom w:w="90" w:type="dxa"/>
              <w:end w:w="110" w:type="dxa"/>
            </w:tcMar>
            <w:vAlign w:val="center"/>
          </w:tcPr>
          <w:p>
            <w:pPr>
              <w:spacing w:after="0"/>
            </w:pPr>
            <w:r>
              <w:rPr>
                <w:color w:val="243447"/>
                <w:sz w:val="15"/>
              </w:rPr>
              <w:t>Maintain measurement wedge and integrate rather than replace adtech</w:t>
            </w:r>
          </w:p>
        </w:tc>
      </w:tr>
      <w:tr>
        <w:trPr>
          <w:cantSplit/>
        </w:trPr>
        <w:tc>
          <w:tcPr>
            <w:tcW w:type="dxa" w:w="3240"/>
            <w:tcMar>
              <w:top w:w="90" w:type="dxa"/>
              <w:start w:w="110" w:type="dxa"/>
              <w:bottom w:w="90" w:type="dxa"/>
              <w:end w:w="110" w:type="dxa"/>
            </w:tcMar>
            <w:vAlign w:val="center"/>
            <w:shd w:fill="F7F9FC"/>
          </w:tcPr>
          <w:p>
            <w:pPr>
              <w:spacing w:after="0"/>
            </w:pPr>
            <w:r>
              <w:rPr>
                <w:color w:val="243447"/>
                <w:sz w:val="15"/>
              </w:rPr>
              <w:t>AI overstates findings</w:t>
            </w:r>
          </w:p>
        </w:tc>
        <w:tc>
          <w:tcPr>
            <w:tcW w:type="dxa" w:w="7200"/>
            <w:tcMar>
              <w:top w:w="90" w:type="dxa"/>
              <w:start w:w="110" w:type="dxa"/>
              <w:bottom w:w="90" w:type="dxa"/>
              <w:end w:w="110" w:type="dxa"/>
            </w:tcMar>
            <w:vAlign w:val="center"/>
            <w:shd w:fill="F7F9FC"/>
          </w:tcPr>
          <w:p>
            <w:pPr>
              <w:spacing w:after="0"/>
            </w:pPr>
            <w:r>
              <w:rPr>
                <w:color w:val="243447"/>
                <w:sz w:val="15"/>
              </w:rPr>
              <w:t>Evidence-bound generation with mandatory caveats</w:t>
            </w:r>
          </w:p>
        </w:tc>
      </w:tr>
    </w:tbl>
    <w:p>
      <w:pPr>
        <w:spacing w:after="0"/>
      </w:pPr>
    </w:p>
    <w:p>
      <w:pPr>
        <w:pStyle w:val="Heading2"/>
        <w:keepNext/>
      </w:pPr>
      <w:r>
        <w:t>22.1 Product decisions still required</w:t>
      </w:r>
    </w:p>
    <w:p>
      <w:pPr>
        <w:pStyle w:val="ListBullet"/>
        <w:spacing w:after="50"/>
      </w:pPr>
      <w:r>
        <w:t>Primary buyer and payer for the first commercial release</w:t>
      </w:r>
    </w:p>
    <w:p>
      <w:pPr>
        <w:pStyle w:val="ListBullet"/>
        <w:spacing w:after="50"/>
      </w:pPr>
      <w:r>
        <w:t>Deployment architecture and clean-room partner strategy</w:t>
      </w:r>
    </w:p>
    <w:p>
      <w:pPr>
        <w:pStyle w:val="ListBullet"/>
        <w:spacing w:after="50"/>
      </w:pPr>
      <w:r>
        <w:t>First supported retailer, markets and channels</w:t>
      </w:r>
    </w:p>
    <w:p>
      <w:pPr>
        <w:pStyle w:val="ListBullet"/>
        <w:spacing w:after="50"/>
      </w:pPr>
      <w:r>
        <w:t>Canonical campaign hierarchy and parent initiative rules</w:t>
      </w:r>
    </w:p>
    <w:p>
      <w:pPr>
        <w:pStyle w:val="ListBullet"/>
        <w:spacing w:after="50"/>
      </w:pPr>
      <w:r>
        <w:t>Attribution window defaults by tactic and category</w:t>
      </w:r>
    </w:p>
    <w:p>
      <w:pPr>
        <w:pStyle w:val="ListBullet"/>
        <w:spacing w:after="50"/>
      </w:pPr>
      <w:r>
        <w:t>Halo policy and new-to-brand history</w:t>
      </w:r>
    </w:p>
    <w:p>
      <w:pPr>
        <w:pStyle w:val="ListBullet"/>
        <w:spacing w:after="50"/>
      </w:pPr>
      <w:r>
        <w:t>Approved incrementality design and quality thresholds</w:t>
      </w:r>
    </w:p>
    <w:p>
      <w:pPr>
        <w:pStyle w:val="ListBullet"/>
        <w:spacing w:after="50"/>
      </w:pPr>
      <w:r>
        <w:t>Definition of “near real time” by feed type</w:t>
      </w:r>
    </w:p>
    <w:p>
      <w:pPr>
        <w:pStyle w:val="ListBullet"/>
        <w:spacing w:after="50"/>
      </w:pPr>
      <w:r>
        <w:t>Rest-of-market data coverage and rights</w:t>
      </w:r>
    </w:p>
    <w:p>
      <w:pPr>
        <w:pStyle w:val="ListBullet"/>
        <w:spacing w:after="50"/>
      </w:pPr>
      <w:r>
        <w:t>IAB alignment/certification scope</w:t>
      </w:r>
    </w:p>
    <w:p>
      <w:pPr>
        <w:pStyle w:val="ListBullet"/>
        <w:spacing w:after="50"/>
      </w:pPr>
      <w:r>
        <w:t>Commercial packaging of standard versus premium reporting</w:t>
      </w:r>
    </w:p>
    <w:p>
      <w:pPr>
        <w:pStyle w:val="Heading2"/>
        <w:keepNext/>
      </w:pPr>
      <w:r>
        <w:t>22.2 Validation plan</w:t>
      </w:r>
    </w:p>
    <w:p>
      <w:pPr>
        <w:pStyle w:val="ListNumber"/>
        <w:spacing w:after="50"/>
      </w:pPr>
      <w:r>
        <w:t>Select two to three representative campaigns: onsite deterministic, offsite friend/identified, and one limited-data channel.</w:t>
      </w:r>
    </w:p>
    <w:p>
      <w:pPr>
        <w:pStyle w:val="ListNumber"/>
        <w:spacing w:after="50"/>
      </w:pPr>
      <w:r>
        <w:t>Run source-to-KPI data profiling and quantify identity, mapping and maturity gaps.</w:t>
      </w:r>
    </w:p>
    <w:p>
      <w:pPr>
        <w:pStyle w:val="ListNumber"/>
        <w:spacing w:after="50"/>
      </w:pPr>
      <w:r>
        <w:t>Prototype the campaign workspace, population funnel, executive story and methodology panel with users.</w:t>
      </w:r>
    </w:p>
    <w:p>
      <w:pPr>
        <w:pStyle w:val="ListNumber"/>
        <w:spacing w:after="50"/>
      </w:pPr>
      <w:r>
        <w:t>Test whether sales users can explain the result correctly without analyst support.</w:t>
      </w:r>
    </w:p>
    <w:p>
      <w:pPr>
        <w:pStyle w:val="ListNumber"/>
        <w:spacing w:after="50"/>
      </w:pPr>
      <w:r>
        <w:t>Test whether analysts can reproduce the KPI and identify limitations.</w:t>
      </w:r>
    </w:p>
    <w:p>
      <w:pPr>
        <w:pStyle w:val="ListNumber"/>
        <w:spacing w:after="50"/>
      </w:pPr>
      <w:r>
        <w:t>Validate the control workflow operationally with channel partners before building it into the audience export.</w:t>
      </w:r>
    </w:p>
    <w:p>
      <w:pPr>
        <w:pStyle w:val="ListNumber"/>
        <w:spacing w:after="50"/>
      </w:pPr>
      <w:r>
        <w:t>Price-test embedded platform, managed measurement and advertiser-certified output models.</w:t>
      </w:r>
    </w:p>
    <w:p>
      <w:pPr>
        <w:pStyle w:val="ListNumber"/>
        <w:spacing w:after="50"/>
      </w:pPr>
      <w:r>
        <w:t>Use findings to lock MVP scope and architecture.</w:t>
      </w:r>
    </w:p>
    <w:p>
      <w:r>
        <w:br w:type="page"/>
      </w:r>
    </w:p>
    <w:p>
      <w:pPr>
        <w:pStyle w:val="Heading1"/>
        <w:keepNext/>
      </w:pPr>
      <w:r>
        <w:t>Appendix A. Detailed proposed report pack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7365D"/>
            <w:tcMar>
              <w:top w:w="100" w:type="dxa"/>
              <w:start w:w="110" w:type="dxa"/>
              <w:bottom w:w="100" w:type="dxa"/>
              <w:end w:w="110" w:type="dxa"/>
            </w:tcMar>
            <w:vAlign w:val="center"/>
          </w:tcPr>
          <w:p>
            <w:pPr>
              <w:jc w:val="center"/>
            </w:pPr>
            <w:r>
              <w:rPr>
                <w:b/>
                <w:color w:val="FFFFFF"/>
                <w:sz w:val="15"/>
              </w:rPr>
              <w:t>Page / view</w:t>
            </w:r>
          </w:p>
        </w:tc>
        <w:tc>
          <w:tcPr>
            <w:tcW w:type="dxa" w:w="8208"/>
            <w:shd w:fill="17365D"/>
            <w:tcMar>
              <w:top w:w="100" w:type="dxa"/>
              <w:start w:w="110" w:type="dxa"/>
              <w:bottom w:w="100" w:type="dxa"/>
              <w:end w:w="110" w:type="dxa"/>
            </w:tcMar>
            <w:vAlign w:val="center"/>
          </w:tcPr>
          <w:p>
            <w:pPr>
              <w:jc w:val="center"/>
            </w:pPr>
            <w:r>
              <w:rPr>
                <w:b/>
                <w:color w:val="FFFFFF"/>
                <w:sz w:val="15"/>
              </w:rPr>
              <w:t>Contents</w:t>
            </w:r>
          </w:p>
        </w:tc>
      </w:tr>
      <w:tr>
        <w:trPr>
          <w:cantSplit/>
        </w:trPr>
        <w:tc>
          <w:tcPr>
            <w:tcW w:type="dxa" w:w="2232"/>
            <w:tcMar>
              <w:top w:w="90" w:type="dxa"/>
              <w:start w:w="110" w:type="dxa"/>
              <w:bottom w:w="90" w:type="dxa"/>
              <w:end w:w="110" w:type="dxa"/>
            </w:tcMar>
            <w:vAlign w:val="center"/>
          </w:tcPr>
          <w:p>
            <w:pPr>
              <w:spacing w:after="0"/>
            </w:pPr>
            <w:r>
              <w:rPr>
                <w:color w:val="243447"/>
                <w:sz w:val="15"/>
              </w:rPr>
              <w:t>1. Executive outcome</w:t>
            </w:r>
          </w:p>
        </w:tc>
        <w:tc>
          <w:tcPr>
            <w:tcW w:type="dxa" w:w="8208"/>
            <w:tcMar>
              <w:top w:w="90" w:type="dxa"/>
              <w:start w:w="110" w:type="dxa"/>
              <w:bottom w:w="90" w:type="dxa"/>
              <w:end w:w="110" w:type="dxa"/>
            </w:tcMar>
            <w:vAlign w:val="center"/>
          </w:tcPr>
          <w:p>
            <w:pPr>
              <w:spacing w:after="0"/>
            </w:pPr>
            <w:r>
              <w:rPr>
                <w:color w:val="243447"/>
                <w:sz w:val="15"/>
              </w:rPr>
              <w:t>Objective, conclusion, attributed and incremental outcomes, quality, recommended action</w:t>
            </w:r>
          </w:p>
        </w:tc>
      </w:tr>
      <w:tr>
        <w:trPr>
          <w:cantSplit/>
        </w:trPr>
        <w:tc>
          <w:tcPr>
            <w:tcW w:type="dxa" w:w="2232"/>
            <w:tcMar>
              <w:top w:w="90" w:type="dxa"/>
              <w:start w:w="110" w:type="dxa"/>
              <w:bottom w:w="90" w:type="dxa"/>
              <w:end w:w="110" w:type="dxa"/>
            </w:tcMar>
            <w:vAlign w:val="center"/>
            <w:shd w:fill="F7F9FC"/>
          </w:tcPr>
          <w:p>
            <w:pPr>
              <w:spacing w:after="0"/>
            </w:pPr>
            <w:r>
              <w:rPr>
                <w:color w:val="243447"/>
                <w:sz w:val="15"/>
              </w:rPr>
              <w:t>2. Campaign delivery</w:t>
            </w:r>
          </w:p>
        </w:tc>
        <w:tc>
          <w:tcPr>
            <w:tcW w:type="dxa" w:w="8208"/>
            <w:tcMar>
              <w:top w:w="90" w:type="dxa"/>
              <w:start w:w="110" w:type="dxa"/>
              <w:bottom w:w="90" w:type="dxa"/>
              <w:end w:w="110" w:type="dxa"/>
            </w:tcMar>
            <w:vAlign w:val="center"/>
            <w:shd w:fill="F7F9FC"/>
          </w:tcPr>
          <w:p>
            <w:pPr>
              <w:spacing w:after="0"/>
            </w:pPr>
            <w:r>
              <w:rPr>
                <w:color w:val="243447"/>
                <w:sz w:val="15"/>
              </w:rPr>
              <w:t>Budget/spend, impressions, reach, frequency, pacing, viewability and channel status</w:t>
            </w:r>
          </w:p>
        </w:tc>
      </w:tr>
      <w:tr>
        <w:trPr>
          <w:cantSplit/>
        </w:trPr>
        <w:tc>
          <w:tcPr>
            <w:tcW w:type="dxa" w:w="2232"/>
            <w:tcMar>
              <w:top w:w="90" w:type="dxa"/>
              <w:start w:w="110" w:type="dxa"/>
              <w:bottom w:w="90" w:type="dxa"/>
              <w:end w:w="110" w:type="dxa"/>
            </w:tcMar>
            <w:vAlign w:val="center"/>
          </w:tcPr>
          <w:p>
            <w:pPr>
              <w:spacing w:after="0"/>
            </w:pPr>
            <w:r>
              <w:rPr>
                <w:color w:val="243447"/>
                <w:sz w:val="15"/>
              </w:rPr>
              <w:t>3. Audience funnel</w:t>
            </w:r>
          </w:p>
        </w:tc>
        <w:tc>
          <w:tcPr>
            <w:tcW w:type="dxa" w:w="8208"/>
            <w:tcMar>
              <w:top w:w="90" w:type="dxa"/>
              <w:start w:w="110" w:type="dxa"/>
              <w:bottom w:w="90" w:type="dxa"/>
              <w:end w:w="110" w:type="dxa"/>
            </w:tcMar>
            <w:vAlign w:val="center"/>
          </w:tcPr>
          <w:p>
            <w:pPr>
              <w:spacing w:after="0"/>
            </w:pPr>
            <w:r>
              <w:rPr>
                <w:color w:val="243447"/>
                <w:sz w:val="15"/>
              </w:rPr>
              <w:t>Built, pushed, matched, exposed and measured with reasons for loss</w:t>
            </w:r>
          </w:p>
        </w:tc>
      </w:tr>
      <w:tr>
        <w:trPr>
          <w:cantSplit/>
        </w:trPr>
        <w:tc>
          <w:tcPr>
            <w:tcW w:type="dxa" w:w="2232"/>
            <w:tcMar>
              <w:top w:w="90" w:type="dxa"/>
              <w:start w:w="110" w:type="dxa"/>
              <w:bottom w:w="90" w:type="dxa"/>
              <w:end w:w="110" w:type="dxa"/>
            </w:tcMar>
            <w:vAlign w:val="center"/>
            <w:shd w:fill="F7F9FC"/>
          </w:tcPr>
          <w:p>
            <w:pPr>
              <w:spacing w:after="0"/>
            </w:pPr>
            <w:r>
              <w:rPr>
                <w:color w:val="243447"/>
                <w:sz w:val="15"/>
              </w:rPr>
              <w:t>4. Closed-loop conversion</w:t>
            </w:r>
          </w:p>
        </w:tc>
        <w:tc>
          <w:tcPr>
            <w:tcW w:type="dxa" w:w="8208"/>
            <w:tcMar>
              <w:top w:w="90" w:type="dxa"/>
              <w:start w:w="110" w:type="dxa"/>
              <w:bottom w:w="90" w:type="dxa"/>
              <w:end w:w="110" w:type="dxa"/>
            </w:tcMar>
            <w:vAlign w:val="center"/>
            <w:shd w:fill="F7F9FC"/>
          </w:tcPr>
          <w:p>
            <w:pPr>
              <w:spacing w:after="0"/>
            </w:pPr>
            <w:r>
              <w:rPr>
                <w:color w:val="243447"/>
                <w:sz w:val="15"/>
              </w:rPr>
              <w:t>Buyers, conversion, attributed sales/units/trips, online/in-store split</w:t>
            </w:r>
          </w:p>
        </w:tc>
      </w:tr>
      <w:tr>
        <w:trPr>
          <w:cantSplit/>
        </w:trPr>
        <w:tc>
          <w:tcPr>
            <w:tcW w:type="dxa" w:w="2232"/>
            <w:tcMar>
              <w:top w:w="90" w:type="dxa"/>
              <w:start w:w="110" w:type="dxa"/>
              <w:bottom w:w="90" w:type="dxa"/>
              <w:end w:w="110" w:type="dxa"/>
            </w:tcMar>
            <w:vAlign w:val="center"/>
          </w:tcPr>
          <w:p>
            <w:pPr>
              <w:spacing w:after="0"/>
              <w:jc w:val="center"/>
            </w:pPr>
            <w:r>
              <w:rPr>
                <w:color w:val="243447"/>
                <w:sz w:val="15"/>
              </w:rPr>
              <w:t>5. Causal impact</w:t>
            </w:r>
          </w:p>
        </w:tc>
        <w:tc>
          <w:tcPr>
            <w:tcW w:type="dxa" w:w="8208"/>
            <w:tcMar>
              <w:top w:w="90" w:type="dxa"/>
              <w:start w:w="110" w:type="dxa"/>
              <w:bottom w:w="90" w:type="dxa"/>
              <w:end w:w="110" w:type="dxa"/>
            </w:tcMar>
            <w:vAlign w:val="center"/>
          </w:tcPr>
          <w:p>
            <w:pPr>
              <w:spacing w:after="0"/>
            </w:pPr>
            <w:r>
              <w:rPr>
                <w:color w:val="243447"/>
                <w:sz w:val="15"/>
              </w:rPr>
              <w:t>Test/control outcomes, counterfactual, increment, iROAS, confidence</w:t>
            </w:r>
          </w:p>
        </w:tc>
      </w:tr>
      <w:tr>
        <w:trPr>
          <w:cantSplit/>
        </w:trPr>
        <w:tc>
          <w:tcPr>
            <w:tcW w:type="dxa" w:w="2232"/>
            <w:tcMar>
              <w:top w:w="90" w:type="dxa"/>
              <w:start w:w="110" w:type="dxa"/>
              <w:bottom w:w="90" w:type="dxa"/>
              <w:end w:w="110" w:type="dxa"/>
            </w:tcMar>
            <w:vAlign w:val="center"/>
            <w:shd w:fill="F7F9FC"/>
          </w:tcPr>
          <w:p>
            <w:pPr>
              <w:spacing w:after="0"/>
            </w:pPr>
            <w:r>
              <w:rPr>
                <w:color w:val="243447"/>
                <w:sz w:val="15"/>
              </w:rPr>
              <w:t>6. Audience performance</w:t>
            </w:r>
          </w:p>
        </w:tc>
        <w:tc>
          <w:tcPr>
            <w:tcW w:type="dxa" w:w="8208"/>
            <w:tcMar>
              <w:top w:w="90" w:type="dxa"/>
              <w:start w:w="110" w:type="dxa"/>
              <w:bottom w:w="90" w:type="dxa"/>
              <w:end w:w="110" w:type="dxa"/>
            </w:tcMar>
            <w:vAlign w:val="center"/>
            <w:shd w:fill="F7F9FC"/>
          </w:tcPr>
          <w:p>
            <w:pPr>
              <w:spacing w:after="0"/>
            </w:pPr>
            <w:r>
              <w:rPr>
                <w:color w:val="243447"/>
                <w:sz w:val="15"/>
              </w:rPr>
              <w:t>Audience size, match, conversion, lift and value</w:t>
            </w:r>
          </w:p>
        </w:tc>
      </w:tr>
      <w:tr>
        <w:trPr>
          <w:cantSplit/>
        </w:trPr>
        <w:tc>
          <w:tcPr>
            <w:tcW w:type="dxa" w:w="2232"/>
            <w:tcMar>
              <w:top w:w="90" w:type="dxa"/>
              <w:start w:w="110" w:type="dxa"/>
              <w:bottom w:w="90" w:type="dxa"/>
              <w:end w:w="110" w:type="dxa"/>
            </w:tcMar>
            <w:vAlign w:val="center"/>
          </w:tcPr>
          <w:p>
            <w:pPr>
              <w:spacing w:after="0"/>
            </w:pPr>
            <w:r>
              <w:rPr>
                <w:color w:val="243447"/>
                <w:sz w:val="15"/>
              </w:rPr>
              <w:t>7. Creative and placement</w:t>
            </w:r>
          </w:p>
        </w:tc>
        <w:tc>
          <w:tcPr>
            <w:tcW w:type="dxa" w:w="8208"/>
            <w:tcMar>
              <w:top w:w="90" w:type="dxa"/>
              <w:start w:w="110" w:type="dxa"/>
              <w:bottom w:w="90" w:type="dxa"/>
              <w:end w:w="110" w:type="dxa"/>
            </w:tcMar>
            <w:vAlign w:val="center"/>
          </w:tcPr>
          <w:p>
            <w:pPr>
              <w:spacing w:after="0"/>
            </w:pPr>
            <w:r>
              <w:rPr>
                <w:color w:val="243447"/>
                <w:sz w:val="15"/>
              </w:rPr>
              <w:t>Creative versions, placements, spend, sales, lift, scale/efficiency quadrant</w:t>
            </w:r>
          </w:p>
        </w:tc>
      </w:tr>
      <w:tr>
        <w:trPr>
          <w:cantSplit/>
        </w:trPr>
        <w:tc>
          <w:tcPr>
            <w:tcW w:type="dxa" w:w="2232"/>
            <w:tcMar>
              <w:top w:w="90" w:type="dxa"/>
              <w:start w:w="110" w:type="dxa"/>
              <w:bottom w:w="90" w:type="dxa"/>
              <w:end w:w="110" w:type="dxa"/>
            </w:tcMar>
            <w:vAlign w:val="center"/>
            <w:shd w:fill="F7F9FC"/>
          </w:tcPr>
          <w:p>
            <w:pPr>
              <w:spacing w:after="0"/>
            </w:pPr>
            <w:r>
              <w:rPr>
                <w:color w:val="243447"/>
                <w:sz w:val="15"/>
              </w:rPr>
              <w:t>8. Product and halo</w:t>
            </w:r>
          </w:p>
        </w:tc>
        <w:tc>
          <w:tcPr>
            <w:tcW w:type="dxa" w:w="8208"/>
            <w:tcMar>
              <w:top w:w="90" w:type="dxa"/>
              <w:start w:w="110" w:type="dxa"/>
              <w:bottom w:w="90" w:type="dxa"/>
              <w:end w:w="110" w:type="dxa"/>
            </w:tcMar>
            <w:vAlign w:val="center"/>
            <w:shd w:fill="F7F9FC"/>
          </w:tcPr>
          <w:p>
            <w:pPr>
              <w:spacing w:after="0"/>
            </w:pPr>
            <w:r>
              <w:rPr>
                <w:color w:val="243447"/>
                <w:sz w:val="15"/>
              </w:rPr>
              <w:t>Advertised SKU, brand/category halo and new-to-brand</w:t>
            </w:r>
          </w:p>
        </w:tc>
      </w:tr>
      <w:tr>
        <w:trPr>
          <w:cantSplit/>
        </w:trPr>
        <w:tc>
          <w:tcPr>
            <w:tcW w:type="dxa" w:w="2232"/>
            <w:tcMar>
              <w:top w:w="90" w:type="dxa"/>
              <w:start w:w="110" w:type="dxa"/>
              <w:bottom w:w="90" w:type="dxa"/>
              <w:end w:w="110" w:type="dxa"/>
            </w:tcMar>
            <w:vAlign w:val="center"/>
          </w:tcPr>
          <w:p>
            <w:pPr>
              <w:spacing w:after="0"/>
            </w:pPr>
            <w:r>
              <w:rPr>
                <w:color w:val="243447"/>
                <w:sz w:val="15"/>
              </w:rPr>
              <w:t>9. Basket and retention</w:t>
            </w:r>
          </w:p>
        </w:tc>
        <w:tc>
          <w:tcPr>
            <w:tcW w:type="dxa" w:w="8208"/>
            <w:tcMar>
              <w:top w:w="90" w:type="dxa"/>
              <w:start w:w="110" w:type="dxa"/>
              <w:bottom w:w="90" w:type="dxa"/>
              <w:end w:w="110" w:type="dxa"/>
            </w:tcMar>
            <w:vAlign w:val="center"/>
          </w:tcPr>
          <w:p>
            <w:pPr>
              <w:spacing w:after="0"/>
            </w:pPr>
            <w:r>
              <w:rPr>
                <w:color w:val="243447"/>
                <w:sz w:val="15"/>
              </w:rPr>
              <w:t>Basket affinities, repeat purchase and longer-term cohort behavior</w:t>
            </w:r>
          </w:p>
        </w:tc>
      </w:tr>
      <w:tr>
        <w:trPr>
          <w:cantSplit/>
        </w:trPr>
        <w:tc>
          <w:tcPr>
            <w:tcW w:type="dxa" w:w="2232"/>
            <w:tcMar>
              <w:top w:w="90" w:type="dxa"/>
              <w:start w:w="110" w:type="dxa"/>
              <w:bottom w:w="90" w:type="dxa"/>
              <w:end w:w="110" w:type="dxa"/>
            </w:tcMar>
            <w:vAlign w:val="center"/>
            <w:shd w:fill="F7F9FC"/>
          </w:tcPr>
          <w:p>
            <w:pPr>
              <w:spacing w:after="0"/>
            </w:pPr>
            <w:r>
              <w:rPr>
                <w:color w:val="243447"/>
                <w:sz w:val="15"/>
              </w:rPr>
              <w:t>10. Channel/program</w:t>
            </w:r>
          </w:p>
        </w:tc>
        <w:tc>
          <w:tcPr>
            <w:tcW w:type="dxa" w:w="8208"/>
            <w:tcMar>
              <w:top w:w="90" w:type="dxa"/>
              <w:start w:w="110" w:type="dxa"/>
              <w:bottom w:w="90" w:type="dxa"/>
              <w:end w:w="110" w:type="dxa"/>
            </w:tcMar>
            <w:vAlign w:val="center"/>
            <w:shd w:fill="F7F9FC"/>
          </w:tcPr>
          <w:p>
            <w:pPr>
              <w:spacing w:after="0"/>
            </w:pPr>
            <w:r>
              <w:rPr>
                <w:color w:val="243447"/>
                <w:sz w:val="15"/>
              </w:rPr>
              <w:t>Channel comparison, overlap, dedupe status and initiative roll-up</w:t>
            </w:r>
          </w:p>
        </w:tc>
      </w:tr>
      <w:tr>
        <w:trPr>
          <w:cantSplit/>
        </w:trPr>
        <w:tc>
          <w:tcPr>
            <w:tcW w:type="dxa" w:w="2232"/>
            <w:tcMar>
              <w:top w:w="90" w:type="dxa"/>
              <w:start w:w="110" w:type="dxa"/>
              <w:bottom w:w="90" w:type="dxa"/>
              <w:end w:w="110" w:type="dxa"/>
            </w:tcMar>
            <w:vAlign w:val="center"/>
          </w:tcPr>
          <w:p>
            <w:pPr>
              <w:spacing w:after="0"/>
            </w:pPr>
            <w:r>
              <w:rPr>
                <w:color w:val="243447"/>
                <w:sz w:val="15"/>
              </w:rPr>
              <w:t>11. Market context</w:t>
            </w:r>
          </w:p>
        </w:tc>
        <w:tc>
          <w:tcPr>
            <w:tcW w:type="dxa" w:w="8208"/>
            <w:tcMar>
              <w:top w:w="90" w:type="dxa"/>
              <w:start w:w="110" w:type="dxa"/>
              <w:bottom w:w="90" w:type="dxa"/>
              <w:end w:w="110" w:type="dxa"/>
            </w:tcMar>
            <w:vAlign w:val="center"/>
          </w:tcPr>
          <w:p>
            <w:pPr>
              <w:spacing w:after="0"/>
            </w:pPr>
            <w:r>
              <w:rPr>
                <w:color w:val="243447"/>
                <w:sz w:val="15"/>
              </w:rPr>
              <w:t>Category trend, benchmark, rest-of-market and seasonality/context</w:t>
            </w:r>
          </w:p>
        </w:tc>
      </w:tr>
      <w:tr>
        <w:trPr>
          <w:cantSplit/>
        </w:trPr>
        <w:tc>
          <w:tcPr>
            <w:tcW w:type="dxa" w:w="2232"/>
            <w:tcMar>
              <w:top w:w="90" w:type="dxa"/>
              <w:start w:w="110" w:type="dxa"/>
              <w:bottom w:w="90" w:type="dxa"/>
              <w:end w:w="110" w:type="dxa"/>
            </w:tcMar>
            <w:vAlign w:val="center"/>
            <w:shd w:fill="F7F9FC"/>
          </w:tcPr>
          <w:p>
            <w:pPr>
              <w:spacing w:after="0"/>
            </w:pPr>
            <w:r>
              <w:rPr>
                <w:color w:val="243447"/>
                <w:sz w:val="15"/>
              </w:rPr>
              <w:t>12. Methodology and quality</w:t>
            </w:r>
          </w:p>
        </w:tc>
        <w:tc>
          <w:tcPr>
            <w:tcW w:type="dxa" w:w="8208"/>
            <w:tcMar>
              <w:top w:w="90" w:type="dxa"/>
              <w:start w:w="110" w:type="dxa"/>
              <w:bottom w:w="90" w:type="dxa"/>
              <w:end w:w="110" w:type="dxa"/>
            </w:tcMar>
            <w:vAlign w:val="center"/>
            <w:shd w:fill="F7F9FC"/>
          </w:tcPr>
          <w:p>
            <w:pPr>
              <w:spacing w:after="0"/>
            </w:pPr>
            <w:r>
              <w:rPr>
                <w:color w:val="243447"/>
                <w:sz w:val="15"/>
              </w:rPr>
              <w:t>Definitions, windows, sample, balance, leakage, coverage and caveats</w:t>
            </w:r>
          </w:p>
        </w:tc>
      </w:tr>
    </w:tbl>
    <w:p>
      <w:pPr>
        <w:spacing w:after="0"/>
      </w:pPr>
    </w:p>
    <w:p>
      <w:r>
        <w:br w:type="page"/>
      </w:r>
    </w:p>
    <w:p>
      <w:pPr>
        <w:pStyle w:val="Heading1"/>
        <w:keepNext/>
      </w:pPr>
      <w:r>
        <w:t>Appendix B. Recommended metric metadata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100" w:type="dxa"/>
              <w:start w:w="110" w:type="dxa"/>
              <w:bottom w:w="100" w:type="dxa"/>
              <w:end w:w="110" w:type="dxa"/>
            </w:tcMar>
            <w:vAlign w:val="center"/>
          </w:tcPr>
          <w:p>
            <w:pPr>
              <w:jc w:val="center"/>
            </w:pPr>
            <w:r>
              <w:rPr>
                <w:b/>
                <w:color w:val="FFFFFF"/>
                <w:sz w:val="15"/>
              </w:rPr>
              <w:t>Field</w:t>
            </w:r>
          </w:p>
        </w:tc>
        <w:tc>
          <w:tcPr>
            <w:tcW w:type="dxa" w:w="7488"/>
            <w:shd w:fill="17365D"/>
            <w:tcMar>
              <w:top w:w="100" w:type="dxa"/>
              <w:start w:w="110" w:type="dxa"/>
              <w:bottom w:w="100" w:type="dxa"/>
              <w:end w:w="110" w:type="dxa"/>
            </w:tcMar>
            <w:vAlign w:val="center"/>
          </w:tcPr>
          <w:p>
            <w:pPr>
              <w:jc w:val="center"/>
            </w:pPr>
            <w:r>
              <w:rPr>
                <w:b/>
                <w:color w:val="FFFFFF"/>
                <w:sz w:val="15"/>
              </w:rPr>
              <w:t>Example</w:t>
            </w:r>
          </w:p>
        </w:tc>
      </w:tr>
      <w:tr>
        <w:trPr>
          <w:cantSplit/>
        </w:trPr>
        <w:tc>
          <w:tcPr>
            <w:tcW w:type="dxa" w:w="2880"/>
            <w:tcMar>
              <w:top w:w="90" w:type="dxa"/>
              <w:start w:w="110" w:type="dxa"/>
              <w:bottom w:w="90" w:type="dxa"/>
              <w:end w:w="110" w:type="dxa"/>
            </w:tcMar>
            <w:vAlign w:val="center"/>
          </w:tcPr>
          <w:p>
            <w:pPr>
              <w:spacing w:after="0"/>
              <w:jc w:val="center"/>
            </w:pPr>
            <w:r>
              <w:rPr>
                <w:color w:val="243447"/>
                <w:sz w:val="15"/>
              </w:rPr>
              <w:t>Metric ID</w:t>
            </w:r>
          </w:p>
        </w:tc>
        <w:tc>
          <w:tcPr>
            <w:tcW w:type="dxa" w:w="7488"/>
            <w:tcMar>
              <w:top w:w="90" w:type="dxa"/>
              <w:start w:w="110" w:type="dxa"/>
              <w:bottom w:w="90" w:type="dxa"/>
              <w:end w:w="110" w:type="dxa"/>
            </w:tcMar>
            <w:vAlign w:val="center"/>
          </w:tcPr>
          <w:p>
            <w:pPr>
              <w:spacing w:after="0"/>
            </w:pPr>
            <w:r>
              <w:rPr>
                <w:color w:val="243447"/>
                <w:sz w:val="15"/>
              </w:rPr>
              <w:t>incremental_sales_v1</w:t>
            </w:r>
          </w:p>
        </w:tc>
      </w:tr>
      <w:tr>
        <w:trPr>
          <w:cantSplit/>
        </w:trPr>
        <w:tc>
          <w:tcPr>
            <w:tcW w:type="dxa" w:w="2880"/>
            <w:tcMar>
              <w:top w:w="90" w:type="dxa"/>
              <w:start w:w="110" w:type="dxa"/>
              <w:bottom w:w="90" w:type="dxa"/>
              <w:end w:w="110" w:type="dxa"/>
            </w:tcMar>
            <w:vAlign w:val="center"/>
            <w:shd w:fill="F7F9FC"/>
          </w:tcPr>
          <w:p>
            <w:pPr>
              <w:spacing w:after="0"/>
              <w:jc w:val="center"/>
            </w:pPr>
            <w:r>
              <w:rPr>
                <w:color w:val="243447"/>
                <w:sz w:val="15"/>
              </w:rPr>
              <w:t>Display name</w:t>
            </w:r>
          </w:p>
        </w:tc>
        <w:tc>
          <w:tcPr>
            <w:tcW w:type="dxa" w:w="7488"/>
            <w:tcMar>
              <w:top w:w="90" w:type="dxa"/>
              <w:start w:w="110" w:type="dxa"/>
              <w:bottom w:w="90" w:type="dxa"/>
              <w:end w:w="110" w:type="dxa"/>
            </w:tcMar>
            <w:vAlign w:val="center"/>
            <w:shd w:fill="F7F9FC"/>
          </w:tcPr>
          <w:p>
            <w:pPr>
              <w:spacing w:after="0"/>
              <w:jc w:val="center"/>
            </w:pPr>
            <w:r>
              <w:rPr>
                <w:color w:val="243447"/>
                <w:sz w:val="15"/>
              </w:rPr>
              <w:t>Incremental sales</w:t>
            </w:r>
          </w:p>
        </w:tc>
      </w:tr>
      <w:tr>
        <w:trPr>
          <w:cantSplit/>
        </w:trPr>
        <w:tc>
          <w:tcPr>
            <w:tcW w:type="dxa" w:w="2880"/>
            <w:tcMar>
              <w:top w:w="90" w:type="dxa"/>
              <w:start w:w="110" w:type="dxa"/>
              <w:bottom w:w="90" w:type="dxa"/>
              <w:end w:w="110" w:type="dxa"/>
            </w:tcMar>
            <w:vAlign w:val="center"/>
          </w:tcPr>
          <w:p>
            <w:pPr>
              <w:spacing w:after="0"/>
              <w:jc w:val="center"/>
            </w:pPr>
            <w:r>
              <w:rPr>
                <w:color w:val="243447"/>
                <w:sz w:val="15"/>
              </w:rPr>
              <w:t>Metric class</w:t>
            </w:r>
          </w:p>
        </w:tc>
        <w:tc>
          <w:tcPr>
            <w:tcW w:type="dxa" w:w="7488"/>
            <w:tcMar>
              <w:top w:w="90" w:type="dxa"/>
              <w:start w:w="110" w:type="dxa"/>
              <w:bottom w:w="90" w:type="dxa"/>
              <w:end w:w="110" w:type="dxa"/>
            </w:tcMar>
            <w:vAlign w:val="center"/>
          </w:tcPr>
          <w:p>
            <w:pPr>
              <w:spacing w:after="0"/>
            </w:pPr>
            <w:r>
              <w:rPr>
                <w:color w:val="243447"/>
                <w:sz w:val="15"/>
              </w:rPr>
              <w:t>Causal incrementality</w:t>
            </w:r>
          </w:p>
        </w:tc>
      </w:tr>
      <w:tr>
        <w:trPr>
          <w:cantSplit/>
        </w:trPr>
        <w:tc>
          <w:tcPr>
            <w:tcW w:type="dxa" w:w="2880"/>
            <w:tcMar>
              <w:top w:w="90" w:type="dxa"/>
              <w:start w:w="110" w:type="dxa"/>
              <w:bottom w:w="90" w:type="dxa"/>
              <w:end w:w="110" w:type="dxa"/>
            </w:tcMar>
            <w:vAlign w:val="center"/>
            <w:shd w:fill="F7F9FC"/>
          </w:tcPr>
          <w:p>
            <w:pPr>
              <w:spacing w:after="0"/>
              <w:jc w:val="center"/>
            </w:pPr>
            <w:r>
              <w:rPr>
                <w:color w:val="243447"/>
                <w:sz w:val="15"/>
              </w:rPr>
              <w:t>Formula</w:t>
            </w:r>
          </w:p>
        </w:tc>
        <w:tc>
          <w:tcPr>
            <w:tcW w:type="dxa" w:w="7488"/>
            <w:tcMar>
              <w:top w:w="90" w:type="dxa"/>
              <w:start w:w="110" w:type="dxa"/>
              <w:bottom w:w="90" w:type="dxa"/>
              <w:end w:w="110" w:type="dxa"/>
            </w:tcMar>
            <w:vAlign w:val="center"/>
            <w:shd w:fill="F7F9FC"/>
          </w:tcPr>
          <w:p>
            <w:pPr>
              <w:spacing w:after="0"/>
            </w:pPr>
            <w:r>
              <w:rPr>
                <w:color w:val="243447"/>
                <w:sz w:val="15"/>
              </w:rPr>
              <w:t>Observed treatment sales minus estimated counterfactual</w:t>
            </w:r>
          </w:p>
        </w:tc>
      </w:tr>
      <w:tr>
        <w:trPr>
          <w:cantSplit/>
        </w:trPr>
        <w:tc>
          <w:tcPr>
            <w:tcW w:type="dxa" w:w="2880"/>
            <w:tcMar>
              <w:top w:w="90" w:type="dxa"/>
              <w:start w:w="110" w:type="dxa"/>
              <w:bottom w:w="90" w:type="dxa"/>
              <w:end w:w="110" w:type="dxa"/>
            </w:tcMar>
            <w:vAlign w:val="center"/>
          </w:tcPr>
          <w:p>
            <w:pPr>
              <w:spacing w:after="0"/>
            </w:pPr>
            <w:r>
              <w:rPr>
                <w:color w:val="243447"/>
                <w:sz w:val="15"/>
              </w:rPr>
              <w:t>Numerator/denominator</w:t>
            </w:r>
          </w:p>
        </w:tc>
        <w:tc>
          <w:tcPr>
            <w:tcW w:type="dxa" w:w="7488"/>
            <w:tcMar>
              <w:top w:w="90" w:type="dxa"/>
              <w:start w:w="110" w:type="dxa"/>
              <w:bottom w:w="90" w:type="dxa"/>
              <w:end w:w="110" w:type="dxa"/>
            </w:tcMar>
            <w:vAlign w:val="center"/>
          </w:tcPr>
          <w:p>
            <w:pPr>
              <w:spacing w:after="0"/>
            </w:pPr>
            <w:r>
              <w:rPr>
                <w:color w:val="243447"/>
                <w:sz w:val="15"/>
              </w:rPr>
              <w:t>Stored separately where applicable</w:t>
            </w:r>
          </w:p>
        </w:tc>
      </w:tr>
      <w:tr>
        <w:trPr>
          <w:cantSplit/>
        </w:trPr>
        <w:tc>
          <w:tcPr>
            <w:tcW w:type="dxa" w:w="2880"/>
            <w:tcMar>
              <w:top w:w="90" w:type="dxa"/>
              <w:start w:w="110" w:type="dxa"/>
              <w:bottom w:w="90" w:type="dxa"/>
              <w:end w:w="110" w:type="dxa"/>
            </w:tcMar>
            <w:vAlign w:val="center"/>
            <w:shd w:fill="F7F9FC"/>
          </w:tcPr>
          <w:p>
            <w:pPr>
              <w:spacing w:after="0"/>
              <w:jc w:val="center"/>
            </w:pPr>
            <w:r>
              <w:rPr>
                <w:color w:val="243447"/>
                <w:sz w:val="15"/>
              </w:rPr>
              <w:t>Population</w:t>
            </w:r>
          </w:p>
        </w:tc>
        <w:tc>
          <w:tcPr>
            <w:tcW w:type="dxa" w:w="7488"/>
            <w:tcMar>
              <w:top w:w="90" w:type="dxa"/>
              <w:start w:w="110" w:type="dxa"/>
              <w:bottom w:w="90" w:type="dxa"/>
              <w:end w:w="110" w:type="dxa"/>
            </w:tcMar>
            <w:vAlign w:val="center"/>
            <w:shd w:fill="F7F9FC"/>
          </w:tcPr>
          <w:p>
            <w:pPr>
              <w:spacing w:after="0"/>
            </w:pPr>
            <w:r>
              <w:rPr>
                <w:color w:val="243447"/>
                <w:sz w:val="15"/>
              </w:rPr>
              <w:t>Matched treatment shoppers</w:t>
            </w:r>
          </w:p>
        </w:tc>
      </w:tr>
      <w:tr>
        <w:trPr>
          <w:cantSplit/>
        </w:trPr>
        <w:tc>
          <w:tcPr>
            <w:tcW w:type="dxa" w:w="2880"/>
            <w:tcMar>
              <w:top w:w="90" w:type="dxa"/>
              <w:start w:w="110" w:type="dxa"/>
              <w:bottom w:w="90" w:type="dxa"/>
              <w:end w:w="110" w:type="dxa"/>
            </w:tcMar>
            <w:vAlign w:val="center"/>
          </w:tcPr>
          <w:p>
            <w:pPr>
              <w:spacing w:after="0"/>
              <w:jc w:val="center"/>
            </w:pPr>
            <w:r>
              <w:rPr>
                <w:color w:val="243447"/>
                <w:sz w:val="15"/>
              </w:rPr>
              <w:t>Outcome scope</w:t>
            </w:r>
          </w:p>
        </w:tc>
        <w:tc>
          <w:tcPr>
            <w:tcW w:type="dxa" w:w="7488"/>
            <w:tcMar>
              <w:top w:w="90" w:type="dxa"/>
              <w:start w:w="110" w:type="dxa"/>
              <w:bottom w:w="90" w:type="dxa"/>
              <w:end w:w="110" w:type="dxa"/>
            </w:tcMar>
            <w:vAlign w:val="center"/>
          </w:tcPr>
          <w:p>
            <w:pPr>
              <w:spacing w:after="0"/>
            </w:pPr>
            <w:r>
              <w:rPr>
                <w:color w:val="243447"/>
                <w:sz w:val="15"/>
              </w:rPr>
              <w:t>Promoted SKUs only</w:t>
            </w:r>
          </w:p>
        </w:tc>
      </w:tr>
      <w:tr>
        <w:trPr>
          <w:cantSplit/>
        </w:trPr>
        <w:tc>
          <w:tcPr>
            <w:tcW w:type="dxa" w:w="2880"/>
            <w:tcMar>
              <w:top w:w="90" w:type="dxa"/>
              <w:start w:w="110" w:type="dxa"/>
              <w:bottom w:w="90" w:type="dxa"/>
              <w:end w:w="110" w:type="dxa"/>
            </w:tcMar>
            <w:vAlign w:val="center"/>
            <w:shd w:fill="F7F9FC"/>
          </w:tcPr>
          <w:p>
            <w:pPr>
              <w:spacing w:after="0"/>
              <w:jc w:val="center"/>
            </w:pPr>
            <w:r>
              <w:rPr>
                <w:color w:val="243447"/>
                <w:sz w:val="15"/>
              </w:rPr>
              <w:t>Time window</w:t>
            </w:r>
          </w:p>
        </w:tc>
        <w:tc>
          <w:tcPr>
            <w:tcW w:type="dxa" w:w="7488"/>
            <w:tcMar>
              <w:top w:w="90" w:type="dxa"/>
              <w:start w:w="110" w:type="dxa"/>
              <w:bottom w:w="90" w:type="dxa"/>
              <w:end w:w="110" w:type="dxa"/>
            </w:tcMar>
            <w:vAlign w:val="center"/>
            <w:shd w:fill="F7F9FC"/>
          </w:tcPr>
          <w:p>
            <w:pPr>
              <w:spacing w:after="0"/>
            </w:pPr>
            <w:r>
              <w:rPr>
                <w:color w:val="243447"/>
                <w:sz w:val="15"/>
              </w:rPr>
              <w:t>Exposure + 14 days</w:t>
            </w:r>
          </w:p>
        </w:tc>
      </w:tr>
      <w:tr>
        <w:trPr>
          <w:cantSplit/>
        </w:trPr>
        <w:tc>
          <w:tcPr>
            <w:tcW w:type="dxa" w:w="2880"/>
            <w:tcMar>
              <w:top w:w="90" w:type="dxa"/>
              <w:start w:w="110" w:type="dxa"/>
              <w:bottom w:w="90" w:type="dxa"/>
              <w:end w:w="110" w:type="dxa"/>
            </w:tcMar>
            <w:vAlign w:val="center"/>
          </w:tcPr>
          <w:p>
            <w:pPr>
              <w:spacing w:after="0"/>
              <w:jc w:val="center"/>
            </w:pPr>
            <w:r>
              <w:rPr>
                <w:color w:val="243447"/>
                <w:sz w:val="15"/>
              </w:rPr>
              <w:t>Cost scope</w:t>
            </w:r>
          </w:p>
        </w:tc>
        <w:tc>
          <w:tcPr>
            <w:tcW w:type="dxa" w:w="7488"/>
            <w:tcMar>
              <w:top w:w="90" w:type="dxa"/>
              <w:start w:w="110" w:type="dxa"/>
              <w:bottom w:w="90" w:type="dxa"/>
              <w:end w:w="110" w:type="dxa"/>
            </w:tcMar>
            <w:vAlign w:val="center"/>
          </w:tcPr>
          <w:p>
            <w:pPr>
              <w:spacing w:after="0"/>
            </w:pPr>
            <w:r>
              <w:rPr>
                <w:color w:val="243447"/>
                <w:sz w:val="15"/>
              </w:rPr>
              <w:t>Media spend excluding data fees</w:t>
            </w:r>
          </w:p>
        </w:tc>
      </w:tr>
      <w:tr>
        <w:trPr>
          <w:cantSplit/>
        </w:trPr>
        <w:tc>
          <w:tcPr>
            <w:tcW w:type="dxa" w:w="2880"/>
            <w:tcMar>
              <w:top w:w="90" w:type="dxa"/>
              <w:start w:w="110" w:type="dxa"/>
              <w:bottom w:w="90" w:type="dxa"/>
              <w:end w:w="110" w:type="dxa"/>
            </w:tcMar>
            <w:vAlign w:val="center"/>
            <w:shd w:fill="F7F9FC"/>
          </w:tcPr>
          <w:p>
            <w:pPr>
              <w:spacing w:after="0"/>
              <w:jc w:val="center"/>
            </w:pPr>
            <w:r>
              <w:rPr>
                <w:color w:val="243447"/>
                <w:sz w:val="15"/>
              </w:rPr>
              <w:t>Method</w:t>
            </w:r>
          </w:p>
        </w:tc>
        <w:tc>
          <w:tcPr>
            <w:tcW w:type="dxa" w:w="7488"/>
            <w:tcMar>
              <w:top w:w="90" w:type="dxa"/>
              <w:start w:w="110" w:type="dxa"/>
              <w:bottom w:w="90" w:type="dxa"/>
              <w:end w:w="110" w:type="dxa"/>
            </w:tcMar>
            <w:vAlign w:val="center"/>
            <w:shd w:fill="F7F9FC"/>
          </w:tcPr>
          <w:p>
            <w:pPr>
              <w:spacing w:after="0"/>
            </w:pPr>
            <w:r>
              <w:rPr>
                <w:color w:val="243447"/>
                <w:sz w:val="15"/>
              </w:rPr>
              <w:t>Randomized matched holdout</w:t>
            </w:r>
          </w:p>
        </w:tc>
      </w:tr>
      <w:tr>
        <w:trPr>
          <w:cantSplit/>
        </w:trPr>
        <w:tc>
          <w:tcPr>
            <w:tcW w:type="dxa" w:w="2880"/>
            <w:tcMar>
              <w:top w:w="90" w:type="dxa"/>
              <w:start w:w="110" w:type="dxa"/>
              <w:bottom w:w="90" w:type="dxa"/>
              <w:end w:w="110" w:type="dxa"/>
            </w:tcMar>
            <w:vAlign w:val="center"/>
          </w:tcPr>
          <w:p>
            <w:pPr>
              <w:spacing w:after="0"/>
              <w:jc w:val="center"/>
            </w:pPr>
            <w:r>
              <w:rPr>
                <w:color w:val="243447"/>
                <w:sz w:val="15"/>
              </w:rPr>
              <w:t>Source feeds</w:t>
            </w:r>
          </w:p>
        </w:tc>
        <w:tc>
          <w:tcPr>
            <w:tcW w:type="dxa" w:w="7488"/>
            <w:tcMar>
              <w:top w:w="90" w:type="dxa"/>
              <w:start w:w="110" w:type="dxa"/>
              <w:bottom w:w="90" w:type="dxa"/>
              <w:end w:w="110" w:type="dxa"/>
            </w:tcMar>
            <w:vAlign w:val="center"/>
          </w:tcPr>
          <w:p>
            <w:pPr>
              <w:spacing w:after="0"/>
            </w:pPr>
            <w:r>
              <w:rPr>
                <w:color w:val="243447"/>
                <w:sz w:val="15"/>
              </w:rPr>
              <w:t>Exposure, transaction, campaign, assignment, cost</w:t>
            </w:r>
          </w:p>
        </w:tc>
      </w:tr>
      <w:tr>
        <w:trPr>
          <w:cantSplit/>
        </w:trPr>
        <w:tc>
          <w:tcPr>
            <w:tcW w:type="dxa" w:w="2880"/>
            <w:tcMar>
              <w:top w:w="90" w:type="dxa"/>
              <w:start w:w="110" w:type="dxa"/>
              <w:bottom w:w="90" w:type="dxa"/>
              <w:end w:w="110" w:type="dxa"/>
            </w:tcMar>
            <w:vAlign w:val="center"/>
            <w:shd w:fill="F7F9FC"/>
          </w:tcPr>
          <w:p>
            <w:pPr>
              <w:spacing w:after="0"/>
              <w:jc w:val="center"/>
            </w:pPr>
            <w:r>
              <w:rPr>
                <w:color w:val="243447"/>
                <w:sz w:val="15"/>
              </w:rPr>
              <w:t>Quality gates</w:t>
            </w:r>
          </w:p>
        </w:tc>
        <w:tc>
          <w:tcPr>
            <w:tcW w:type="dxa" w:w="7488"/>
            <w:tcMar>
              <w:top w:w="90" w:type="dxa"/>
              <w:start w:w="110" w:type="dxa"/>
              <w:bottom w:w="90" w:type="dxa"/>
              <w:end w:w="110" w:type="dxa"/>
            </w:tcMar>
            <w:vAlign w:val="center"/>
            <w:shd w:fill="F7F9FC"/>
          </w:tcPr>
          <w:p>
            <w:pPr>
              <w:spacing w:after="0"/>
            </w:pPr>
            <w:r>
              <w:rPr>
                <w:color w:val="243447"/>
                <w:sz w:val="15"/>
              </w:rPr>
              <w:t>Power, balance, leakage, data coverage</w:t>
            </w:r>
          </w:p>
        </w:tc>
      </w:tr>
      <w:tr>
        <w:trPr>
          <w:cantSplit/>
        </w:trPr>
        <w:tc>
          <w:tcPr>
            <w:tcW w:type="dxa" w:w="2880"/>
            <w:tcMar>
              <w:top w:w="90" w:type="dxa"/>
              <w:start w:w="110" w:type="dxa"/>
              <w:bottom w:w="90" w:type="dxa"/>
              <w:end w:w="110" w:type="dxa"/>
            </w:tcMar>
            <w:vAlign w:val="center"/>
          </w:tcPr>
          <w:p>
            <w:pPr>
              <w:spacing w:after="0"/>
            </w:pPr>
            <w:r>
              <w:rPr>
                <w:color w:val="243447"/>
                <w:sz w:val="15"/>
              </w:rPr>
              <w:t>Version/effective date</w:t>
            </w:r>
          </w:p>
        </w:tc>
        <w:tc>
          <w:tcPr>
            <w:tcW w:type="dxa" w:w="7488"/>
            <w:tcMar>
              <w:top w:w="90" w:type="dxa"/>
              <w:start w:w="110" w:type="dxa"/>
              <w:bottom w:w="90" w:type="dxa"/>
              <w:end w:w="110" w:type="dxa"/>
            </w:tcMar>
            <w:vAlign w:val="center"/>
          </w:tcPr>
          <w:p>
            <w:pPr>
              <w:spacing w:after="0"/>
            </w:pPr>
            <w:r>
              <w:rPr>
                <w:color w:val="243447"/>
                <w:sz w:val="15"/>
              </w:rPr>
              <w:t>Method and semantic version</w:t>
            </w:r>
          </w:p>
        </w:tc>
      </w:tr>
      <w:tr>
        <w:trPr>
          <w:cantSplit/>
        </w:trPr>
        <w:tc>
          <w:tcPr>
            <w:tcW w:type="dxa" w:w="2880"/>
            <w:tcMar>
              <w:top w:w="90" w:type="dxa"/>
              <w:start w:w="110" w:type="dxa"/>
              <w:bottom w:w="90" w:type="dxa"/>
              <w:end w:w="110" w:type="dxa"/>
            </w:tcMar>
            <w:vAlign w:val="center"/>
            <w:shd w:fill="F7F9FC"/>
          </w:tcPr>
          <w:p>
            <w:pPr>
              <w:spacing w:after="0"/>
            </w:pPr>
            <w:r>
              <w:rPr>
                <w:color w:val="243447"/>
                <w:sz w:val="15"/>
              </w:rPr>
              <w:t>Comparability group</w:t>
            </w:r>
          </w:p>
        </w:tc>
        <w:tc>
          <w:tcPr>
            <w:tcW w:type="dxa" w:w="7488"/>
            <w:tcMar>
              <w:top w:w="90" w:type="dxa"/>
              <w:start w:w="110" w:type="dxa"/>
              <w:bottom w:w="90" w:type="dxa"/>
              <w:end w:w="110" w:type="dxa"/>
            </w:tcMar>
            <w:vAlign w:val="center"/>
            <w:shd w:fill="F7F9FC"/>
          </w:tcPr>
          <w:p>
            <w:pPr>
              <w:spacing w:after="0"/>
            </w:pPr>
            <w:r>
              <w:rPr>
                <w:color w:val="243447"/>
                <w:sz w:val="15"/>
              </w:rPr>
              <w:t>Only results with equivalent method/scope</w:t>
            </w:r>
          </w:p>
        </w:tc>
      </w:tr>
      <w:tr>
        <w:trPr>
          <w:cantSplit/>
        </w:trPr>
        <w:tc>
          <w:tcPr>
            <w:tcW w:type="dxa" w:w="2880"/>
            <w:tcMar>
              <w:top w:w="90" w:type="dxa"/>
              <w:start w:w="110" w:type="dxa"/>
              <w:bottom w:w="90" w:type="dxa"/>
              <w:end w:w="110" w:type="dxa"/>
            </w:tcMar>
            <w:vAlign w:val="center"/>
          </w:tcPr>
          <w:p>
            <w:pPr>
              <w:spacing w:after="0"/>
            </w:pPr>
            <w:r>
              <w:rPr>
                <w:color w:val="243447"/>
                <w:sz w:val="15"/>
              </w:rPr>
              <w:t>Required disclosure</w:t>
            </w:r>
          </w:p>
        </w:tc>
        <w:tc>
          <w:tcPr>
            <w:tcW w:type="dxa" w:w="7488"/>
            <w:tcMar>
              <w:top w:w="90" w:type="dxa"/>
              <w:start w:w="110" w:type="dxa"/>
              <w:bottom w:w="90" w:type="dxa"/>
              <w:end w:w="110" w:type="dxa"/>
            </w:tcMar>
            <w:vAlign w:val="center"/>
          </w:tcPr>
          <w:p>
            <w:pPr>
              <w:spacing w:after="0"/>
            </w:pPr>
            <w:r>
              <w:rPr>
                <w:color w:val="243447"/>
                <w:sz w:val="15"/>
              </w:rPr>
              <w:t>Confidence interval and measured-population funnel</w:t>
            </w:r>
          </w:p>
        </w:tc>
      </w:tr>
    </w:tbl>
    <w:p>
      <w:pPr>
        <w:spacing w:after="0"/>
      </w:pPr>
    </w:p>
    <w:p>
      <w:r>
        <w:br w:type="page"/>
      </w:r>
    </w:p>
    <w:p>
      <w:pPr>
        <w:pStyle w:val="Heading1"/>
        <w:keepNext/>
      </w:pPr>
      <w:r>
        <w:t>Appendix C. Research-to-product traceability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16"/>
            <w:shd w:fill="17365D"/>
            <w:tcMar>
              <w:top w:w="100" w:type="dxa"/>
              <w:start w:w="110" w:type="dxa"/>
              <w:bottom w:w="100" w:type="dxa"/>
              <w:end w:w="110" w:type="dxa"/>
            </w:tcMar>
            <w:vAlign w:val="center"/>
          </w:tcPr>
          <w:p>
            <w:pPr>
              <w:jc w:val="center"/>
            </w:pPr>
            <w:r>
              <w:rPr>
                <w:b/>
                <w:color w:val="FFFFFF"/>
                <w:sz w:val="14"/>
              </w:rPr>
              <w:t>Research evidence</w:t>
            </w:r>
          </w:p>
        </w:tc>
        <w:tc>
          <w:tcPr>
            <w:tcW w:type="dxa" w:w="6624"/>
            <w:shd w:fill="17365D"/>
            <w:tcMar>
              <w:top w:w="100" w:type="dxa"/>
              <w:start w:w="110" w:type="dxa"/>
              <w:bottom w:w="100" w:type="dxa"/>
              <w:end w:w="110" w:type="dxa"/>
            </w:tcMar>
            <w:vAlign w:val="center"/>
          </w:tcPr>
          <w:p>
            <w:pPr>
              <w:jc w:val="center"/>
            </w:pPr>
            <w:r>
              <w:rPr>
                <w:b/>
                <w:color w:val="FFFFFF"/>
                <w:sz w:val="14"/>
              </w:rPr>
              <w:t>Product response</w:t>
            </w:r>
          </w:p>
        </w:tc>
      </w:tr>
      <w:tr>
        <w:trPr>
          <w:cantSplit/>
        </w:trPr>
        <w:tc>
          <w:tcPr>
            <w:tcW w:type="dxa" w:w="3816"/>
            <w:tcMar>
              <w:top w:w="90" w:type="dxa"/>
              <w:start w:w="110" w:type="dxa"/>
              <w:bottom w:w="90" w:type="dxa"/>
              <w:end w:w="110" w:type="dxa"/>
            </w:tcMar>
            <w:vAlign w:val="center"/>
          </w:tcPr>
          <w:p>
            <w:pPr>
              <w:spacing w:after="0"/>
            </w:pPr>
            <w:r>
              <w:rPr>
                <w:color w:val="243447"/>
                <w:sz w:val="14"/>
              </w:rPr>
              <w:t>Retailers want to retain data control</w:t>
            </w:r>
          </w:p>
        </w:tc>
        <w:tc>
          <w:tcPr>
            <w:tcW w:type="dxa" w:w="6624"/>
            <w:tcMar>
              <w:top w:w="90" w:type="dxa"/>
              <w:start w:w="110" w:type="dxa"/>
              <w:bottom w:w="90" w:type="dxa"/>
              <w:end w:w="110" w:type="dxa"/>
            </w:tcMar>
            <w:vAlign w:val="center"/>
          </w:tcPr>
          <w:p>
            <w:pPr>
              <w:spacing w:after="0"/>
            </w:pPr>
            <w:r>
              <w:rPr>
                <w:color w:val="243447"/>
                <w:sz w:val="14"/>
              </w:rPr>
              <w:t>Embedded/private deployment, pseudonymous lineages and aggregate sharing</w:t>
            </w:r>
          </w:p>
        </w:tc>
      </w:tr>
      <w:tr>
        <w:trPr>
          <w:cantSplit/>
        </w:trPr>
        <w:tc>
          <w:tcPr>
            <w:tcW w:type="dxa" w:w="3816"/>
            <w:tcMar>
              <w:top w:w="90" w:type="dxa"/>
              <w:start w:w="110" w:type="dxa"/>
              <w:bottom w:w="90" w:type="dxa"/>
              <w:end w:w="110" w:type="dxa"/>
            </w:tcMar>
            <w:vAlign w:val="center"/>
            <w:shd w:fill="F7F9FC"/>
          </w:tcPr>
          <w:p>
            <w:pPr>
              <w:spacing w:after="0"/>
            </w:pPr>
            <w:r>
              <w:rPr>
                <w:color w:val="243447"/>
                <w:sz w:val="14"/>
              </w:rPr>
              <w:t>Advertisers distrust opaque/inflated ROAS</w:t>
            </w:r>
          </w:p>
        </w:tc>
        <w:tc>
          <w:tcPr>
            <w:tcW w:type="dxa" w:w="6624"/>
            <w:tcMar>
              <w:top w:w="90" w:type="dxa"/>
              <w:start w:w="110" w:type="dxa"/>
              <w:bottom w:w="90" w:type="dxa"/>
              <w:end w:w="110" w:type="dxa"/>
            </w:tcMar>
            <w:vAlign w:val="center"/>
            <w:shd w:fill="F7F9FC"/>
          </w:tcPr>
          <w:p>
            <w:pPr>
              <w:spacing w:after="0"/>
            </w:pPr>
            <w:r>
              <w:rPr>
                <w:color w:val="243447"/>
                <w:sz w:val="14"/>
              </w:rPr>
              <w:t>Metric classes, attribution reconciliation and methodology drawer</w:t>
            </w:r>
          </w:p>
        </w:tc>
      </w:tr>
      <w:tr>
        <w:trPr>
          <w:cantSplit/>
        </w:trPr>
        <w:tc>
          <w:tcPr>
            <w:tcW w:type="dxa" w:w="3816"/>
            <w:tcMar>
              <w:top w:w="90" w:type="dxa"/>
              <w:start w:w="110" w:type="dxa"/>
              <w:bottom w:w="90" w:type="dxa"/>
              <w:end w:w="110" w:type="dxa"/>
            </w:tcMar>
            <w:vAlign w:val="center"/>
          </w:tcPr>
          <w:p>
            <w:pPr>
              <w:spacing w:after="0"/>
            </w:pPr>
            <w:r>
              <w:rPr>
                <w:color w:val="243447"/>
                <w:sz w:val="14"/>
              </w:rPr>
              <w:t>Incrementality is inconsistent and contamination is common</w:t>
            </w:r>
          </w:p>
        </w:tc>
        <w:tc>
          <w:tcPr>
            <w:tcW w:type="dxa" w:w="6624"/>
            <w:tcMar>
              <w:top w:w="90" w:type="dxa"/>
              <w:start w:w="110" w:type="dxa"/>
              <w:bottom w:w="90" w:type="dxa"/>
              <w:end w:w="110" w:type="dxa"/>
            </w:tcMar>
            <w:vAlign w:val="center"/>
          </w:tcPr>
          <w:p>
            <w:pPr>
              <w:spacing w:after="0"/>
            </w:pPr>
            <w:r>
              <w:rPr>
                <w:color w:val="243447"/>
                <w:sz w:val="14"/>
              </w:rPr>
              <w:t>Experiment lab, quality gates and certification</w:t>
            </w:r>
          </w:p>
        </w:tc>
      </w:tr>
      <w:tr>
        <w:trPr>
          <w:cantSplit/>
        </w:trPr>
        <w:tc>
          <w:tcPr>
            <w:tcW w:type="dxa" w:w="3816"/>
            <w:tcMar>
              <w:top w:w="90" w:type="dxa"/>
              <w:start w:w="110" w:type="dxa"/>
              <w:bottom w:w="90" w:type="dxa"/>
              <w:end w:w="110" w:type="dxa"/>
            </w:tcMar>
            <w:vAlign w:val="center"/>
            <w:shd w:fill="F7F9FC"/>
          </w:tcPr>
          <w:p>
            <w:pPr>
              <w:spacing w:after="0"/>
            </w:pPr>
            <w:r>
              <w:rPr>
                <w:color w:val="243447"/>
                <w:sz w:val="14"/>
              </w:rPr>
              <w:t>Offsite data varies and walled gardens limit identity</w:t>
            </w:r>
          </w:p>
        </w:tc>
        <w:tc>
          <w:tcPr>
            <w:tcW w:type="dxa" w:w="6624"/>
            <w:tcMar>
              <w:top w:w="90" w:type="dxa"/>
              <w:start w:w="110" w:type="dxa"/>
              <w:bottom w:w="90" w:type="dxa"/>
              <w:end w:w="110" w:type="dxa"/>
            </w:tcMar>
            <w:vAlign w:val="center"/>
            <w:shd w:fill="F7F9FC"/>
          </w:tcPr>
          <w:p>
            <w:pPr>
              <w:spacing w:after="0"/>
            </w:pPr>
            <w:r>
              <w:rPr>
                <w:color w:val="243447"/>
                <w:sz w:val="14"/>
              </w:rPr>
              <w:t>Channel capability tiers and constrained language</w:t>
            </w:r>
          </w:p>
        </w:tc>
      </w:tr>
      <w:tr>
        <w:trPr>
          <w:cantSplit/>
        </w:trPr>
        <w:tc>
          <w:tcPr>
            <w:tcW w:type="dxa" w:w="3816"/>
            <w:tcMar>
              <w:top w:w="90" w:type="dxa"/>
              <w:start w:w="110" w:type="dxa"/>
              <w:bottom w:w="90" w:type="dxa"/>
              <w:end w:w="110" w:type="dxa"/>
            </w:tcMar>
            <w:vAlign w:val="center"/>
          </w:tcPr>
          <w:p>
            <w:pPr>
              <w:spacing w:after="0"/>
            </w:pPr>
            <w:r>
              <w:rPr>
                <w:color w:val="243447"/>
                <w:sz w:val="14"/>
              </w:rPr>
              <w:t>Reporting is manual, slow and fragmented</w:t>
            </w:r>
          </w:p>
        </w:tc>
        <w:tc>
          <w:tcPr>
            <w:tcW w:type="dxa" w:w="6624"/>
            <w:tcMar>
              <w:top w:w="90" w:type="dxa"/>
              <w:start w:w="110" w:type="dxa"/>
              <w:bottom w:w="90" w:type="dxa"/>
              <w:end w:w="110" w:type="dxa"/>
            </w:tcMar>
            <w:vAlign w:val="center"/>
          </w:tcPr>
          <w:p>
            <w:pPr>
              <w:spacing w:after="0"/>
            </w:pPr>
            <w:r>
              <w:rPr>
                <w:color w:val="243447"/>
                <w:sz w:val="14"/>
              </w:rPr>
              <w:t>Reusable report pack, self-service status, API and AI summary</w:t>
            </w:r>
          </w:p>
        </w:tc>
      </w:tr>
      <w:tr>
        <w:trPr>
          <w:cantSplit/>
        </w:trPr>
        <w:tc>
          <w:tcPr>
            <w:tcW w:type="dxa" w:w="3816"/>
            <w:tcMar>
              <w:top w:w="90" w:type="dxa"/>
              <w:start w:w="110" w:type="dxa"/>
              <w:bottom w:w="90" w:type="dxa"/>
              <w:end w:w="110" w:type="dxa"/>
            </w:tcMar>
            <w:vAlign w:val="center"/>
            <w:shd w:fill="F7F9FC"/>
          </w:tcPr>
          <w:p>
            <w:pPr>
              <w:spacing w:after="0"/>
            </w:pPr>
            <w:r>
              <w:rPr>
                <w:color w:val="243447"/>
                <w:sz w:val="14"/>
              </w:rPr>
              <w:t>Cross-RMN metrics are not apples-to-apples</w:t>
            </w:r>
          </w:p>
        </w:tc>
        <w:tc>
          <w:tcPr>
            <w:tcW w:type="dxa" w:w="6624"/>
            <w:tcMar>
              <w:top w:w="90" w:type="dxa"/>
              <w:start w:w="110" w:type="dxa"/>
              <w:bottom w:w="90" w:type="dxa"/>
              <w:end w:w="110" w:type="dxa"/>
            </w:tcMar>
            <w:vAlign w:val="center"/>
            <w:shd w:fill="F7F9FC"/>
          </w:tcPr>
          <w:p>
            <w:pPr>
              <w:spacing w:after="0"/>
            </w:pPr>
            <w:r>
              <w:rPr>
                <w:color w:val="243447"/>
                <w:sz w:val="14"/>
              </w:rPr>
              <w:t>Metric contract registry and comparability status</w:t>
            </w:r>
          </w:p>
        </w:tc>
      </w:tr>
      <w:tr>
        <w:trPr>
          <w:cantSplit/>
        </w:trPr>
        <w:tc>
          <w:tcPr>
            <w:tcW w:type="dxa" w:w="3816"/>
            <w:tcMar>
              <w:top w:w="90" w:type="dxa"/>
              <w:start w:w="110" w:type="dxa"/>
              <w:bottom w:w="90" w:type="dxa"/>
              <w:end w:w="110" w:type="dxa"/>
            </w:tcMar>
            <w:vAlign w:val="center"/>
          </w:tcPr>
          <w:p>
            <w:pPr>
              <w:spacing w:after="0"/>
            </w:pPr>
            <w:r>
              <w:rPr>
                <w:color w:val="243447"/>
                <w:sz w:val="14"/>
              </w:rPr>
              <w:t>Audience creation may be adequate but match loss is material</w:t>
            </w:r>
          </w:p>
        </w:tc>
        <w:tc>
          <w:tcPr>
            <w:tcW w:type="dxa" w:w="6624"/>
            <w:tcMar>
              <w:top w:w="90" w:type="dxa"/>
              <w:start w:w="110" w:type="dxa"/>
              <w:bottom w:w="90" w:type="dxa"/>
              <w:end w:w="110" w:type="dxa"/>
            </w:tcMar>
            <w:vAlign w:val="center"/>
          </w:tcPr>
          <w:p>
            <w:pPr>
              <w:spacing w:after="0"/>
            </w:pPr>
            <w:r>
              <w:rPr>
                <w:color w:val="243447"/>
                <w:sz w:val="14"/>
              </w:rPr>
              <w:t>Population funnel, forecast attrition and audience diagnostics</w:t>
            </w:r>
          </w:p>
        </w:tc>
      </w:tr>
      <w:tr>
        <w:trPr>
          <w:cantSplit/>
        </w:trPr>
        <w:tc>
          <w:tcPr>
            <w:tcW w:type="dxa" w:w="3816"/>
            <w:tcMar>
              <w:top w:w="90" w:type="dxa"/>
              <w:start w:w="110" w:type="dxa"/>
              <w:bottom w:w="90" w:type="dxa"/>
              <w:end w:w="110" w:type="dxa"/>
            </w:tcMar>
            <w:vAlign w:val="center"/>
            <w:shd w:fill="F7F9FC"/>
          </w:tcPr>
          <w:p>
            <w:pPr>
              <w:spacing w:after="0"/>
            </w:pPr>
            <w:r>
              <w:rPr>
                <w:color w:val="243447"/>
                <w:sz w:val="14"/>
              </w:rPr>
              <w:t>Advertisers want new buyers, basket, creative and audience detail</w:t>
            </w:r>
          </w:p>
        </w:tc>
        <w:tc>
          <w:tcPr>
            <w:tcW w:type="dxa" w:w="6624"/>
            <w:tcMar>
              <w:top w:w="90" w:type="dxa"/>
              <w:start w:w="110" w:type="dxa"/>
              <w:bottom w:w="90" w:type="dxa"/>
              <w:end w:w="110" w:type="dxa"/>
            </w:tcMar>
            <w:vAlign w:val="center"/>
            <w:shd w:fill="F7F9FC"/>
          </w:tcPr>
          <w:p>
            <w:pPr>
              <w:spacing w:after="0"/>
            </w:pPr>
            <w:r>
              <w:rPr>
                <w:color w:val="243447"/>
                <w:sz w:val="14"/>
              </w:rPr>
              <w:t>Dedicated KPI sets and drill-down views</w:t>
            </w:r>
          </w:p>
        </w:tc>
      </w:tr>
      <w:tr>
        <w:trPr>
          <w:cantSplit/>
        </w:trPr>
        <w:tc>
          <w:tcPr>
            <w:tcW w:type="dxa" w:w="3816"/>
            <w:tcMar>
              <w:top w:w="90" w:type="dxa"/>
              <w:start w:w="110" w:type="dxa"/>
              <w:bottom w:w="90" w:type="dxa"/>
              <w:end w:w="110" w:type="dxa"/>
            </w:tcMar>
            <w:vAlign w:val="center"/>
          </w:tcPr>
          <w:p>
            <w:pPr>
              <w:spacing w:after="0"/>
            </w:pPr>
            <w:r>
              <w:rPr>
                <w:color w:val="243447"/>
                <w:sz w:val="14"/>
              </w:rPr>
              <w:t>Rest-of-market is a potential NIQ distinction</w:t>
            </w:r>
          </w:p>
        </w:tc>
        <w:tc>
          <w:tcPr>
            <w:tcW w:type="dxa" w:w="6624"/>
            <w:tcMar>
              <w:top w:w="90" w:type="dxa"/>
              <w:start w:w="110" w:type="dxa"/>
              <w:bottom w:w="90" w:type="dxa"/>
              <w:end w:w="110" w:type="dxa"/>
            </w:tcMar>
            <w:vAlign w:val="center"/>
          </w:tcPr>
          <w:p>
            <w:pPr>
              <w:spacing w:after="0"/>
            </w:pPr>
            <w:r>
              <w:rPr>
                <w:color w:val="243447"/>
                <w:sz w:val="14"/>
              </w:rPr>
              <w:t>Market-context module with coverage disclosure</w:t>
            </w:r>
          </w:p>
        </w:tc>
      </w:tr>
      <w:tr>
        <w:trPr>
          <w:cantSplit/>
        </w:trPr>
        <w:tc>
          <w:tcPr>
            <w:tcW w:type="dxa" w:w="3816"/>
            <w:tcMar>
              <w:top w:w="90" w:type="dxa"/>
              <w:start w:w="110" w:type="dxa"/>
              <w:bottom w:w="90" w:type="dxa"/>
              <w:end w:w="110" w:type="dxa"/>
            </w:tcMar>
            <w:vAlign w:val="center"/>
            <w:shd w:fill="F7F9FC"/>
          </w:tcPr>
          <w:p>
            <w:pPr>
              <w:spacing w:after="0"/>
            </w:pPr>
            <w:r>
              <w:rPr>
                <w:color w:val="243447"/>
                <w:sz w:val="14"/>
              </w:rPr>
              <w:t>Planning tools aggregate but lack independent measurement</w:t>
            </w:r>
          </w:p>
        </w:tc>
        <w:tc>
          <w:tcPr>
            <w:tcW w:type="dxa" w:w="6624"/>
            <w:tcMar>
              <w:top w:w="90" w:type="dxa"/>
              <w:start w:w="110" w:type="dxa"/>
              <w:bottom w:w="90" w:type="dxa"/>
              <w:end w:w="110" w:type="dxa"/>
            </w:tcMar>
            <w:vAlign w:val="center"/>
            <w:shd w:fill="F7F9FC"/>
          </w:tcPr>
          <w:p>
            <w:pPr>
              <w:spacing w:after="0"/>
            </w:pPr>
            <w:r>
              <w:rPr>
                <w:color w:val="243447"/>
                <w:sz w:val="14"/>
              </w:rPr>
              <w:t>Partner/API strategy instead of building a competing activation platform</w:t>
            </w:r>
          </w:p>
        </w:tc>
      </w:tr>
    </w:tbl>
    <w:p>
      <w:pPr>
        <w:spacing w:after="0"/>
      </w:pPr>
    </w:p>
    <w:p>
      <w:pPr>
        <w:pStyle w:val="Small"/>
        <w:spacing w:before="40"/>
      </w:pPr>
      <w:r>
        <w:rPr>
          <w:b/>
        </w:rPr>
        <w:t xml:space="preserve">Research basis: </w:t>
      </w:r>
      <w:r>
        <w:t>&lt;File&gt;2510123_Retail Media Sector Scan - Executive Readout - DRAFT_vShare.pdf&lt;/File&gt;; &lt;File&gt;250922_NIQ Retail Medida Sector Scan - Verbatims_vShare (1).docx&lt;/File&gt;; &lt;File&gt;MarsUnited_RetailMediaReportCardUS_2Q2026_Final.pdf&lt;/File&gt;.</w:t>
      </w:r>
    </w:p>
    <w:p>
      <w:r>
        <w:br w:type="page"/>
      </w:r>
    </w:p>
    <w:p>
      <w:pPr>
        <w:pStyle w:val="Heading1"/>
        <w:keepNext/>
      </w:pPr>
      <w:r>
        <w:t>Appendix D. Final recommendation</w:t>
      </w:r>
    </w:p>
    <w:tbl>
      <w:tblPr>
        <w:tblW w:type="auto" w:w="0"/>
        <w:tblLook w:firstColumn="1" w:firstRow="1" w:lastColumn="0" w:lastRow="0" w:noHBand="0" w:noVBand="1" w:val="04A0"/>
      </w:tblPr>
      <w:tblGrid>
        <w:gridCol w:w="10166"/>
      </w:tblGrid>
      <w:tr>
        <w:tc>
          <w:tcPr>
            <w:tcW w:type="dxa" w:w="10166"/>
            <w:shd w:fill="E2F0D9"/>
            <w:tcMar>
              <w:top w:w="125" w:type="dxa"/>
              <w:start w:w="145" w:type="dxa"/>
              <w:bottom w:w="125" w:type="dxa"/>
              <w:end w:w="145" w:type="dxa"/>
            </w:tcMar>
          </w:tcPr>
          <w:p>
            <w:pPr>
              <w:spacing w:after="0"/>
            </w:pPr>
            <w:r>
              <w:rPr>
                <w:b/>
                <w:color w:val="17365D"/>
              </w:rPr>
              <w:t xml:space="preserve">Build this  </w:t>
            </w:r>
            <w:r>
              <w:t>A measurement-first, retailer-embedded product that produces trustworthy closed-loop campaign outcomes and a reusable learning loop. Its core asset is not another dashboard; it is the governed connection between shopper audience, media event, product, transaction, counterfactual and business decision.</w:t>
            </w:r>
          </w:p>
        </w:tc>
      </w:tr>
    </w:tbl>
    <w:p>
      <w:pPr>
        <w:spacing w:after="0"/>
      </w:pPr>
    </w:p>
    <w:p>
      <w:pPr>
        <w:pStyle w:val="ListBullet"/>
        <w:spacing w:after="50"/>
      </w:pPr>
      <w:r>
        <w:t>Lead with addressable channels and deterministic transaction linkage.</w:t>
      </w:r>
    </w:p>
    <w:p>
      <w:pPr>
        <w:pStyle w:val="ListBullet"/>
        <w:spacing w:after="50"/>
      </w:pPr>
      <w:r>
        <w:t>Make conversion/attribution valuable even when incrementality is unavailable.</w:t>
      </w:r>
    </w:p>
    <w:p>
      <w:pPr>
        <w:pStyle w:val="ListBullet"/>
        <w:spacing w:after="50"/>
      </w:pPr>
      <w:r>
        <w:t>Treat incrementality as a certified capability, not a universal toggle.</w:t>
      </w:r>
    </w:p>
    <w:p>
      <w:pPr>
        <w:pStyle w:val="ListBullet"/>
        <w:spacing w:after="50"/>
      </w:pPr>
      <w:r>
        <w:t>Create an optional parent advertiser initiative to unify channel campaigns.</w:t>
      </w:r>
    </w:p>
    <w:p>
      <w:pPr>
        <w:pStyle w:val="ListBullet"/>
        <w:spacing w:after="50"/>
      </w:pPr>
      <w:r>
        <w:t>Design for batch now and APIs/clean rooms later.</w:t>
      </w:r>
    </w:p>
    <w:p>
      <w:pPr>
        <w:pStyle w:val="ListBullet"/>
        <w:spacing w:after="50"/>
      </w:pPr>
      <w:r>
        <w:t>Use NIQ category, taxonomy and rest-of-market assets as differentiation.</w:t>
      </w:r>
    </w:p>
    <w:p>
      <w:pPr>
        <w:pStyle w:val="ListBullet"/>
        <w:spacing w:after="50"/>
      </w:pPr>
      <w:r>
        <w:t>Integrate with activation tools rather than duplicating them.</w:t>
      </w:r>
    </w:p>
    <w:p>
      <w:pPr>
        <w:pStyle w:val="ListBullet"/>
        <w:spacing w:after="50"/>
      </w:pPr>
      <w:r>
        <w:t>Make transparency and comparability the product experience, not a methodology appendix.</w:t>
      </w:r>
    </w:p>
    <w:sectPr w:rsidR="00FC693F" w:rsidRPr="0006063C" w:rsidSect="00034616">
      <w:headerReference w:type="default" r:id="rId9"/>
      <w:footerReference w:type="default" r:id="rId10"/>
      <w:pgSz w:w="12240" w:h="15840"/>
      <w:pgMar w:top="907" w:right="1037" w:bottom="90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5"/>
      </w:rPr>
      <w:t xml:space="preserve">Confidential working recommendation  |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NIQ ACTIVATE  |  MEDIA MANAGEMENT CLOSED LOOP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A6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6708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66708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NIQ Activate Ideal Retail Media Closed-Loop Product Strategy</dc:title>
  <dc:subject>Product strategy, KPIs, visuals, flows and requirements</dc:subject>
  <dc:creator>Mohammad Belghiszadeh</dc:creator>
  <keywords/>
  <dc:description>generated by python-docx</dc:description>
  <lastModifiedBy>Mohammad Belghiszadeh</lastModifiedBy>
  <revision>1</revision>
  <dcterms:created xsi:type="dcterms:W3CDTF">2026-09-13T18:08:37.3803141Z</dcterms:created>
  <dcterms:modified xsi:type="dcterms:W3CDTF">2026-09-13T18:08:37.3803141Z</dcterms:modified>
  <category/>
</coreProperties>
</file>