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Calibri" w:cs="Calibri" w:eastAsia="Calibri" w:hAnsi="Calibri"/>
          <w:b/>
          <w:bCs/>
          <w:caps/>
          <w:color w:val="5B6775"/>
          <w:sz w:val="19"/>
          <w:szCs w:val="19"/>
        </w:rPr>
        <w:t xml:space="preserve">NORDMARK RETAIL MEDIA  ·  PRODUCT CONCEPT</w:t>
      </w:r>
    </w:p>
    <w:p>
      <w:pPr>
        <w:spacing w:after="0" w:before="220"/>
      </w:pPr>
      <w:r>
        <w:rPr>
          <w:rFonts w:ascii="Calibri" w:cs="Calibri" w:eastAsia="Calibri" w:hAnsi="Calibri"/>
          <w:b/>
          <w:bCs/>
          <w:color w:val="111820"/>
          <w:sz w:val="56"/>
          <w:szCs w:val="56"/>
        </w:rPr>
        <w:t xml:space="preserve">The Campaign Report Builder</w:t>
      </w:r>
    </w:p>
    <w:p>
      <w:pPr>
        <w:spacing w:after="320" w:before="120"/>
      </w:pPr>
      <w:r>
        <w:rPr>
          <w:rFonts w:ascii="Calibri" w:cs="Calibri" w:eastAsia="Calibri" w:hAnsi="Calibri"/>
          <w:color w:val="0F6E5C"/>
          <w:sz w:val="28"/>
          <w:szCs w:val="28"/>
        </w:rPr>
        <w:t xml:space="preserve">How retailers turn campaign results into the deck they send their supplier</w:t>
      </w:r>
    </w:p>
    <w:p>
      <w:pPr>
        <w:pBdr>
          <w:bottom w:val="single" w:color="D3D8D6" w:sz="6" w:space="2"/>
        </w:pBdr>
        <w:spacing w:after="220" w:before="100"/>
      </w:pPr>
      <w:r>
        <w:rPr>
          <w:sz w:val="2"/>
          <w:szCs w:val="2"/>
        </w:rPr>
        <w:t xml:space="preserve"/>
      </w:r>
    </w:p>
    <w:p>
      <w:pPr>
        <w:spacing w:after="140" w:line="300"/>
      </w:pPr>
      <w:r>
        <w:rPr>
          <w:rFonts w:ascii="Calibri" w:cs="Calibri" w:eastAsia="Calibri" w:hAnsi="Calibri"/>
          <w:color w:val="5B6775"/>
          <w:sz w:val="21"/>
          <w:szCs w:val="21"/>
        </w:rPr>
        <w:t xml:space="preserve">Phase 1 — attributed results only. Written for product, commercial and client teams. No technical knowledge needed.</w:t>
      </w:r>
    </w:p>
    <w:p>
      <w:pPr>
        <w:spacing w:after="140" w:line="300"/>
      </w:pPr>
      <w:r>
        <w:rPr>
          <w:rFonts w:ascii="Calibri" w:cs="Calibri" w:eastAsia="Calibri" w:hAnsi="Calibri"/>
          <w:color w:val="5B6775"/>
          <w:sz w:val="21"/>
          <w:szCs w:val="21"/>
        </w:rPr>
        <w:t xml:space="preserve">1 October 2026  ·  Version 1.0  ·  Internal</w:t>
      </w:r>
    </w:p>
    <w:p>
      <w:r>
        <w:br w:type="page"/>
      </w:r>
    </w:p>
    <w:p>
      <w:pPr>
        <w:pStyle w:val="Heading1"/>
        <w:spacing w:after="160" w:before="420"/>
      </w:pPr>
      <w:r>
        <w:rPr>
          <w:rFonts w:ascii="Calibri" w:cs="Calibri" w:eastAsia="Calibri" w:hAnsi="Calibri"/>
          <w:b/>
          <w:bCs/>
          <w:color w:val="111820"/>
          <w:sz w:val="32"/>
          <w:szCs w:val="32"/>
        </w:rPr>
        <w:t xml:space="preserve">1.  The idea in one paragraph</w:t>
      </w:r>
    </w:p>
    <w:p>
      <w:pPr>
        <w:spacing w:after="140" w:line="300"/>
      </w:pPr>
      <w:r>
        <w:rPr>
          <w:rFonts w:ascii="Calibri" w:cs="Calibri" w:eastAsia="Calibri" w:hAnsi="Calibri"/>
          <w:color w:val="111820"/>
          <w:sz w:val="22"/>
          <w:szCs w:val="22"/>
        </w:rPr>
        <w:t xml:space="preserve">Today, when a campaign finishes, somebody on our team opens a reporting tool, copies numbers into PowerPoint, draws the charts again by hand, writes the commentary, and sends the deck to the supplier so they will book the next campaign. It takes a day or two per campaign. The </w:t>
      </w:r>
      <w:r>
        <w:rPr>
          <w:rFonts w:ascii="Calibri" w:cs="Calibri" w:eastAsia="Calibri" w:hAnsi="Calibri"/>
          <w:b/>
          <w:bCs/>
          <w:color w:val="111820"/>
          <w:sz w:val="22"/>
          <w:szCs w:val="22"/>
        </w:rPr>
        <w:t xml:space="preserve">Campaign Report Builder</w:t>
      </w:r>
      <w:r>
        <w:rPr>
          <w:rFonts w:ascii="Calibri" w:cs="Calibri" w:eastAsia="Calibri" w:hAnsi="Calibri"/>
          <w:color w:val="111820"/>
          <w:sz w:val="22"/>
          <w:szCs w:val="22"/>
        </w:rPr>
        <w:t xml:space="preserve"> turns that job into three short steps inside our product: </w:t>
      </w:r>
      <w:r>
        <w:rPr>
          <w:rFonts w:ascii="Calibri" w:cs="Calibri" w:eastAsia="Calibri" w:hAnsi="Calibri"/>
          <w:b/>
          <w:bCs/>
          <w:color w:val="111820"/>
          <w:sz w:val="22"/>
          <w:szCs w:val="22"/>
        </w:rPr>
        <w:t xml:space="preserve">pick the questions, write your words, send the deck.</w:t>
      </w:r>
      <w:r>
        <w:rPr>
          <w:rFonts w:ascii="Calibri" w:cs="Calibri" w:eastAsia="Calibri" w:hAnsi="Calibri"/>
          <w:color w:val="111820"/>
          <w:sz w:val="22"/>
          <w:szCs w:val="22"/>
        </w:rPr>
        <w:t xml:space="preserve"> The charts are already drawn. The numbers are already correct. The only thing a person adds is the thinking.</w:t>
      </w:r>
    </w:p>
    <w:tbl>
      <w:tblPr>
        <w:tblW w:type="dxa" w:w="9360"/>
        <w:tblBorders>
          <w:top w:val="single" w:color="D3D8D6" w:sz="4"/>
          <w:left w:val="single" w:color="8A5E10" w:sz="18"/>
          <w:bottom w:val="single" w:color="D3D8D6" w:sz="4"/>
          <w:right w:val="single" w:color="D3D8D6" w:sz="4"/>
          <w:insideH w:val="none"/>
          <w:insideV w:val="none"/>
        </w:tblBorders>
      </w:tblPr>
      <w:tblGrid>
        <w:gridCol w:w="9360"/>
      </w:tblGrid>
      <w:tr>
        <w:tc>
          <w:tcPr>
            <w:tcW w:type="dxa" w:w="9360"/>
            <w:shd w:fill="FBF6EC" w:val="clear"/>
            <w:tcMar>
              <w:top w:type="dxa" w:w="160"/>
              <w:left w:type="dxa" w:w="220"/>
              <w:bottom w:type="dxa" w:w="160"/>
              <w:right w:type="dxa" w:w="220"/>
            </w:tcMar>
          </w:tcPr>
          <w:p>
            <w:pPr>
              <w:spacing w:after="60"/>
            </w:pPr>
            <w:r>
              <w:rPr>
                <w:rFonts w:ascii="Calibri" w:cs="Calibri" w:eastAsia="Calibri" w:hAnsi="Calibri"/>
                <w:b/>
                <w:bCs/>
                <w:caps/>
                <w:color w:val="8A5E10"/>
                <w:sz w:val="21"/>
                <w:szCs w:val="21"/>
              </w:rPr>
              <w:t xml:space="preserve">The promise</w:t>
            </w:r>
          </w:p>
          <w:p>
            <w:pPr>
              <w:spacing w:after="0" w:line="290"/>
            </w:pPr>
            <w:r>
              <w:rPr>
                <w:rFonts w:ascii="Calibri" w:cs="Calibri" w:eastAsia="Calibri" w:hAnsi="Calibri"/>
                <w:color w:val="111820"/>
                <w:sz w:val="22"/>
                <w:szCs w:val="22"/>
              </w:rPr>
              <w:t xml:space="preserve">A campaign report that used to take two days now takes twenty minutes — and every number in it can be traced back to how we measured it.</w:t>
            </w:r>
          </w:p>
        </w:tc>
      </w:tr>
    </w:tbl>
    <w:p>
      <w:pPr>
        <w:spacing w:after="120"/>
      </w:pPr>
      <w:r>
        <w:rPr>
          <w:sz w:val="2"/>
          <w:szCs w:val="2"/>
        </w:rPr>
        <w:t xml:space="preserve"/>
      </w:r>
    </w:p>
    <w:p>
      <w:pPr>
        <w:pStyle w:val="Heading1"/>
        <w:spacing w:after="160" w:before="420"/>
      </w:pPr>
      <w:r>
        <w:rPr>
          <w:rFonts w:ascii="Calibri" w:cs="Calibri" w:eastAsia="Calibri" w:hAnsi="Calibri"/>
          <w:b/>
          <w:bCs/>
          <w:color w:val="111820"/>
          <w:sz w:val="32"/>
          <w:szCs w:val="32"/>
        </w:rPr>
        <w:t xml:space="preserve">2.  Who it is for, and what they are trying to do</w:t>
      </w:r>
    </w:p>
    <w:p>
      <w:pPr>
        <w:spacing w:after="140" w:line="300"/>
      </w:pPr>
      <w:r>
        <w:rPr>
          <w:rFonts w:ascii="Calibri" w:cs="Calibri" w:eastAsia="Calibri" w:hAnsi="Calibri"/>
          <w:color w:val="111820"/>
          <w:sz w:val="22"/>
          <w:szCs w:val="22"/>
        </w:rPr>
        <w:t xml:space="preserve">Three people touch this. They want different things from it.</w:t>
      </w:r>
    </w:p>
    <w:tbl>
      <w:tblPr>
        <w:tblW w:type="dxa" w:w="9360"/>
        <w:tblBorders>
          <w:top w:val="single" w:color="D3D8D6" w:sz="4"/>
          <w:left w:val="single" w:color="D3D8D6" w:sz="4"/>
          <w:bottom w:val="single" w:color="D3D8D6" w:sz="4"/>
          <w:right w:val="single" w:color="D3D8D6" w:sz="4"/>
          <w:insideH w:val="single" w:color="E5E9E7" w:sz="2"/>
          <w:insideV w:val="single" w:color="E5E9E7" w:sz="2"/>
        </w:tblBorders>
      </w:tblPr>
      <w:tblGrid>
        <w:gridCol w:w="2400"/>
        <w:gridCol w:w="3480"/>
        <w:gridCol w:w="3480"/>
      </w:tblGrid>
      <w:tr>
        <w:trPr>
          <w:tblHeader/>
        </w:trPr>
        <w:tc>
          <w:tcPr>
            <w:tcW w:type="dxa" w:w="2400"/>
            <w:shd w:fill="F4F6F5" w:val="clear"/>
            <w:tcMar>
              <w:top w:type="dxa" w:w="110"/>
              <w:left w:type="dxa" w:w="150"/>
              <w:bottom w:type="dxa" w:w="110"/>
              <w:right w:type="dxa" w:w="150"/>
            </w:tcMar>
          </w:tcPr>
          <w:p>
            <w:pPr>
              <w:spacing w:after="0" w:line="280"/>
            </w:pPr>
            <w:r>
              <w:rPr>
                <w:rFonts w:ascii="Calibri" w:cs="Calibri" w:eastAsia="Calibri" w:hAnsi="Calibri"/>
                <w:b/>
                <w:bCs/>
                <w:caps/>
                <w:color w:val="5B6775"/>
                <w:sz w:val="19"/>
                <w:szCs w:val="19"/>
              </w:rPr>
              <w:t xml:space="preserve">Person</w:t>
            </w:r>
          </w:p>
        </w:tc>
        <w:tc>
          <w:tcPr>
            <w:tcW w:type="dxa" w:w="3480"/>
            <w:shd w:fill="F4F6F5" w:val="clear"/>
            <w:tcMar>
              <w:top w:type="dxa" w:w="110"/>
              <w:left w:type="dxa" w:w="150"/>
              <w:bottom w:type="dxa" w:w="110"/>
              <w:right w:type="dxa" w:w="150"/>
            </w:tcMar>
          </w:tcPr>
          <w:p>
            <w:pPr>
              <w:spacing w:after="0" w:line="280"/>
            </w:pPr>
            <w:r>
              <w:rPr>
                <w:rFonts w:ascii="Calibri" w:cs="Calibri" w:eastAsia="Calibri" w:hAnsi="Calibri"/>
                <w:b/>
                <w:bCs/>
                <w:caps/>
                <w:color w:val="5B6775"/>
                <w:sz w:val="19"/>
                <w:szCs w:val="19"/>
              </w:rPr>
              <w:t xml:space="preserve">What they want</w:t>
            </w:r>
          </w:p>
        </w:tc>
        <w:tc>
          <w:tcPr>
            <w:tcW w:type="dxa" w:w="3480"/>
            <w:shd w:fill="F4F6F5" w:val="clear"/>
            <w:tcMar>
              <w:top w:type="dxa" w:w="110"/>
              <w:left w:type="dxa" w:w="150"/>
              <w:bottom w:type="dxa" w:w="110"/>
              <w:right w:type="dxa" w:w="150"/>
            </w:tcMar>
          </w:tcPr>
          <w:p>
            <w:pPr>
              <w:spacing w:after="0" w:line="280"/>
            </w:pPr>
            <w:r>
              <w:rPr>
                <w:rFonts w:ascii="Calibri" w:cs="Calibri" w:eastAsia="Calibri" w:hAnsi="Calibri"/>
                <w:b/>
                <w:bCs/>
                <w:caps/>
                <w:color w:val="5B6775"/>
                <w:sz w:val="19"/>
                <w:szCs w:val="19"/>
              </w:rPr>
              <w:t xml:space="preserve">What they do today</w:t>
            </w:r>
          </w:p>
        </w:tc>
      </w:tr>
      <w:tr>
        <w:tc>
          <w:tcPr>
            <w:tcW w:type="dxa" w:w="2400"/>
            <w:shd w:fill="FFFFFF" w:val="clear"/>
            <w:tcMar>
              <w:top w:type="dxa" w:w="110"/>
              <w:left w:type="dxa" w:w="150"/>
              <w:bottom w:type="dxa" w:w="110"/>
              <w:right w:type="dxa" w:w="150"/>
            </w:tcMar>
          </w:tcPr>
          <w:p>
            <w:pPr>
              <w:spacing w:after="0" w:line="280"/>
            </w:pPr>
            <w:r>
              <w:rPr>
                <w:rFonts w:ascii="Calibri" w:cs="Calibri" w:eastAsia="Calibri" w:hAnsi="Calibri"/>
                <w:b/>
                <w:bCs/>
                <w:caps w:val="false"/>
                <w:color w:val="111820"/>
                <w:sz w:val="21"/>
                <w:szCs w:val="21"/>
              </w:rPr>
              <w:t xml:space="preserve">The retailer's account manager</w:t>
            </w:r>
          </w:p>
        </w:tc>
        <w:tc>
          <w:tcPr>
            <w:tcW w:type="dxa" w:w="3480"/>
            <w:shd w:fill="FFFFFF" w:val="clear"/>
            <w:tcMar>
              <w:top w:type="dxa" w:w="110"/>
              <w:left w:type="dxa" w:w="150"/>
              <w:bottom w:type="dxa" w:w="110"/>
              <w:right w:type="dxa" w:w="150"/>
            </w:tcMar>
          </w:tcPr>
          <w:p>
            <w:pPr>
              <w:spacing w:after="0" w:line="280"/>
            </w:pPr>
            <w:r>
              <w:rPr>
                <w:rFonts w:ascii="Calibri" w:cs="Calibri" w:eastAsia="Calibri" w:hAnsi="Calibri"/>
                <w:b w:val="false"/>
                <w:bCs w:val="false"/>
                <w:caps w:val="false"/>
                <w:color w:val="111820"/>
                <w:sz w:val="21"/>
                <w:szCs w:val="21"/>
              </w:rPr>
              <w:t xml:space="preserve">A deck that convinces the supplier to renew</w:t>
            </w:r>
          </w:p>
        </w:tc>
        <w:tc>
          <w:tcPr>
            <w:tcW w:type="dxa" w:w="3480"/>
            <w:shd w:fill="FFFFFF" w:val="clear"/>
            <w:tcMar>
              <w:top w:type="dxa" w:w="110"/>
              <w:left w:type="dxa" w:w="150"/>
              <w:bottom w:type="dxa" w:w="110"/>
              <w:right w:type="dxa" w:w="150"/>
            </w:tcMar>
          </w:tcPr>
          <w:p>
            <w:pPr>
              <w:spacing w:after="0" w:line="280"/>
            </w:pPr>
            <w:r>
              <w:rPr>
                <w:rFonts w:ascii="Calibri" w:cs="Calibri" w:eastAsia="Calibri" w:hAnsi="Calibri"/>
                <w:b w:val="false"/>
                <w:bCs w:val="false"/>
                <w:caps w:val="false"/>
                <w:color w:val="111820"/>
                <w:sz w:val="21"/>
                <w:szCs w:val="21"/>
              </w:rPr>
              <w:t xml:space="preserve">Rebuilds it by hand in PowerPoint, every time</w:t>
            </w:r>
          </w:p>
        </w:tc>
      </w:tr>
      <w:tr>
        <w:tc>
          <w:tcPr>
            <w:tcW w:type="dxa" w:w="2400"/>
            <w:shd w:fill="FFFFFF" w:val="clear"/>
            <w:tcMar>
              <w:top w:type="dxa" w:w="110"/>
              <w:left w:type="dxa" w:w="150"/>
              <w:bottom w:type="dxa" w:w="110"/>
              <w:right w:type="dxa" w:w="150"/>
            </w:tcMar>
          </w:tcPr>
          <w:p>
            <w:pPr>
              <w:spacing w:after="0" w:line="280"/>
            </w:pPr>
            <w:r>
              <w:rPr>
                <w:rFonts w:ascii="Calibri" w:cs="Calibri" w:eastAsia="Calibri" w:hAnsi="Calibri"/>
                <w:b/>
                <w:bCs/>
                <w:caps w:val="false"/>
                <w:color w:val="111820"/>
                <w:sz w:val="21"/>
                <w:szCs w:val="21"/>
              </w:rPr>
              <w:t xml:space="preserve">The supplier (the brand)</w:t>
            </w:r>
          </w:p>
        </w:tc>
        <w:tc>
          <w:tcPr>
            <w:tcW w:type="dxa" w:w="3480"/>
            <w:shd w:fill="FFFFFF" w:val="clear"/>
            <w:tcMar>
              <w:top w:type="dxa" w:w="110"/>
              <w:left w:type="dxa" w:w="150"/>
              <w:bottom w:type="dxa" w:w="110"/>
              <w:right w:type="dxa" w:w="150"/>
            </w:tcMar>
          </w:tcPr>
          <w:p>
            <w:pPr>
              <w:spacing w:after="0" w:line="280"/>
            </w:pPr>
            <w:r>
              <w:rPr>
                <w:rFonts w:ascii="Calibri" w:cs="Calibri" w:eastAsia="Calibri" w:hAnsi="Calibri"/>
                <w:b w:val="false"/>
                <w:bCs w:val="false"/>
                <w:caps w:val="false"/>
                <w:color w:val="111820"/>
                <w:sz w:val="21"/>
                <w:szCs w:val="21"/>
              </w:rPr>
              <w:t xml:space="preserve">A straight answer: did my money work?</w:t>
            </w:r>
          </w:p>
        </w:tc>
        <w:tc>
          <w:tcPr>
            <w:tcW w:type="dxa" w:w="3480"/>
            <w:shd w:fill="FFFFFF" w:val="clear"/>
            <w:tcMar>
              <w:top w:type="dxa" w:w="110"/>
              <w:left w:type="dxa" w:w="150"/>
              <w:bottom w:type="dxa" w:w="110"/>
              <w:right w:type="dxa" w:w="150"/>
            </w:tcMar>
          </w:tcPr>
          <w:p>
            <w:pPr>
              <w:spacing w:after="0" w:line="280"/>
            </w:pPr>
            <w:r>
              <w:rPr>
                <w:rFonts w:ascii="Calibri" w:cs="Calibri" w:eastAsia="Calibri" w:hAnsi="Calibri"/>
                <w:b w:val="false"/>
                <w:bCs w:val="false"/>
                <w:caps w:val="false"/>
                <w:color w:val="111820"/>
                <w:sz w:val="21"/>
                <w:szCs w:val="21"/>
              </w:rPr>
              <w:t xml:space="preserve">Reads a deck they cannot question or check</w:t>
            </w:r>
          </w:p>
        </w:tc>
      </w:tr>
      <w:tr>
        <w:tc>
          <w:tcPr>
            <w:tcW w:type="dxa" w:w="2400"/>
            <w:shd w:fill="FFFFFF" w:val="clear"/>
            <w:tcMar>
              <w:top w:type="dxa" w:w="110"/>
              <w:left w:type="dxa" w:w="150"/>
              <w:bottom w:type="dxa" w:w="110"/>
              <w:right w:type="dxa" w:w="150"/>
            </w:tcMar>
          </w:tcPr>
          <w:p>
            <w:pPr>
              <w:spacing w:after="0" w:line="280"/>
            </w:pPr>
            <w:r>
              <w:rPr>
                <w:rFonts w:ascii="Calibri" w:cs="Calibri" w:eastAsia="Calibri" w:hAnsi="Calibri"/>
                <w:b/>
                <w:bCs/>
                <w:caps w:val="false"/>
                <w:color w:val="111820"/>
                <w:sz w:val="21"/>
                <w:szCs w:val="21"/>
              </w:rPr>
              <w:t xml:space="preserve">The retailer's analyst</w:t>
            </w:r>
          </w:p>
        </w:tc>
        <w:tc>
          <w:tcPr>
            <w:tcW w:type="dxa" w:w="3480"/>
            <w:shd w:fill="FFFFFF" w:val="clear"/>
            <w:tcMar>
              <w:top w:type="dxa" w:w="110"/>
              <w:left w:type="dxa" w:w="150"/>
              <w:bottom w:type="dxa" w:w="110"/>
              <w:right w:type="dxa" w:w="150"/>
            </w:tcMar>
          </w:tcPr>
          <w:p>
            <w:pPr>
              <w:spacing w:after="0" w:line="280"/>
            </w:pPr>
            <w:r>
              <w:rPr>
                <w:rFonts w:ascii="Calibri" w:cs="Calibri" w:eastAsia="Calibri" w:hAnsi="Calibri"/>
                <w:b w:val="false"/>
                <w:bCs w:val="false"/>
                <w:caps w:val="false"/>
                <w:color w:val="111820"/>
                <w:sz w:val="21"/>
                <w:szCs w:val="21"/>
              </w:rPr>
              <w:t xml:space="preserve">To not be asked for the same numbers twice</w:t>
            </w:r>
          </w:p>
        </w:tc>
        <w:tc>
          <w:tcPr>
            <w:tcW w:type="dxa" w:w="3480"/>
            <w:shd w:fill="FFFFFF" w:val="clear"/>
            <w:tcMar>
              <w:top w:type="dxa" w:w="110"/>
              <w:left w:type="dxa" w:w="150"/>
              <w:bottom w:type="dxa" w:w="110"/>
              <w:right w:type="dxa" w:w="150"/>
            </w:tcMar>
          </w:tcPr>
          <w:p>
            <w:pPr>
              <w:spacing w:after="0" w:line="280"/>
            </w:pPr>
            <w:r>
              <w:rPr>
                <w:rFonts w:ascii="Calibri" w:cs="Calibri" w:eastAsia="Calibri" w:hAnsi="Calibri"/>
                <w:b w:val="false"/>
                <w:bCs w:val="false"/>
                <w:caps w:val="false"/>
                <w:color w:val="111820"/>
                <w:sz w:val="21"/>
                <w:szCs w:val="21"/>
              </w:rPr>
              <w:t xml:space="preserve">Pulls exports, pastes them into slides for someone else</w:t>
            </w:r>
          </w:p>
        </w:tc>
      </w:tr>
    </w:tbl>
    <w:p>
      <w:pPr>
        <w:spacing w:after="160"/>
      </w:pPr>
      <w:r>
        <w:rPr>
          <w:sz w:val="2"/>
          <w:szCs w:val="2"/>
        </w:rPr>
        <w:t xml:space="preserve"/>
      </w:r>
    </w:p>
    <w:p>
      <w:pPr>
        <w:spacing w:after="140" w:line="300"/>
      </w:pPr>
      <w:r>
        <w:rPr>
          <w:rFonts w:ascii="Calibri" w:cs="Calibri" w:eastAsia="Calibri" w:hAnsi="Calibri"/>
          <w:color w:val="111820"/>
          <w:sz w:val="22"/>
          <w:szCs w:val="22"/>
        </w:rPr>
        <w:t xml:space="preserve">All three are served by the same idea: </w:t>
      </w:r>
      <w:r>
        <w:rPr>
          <w:rFonts w:ascii="Calibri" w:cs="Calibri" w:eastAsia="Calibri" w:hAnsi="Calibri"/>
          <w:b/>
          <w:bCs/>
          <w:color w:val="111820"/>
          <w:sz w:val="22"/>
          <w:szCs w:val="22"/>
        </w:rPr>
        <w:t xml:space="preserve">stop making people rebuild the report, and let them spend their time on what the numbers mean.</w:t>
      </w:r>
    </w:p>
    <w:p>
      <w:pPr>
        <w:spacing w:after="120"/>
      </w:pPr>
      <w:r>
        <w:rPr>
          <w:sz w:val="2"/>
          <w:szCs w:val="2"/>
        </w:rPr>
        <w:t xml:space="preserve"/>
      </w:r>
    </w:p>
    <w:p>
      <w:pPr>
        <w:pStyle w:val="Heading1"/>
        <w:spacing w:after="160" w:before="420"/>
      </w:pPr>
      <w:r>
        <w:rPr>
          <w:rFonts w:ascii="Calibri" w:cs="Calibri" w:eastAsia="Calibri" w:hAnsi="Calibri"/>
          <w:b/>
          <w:bCs/>
          <w:color w:val="111820"/>
          <w:sz w:val="32"/>
          <w:szCs w:val="32"/>
        </w:rPr>
        <w:t xml:space="preserve">3.  Why this is not another dashboard</w:t>
      </w:r>
    </w:p>
    <w:p>
      <w:pPr>
        <w:spacing w:after="140" w:line="300"/>
      </w:pPr>
      <w:r>
        <w:rPr>
          <w:rFonts w:ascii="Calibri" w:cs="Calibri" w:eastAsia="Calibri" w:hAnsi="Calibri"/>
          <w:color w:val="111820"/>
          <w:sz w:val="22"/>
          <w:szCs w:val="22"/>
        </w:rPr>
        <w:t xml:space="preserve">We already know what happens when we give people a dashboard. They look at it, and then they rebuild it in PowerPoint anyway — because a dashboard answers no question in particular, and a supplier meeting needs an argument, not a wall of numbers.</w:t>
      </w:r>
    </w:p>
    <w:p>
      <w:pPr>
        <w:spacing w:after="140" w:line="300"/>
      </w:pPr>
      <w:r>
        <w:rPr>
          <w:rFonts w:ascii="Calibri" w:cs="Calibri" w:eastAsia="Calibri" w:hAnsi="Calibri"/>
          <w:color w:val="111820"/>
          <w:sz w:val="22"/>
          <w:szCs w:val="22"/>
        </w:rPr>
        <w:t xml:space="preserve">A deck is different from a dashboard in three ways:</w:t>
      </w:r>
    </w:p>
    <w:p>
      <w:pPr>
        <w:pStyle w:val="ListParagraph"/>
        <w:numPr>
          <w:ilvl w:val="0"/>
          <w:numId w:val="2"/>
        </w:numPr>
        <w:spacing w:after="70" w:line="290"/>
      </w:pPr>
      <w:r>
        <w:rPr>
          <w:rFonts w:ascii="Calibri" w:cs="Calibri" w:eastAsia="Calibri" w:hAnsi="Calibri"/>
          <w:b/>
          <w:bCs/>
          <w:color w:val="111820"/>
          <w:sz w:val="22"/>
          <w:szCs w:val="22"/>
        </w:rPr>
        <w:t xml:space="preserve">It is ordered.</w:t>
      </w:r>
      <w:r>
        <w:rPr>
          <w:rFonts w:ascii="Calibri" w:cs="Calibri" w:eastAsia="Calibri" w:hAnsi="Calibri"/>
          <w:color w:val="111820"/>
          <w:sz w:val="22"/>
          <w:szCs w:val="22"/>
        </w:rPr>
        <w:t xml:space="preserve"> The slides come in the order a person would explain the campaign out loud: what we bought, who we reached, who bought, who they were, how we measured it.</w:t>
      </w:r>
    </w:p>
    <w:p>
      <w:pPr>
        <w:pStyle w:val="ListParagraph"/>
        <w:numPr>
          <w:ilvl w:val="0"/>
          <w:numId w:val="2"/>
        </w:numPr>
        <w:spacing w:after="70" w:line="290"/>
      </w:pPr>
      <w:r>
        <w:rPr>
          <w:rFonts w:ascii="Calibri" w:cs="Calibri" w:eastAsia="Calibri" w:hAnsi="Calibri"/>
          <w:b/>
          <w:bCs/>
          <w:color w:val="111820"/>
          <w:sz w:val="22"/>
          <w:szCs w:val="22"/>
        </w:rPr>
        <w:t xml:space="preserve">It has a point of view.</w:t>
      </w:r>
      <w:r>
        <w:rPr>
          <w:rFonts w:ascii="Calibri" w:cs="Calibri" w:eastAsia="Calibri" w:hAnsi="Calibri"/>
          <w:color w:val="111820"/>
          <w:sz w:val="22"/>
          <w:szCs w:val="22"/>
        </w:rPr>
        <w:t xml:space="preserve"> Every slide says something. The chart is the evidence; the sentence is the argument.</w:t>
      </w:r>
    </w:p>
    <w:p>
      <w:pPr>
        <w:pStyle w:val="ListParagraph"/>
        <w:numPr>
          <w:ilvl w:val="0"/>
          <w:numId w:val="2"/>
        </w:numPr>
        <w:spacing w:after="70" w:line="290"/>
      </w:pPr>
      <w:r>
        <w:rPr>
          <w:rFonts w:ascii="Calibri" w:cs="Calibri" w:eastAsia="Calibri" w:hAnsi="Calibri"/>
          <w:b/>
          <w:bCs/>
          <w:color w:val="111820"/>
          <w:sz w:val="22"/>
          <w:szCs w:val="22"/>
        </w:rPr>
        <w:t xml:space="preserve">It is finished.</w:t>
      </w:r>
      <w:r>
        <w:rPr>
          <w:rFonts w:ascii="Calibri" w:cs="Calibri" w:eastAsia="Calibri" w:hAnsi="Calibri"/>
          <w:color w:val="111820"/>
          <w:sz w:val="22"/>
          <w:szCs w:val="22"/>
        </w:rPr>
        <w:t xml:space="preserve"> You can send it to somebody outside the company without touching it again.</w:t>
      </w:r>
    </w:p>
    <w:p>
      <w:pPr>
        <w:spacing w:after="80"/>
      </w:pPr>
      <w:r>
        <w:rPr>
          <w:sz w:val="2"/>
          <w:szCs w:val="2"/>
        </w:rPr>
        <w:t xml:space="preserve"/>
      </w:r>
    </w:p>
    <w:p>
      <w:pPr>
        <w:spacing w:after="140" w:line="300"/>
      </w:pPr>
      <w:r>
        <w:rPr>
          <w:rFonts w:ascii="Calibri" w:cs="Calibri" w:eastAsia="Calibri" w:hAnsi="Calibri"/>
          <w:color w:val="111820"/>
          <w:sz w:val="22"/>
          <w:szCs w:val="22"/>
        </w:rPr>
        <w:t xml:space="preserve">So the product is not a better dashboard. It is a way of </w:t>
      </w:r>
      <w:r>
        <w:rPr>
          <w:rFonts w:ascii="Calibri" w:cs="Calibri" w:eastAsia="Calibri" w:hAnsi="Calibri"/>
          <w:b/>
          <w:bCs/>
          <w:color w:val="111820"/>
          <w:sz w:val="22"/>
          <w:szCs w:val="22"/>
        </w:rPr>
        <w:t xml:space="preserve">building the deck</w:t>
      </w:r>
      <w:r>
        <w:rPr>
          <w:rFonts w:ascii="Calibri" w:cs="Calibri" w:eastAsia="Calibri" w:hAnsi="Calibri"/>
          <w:color w:val="111820"/>
          <w:sz w:val="22"/>
          <w:szCs w:val="22"/>
        </w:rPr>
        <w:t xml:space="preserve">, with our data already in it.</w:t>
      </w:r>
    </w:p>
    <w:p>
      <w:pPr>
        <w:spacing w:after="120"/>
      </w:pPr>
      <w:r>
        <w:rPr>
          <w:sz w:val="2"/>
          <w:szCs w:val="2"/>
        </w:rPr>
        <w:t xml:space="preserve"/>
      </w:r>
    </w:p>
    <w:p>
      <w:pPr>
        <w:pStyle w:val="Heading1"/>
        <w:spacing w:after="160" w:before="420"/>
      </w:pPr>
      <w:r>
        <w:rPr>
          <w:rFonts w:ascii="Calibri" w:cs="Calibri" w:eastAsia="Calibri" w:hAnsi="Calibri"/>
          <w:b/>
          <w:bCs/>
          <w:color w:val="111820"/>
          <w:sz w:val="32"/>
          <w:szCs w:val="32"/>
        </w:rPr>
        <w:t xml:space="preserve">4.  The core idea: one question, one chart</w:t>
      </w:r>
    </w:p>
    <w:p>
      <w:pPr>
        <w:spacing w:after="140" w:line="300"/>
      </w:pPr>
      <w:r>
        <w:rPr>
          <w:rFonts w:ascii="Calibri" w:cs="Calibri" w:eastAsia="Calibri" w:hAnsi="Calibri"/>
          <w:color w:val="111820"/>
          <w:sz w:val="22"/>
          <w:szCs w:val="22"/>
        </w:rPr>
        <w:t xml:space="preserve">Everything rests on a single, small idea.</w:t>
      </w:r>
    </w:p>
    <w:p>
      <w:pPr>
        <w:pBdr>
          <w:left w:val="single" w:color="0F6E5C" w:sz="18" w:space="14"/>
        </w:pBdr>
        <w:spacing w:after="180" w:before="150" w:line="300"/>
        <w:ind w:left="340"/>
      </w:pPr>
      <w:r>
        <w:rPr>
          <w:rFonts w:ascii="Calibri" w:cs="Calibri" w:eastAsia="Calibri" w:hAnsi="Calibri"/>
          <w:i/>
          <w:iCs/>
          <w:color w:val="2B3A46"/>
          <w:sz w:val="22"/>
          <w:szCs w:val="22"/>
        </w:rPr>
        <w:t xml:space="preserve">A report is not a collection of metrics. It is a list of questions, each answered by one chart and one sentence.</w:t>
      </w:r>
    </w:p>
    <w:p>
      <w:pPr>
        <w:spacing w:after="140" w:line="300"/>
      </w:pPr>
      <w:r>
        <w:rPr>
          <w:rFonts w:ascii="Calibri" w:cs="Calibri" w:eastAsia="Calibri" w:hAnsi="Calibri"/>
          <w:color w:val="111820"/>
          <w:sz w:val="22"/>
          <w:szCs w:val="22"/>
        </w:rPr>
        <w:t xml:space="preserve">So instead of giving people a library of metrics, we give them a library of </w:t>
      </w:r>
      <w:r>
        <w:rPr>
          <w:rFonts w:ascii="Calibri" w:cs="Calibri" w:eastAsia="Calibri" w:hAnsi="Calibri"/>
          <w:b/>
          <w:bCs/>
          <w:color w:val="111820"/>
          <w:sz w:val="22"/>
          <w:szCs w:val="22"/>
        </w:rPr>
        <w:t xml:space="preserve">questions</w:t>
      </w:r>
      <w:r>
        <w:rPr>
          <w:rFonts w:ascii="Calibri" w:cs="Calibri" w:eastAsia="Calibri" w:hAnsi="Calibri"/>
          <w:color w:val="111820"/>
          <w:sz w:val="22"/>
          <w:szCs w:val="22"/>
        </w:rPr>
        <w:t xml:space="preserve"> — in their own words, the way a supplier would ask them:</w:t>
      </w:r>
    </w:p>
    <w:p>
      <w:pPr>
        <w:pStyle w:val="ListParagraph"/>
        <w:numPr>
          <w:ilvl w:val="0"/>
          <w:numId w:val="2"/>
        </w:numPr>
        <w:spacing w:after="70" w:line="290"/>
      </w:pPr>
      <w:r>
        <w:rPr>
          <w:rFonts w:ascii="Calibri" w:cs="Calibri" w:eastAsia="Calibri" w:hAnsi="Calibri"/>
          <w:color w:val="111820"/>
          <w:sz w:val="22"/>
          <w:szCs w:val="22"/>
        </w:rPr>
        <w:t xml:space="preserve">Did we deliver what we sold?</w:t>
      </w:r>
    </w:p>
    <w:p>
      <w:pPr>
        <w:pStyle w:val="ListParagraph"/>
        <w:numPr>
          <w:ilvl w:val="0"/>
          <w:numId w:val="2"/>
        </w:numPr>
        <w:spacing w:after="70" w:line="290"/>
      </w:pPr>
      <w:r>
        <w:rPr>
          <w:rFonts w:ascii="Calibri" w:cs="Calibri" w:eastAsia="Calibri" w:hAnsi="Calibri"/>
          <w:color w:val="111820"/>
          <w:sz w:val="22"/>
          <w:szCs w:val="22"/>
        </w:rPr>
        <w:t xml:space="preserve">How many shoppers did the campaign reach?</w:t>
      </w:r>
    </w:p>
    <w:p>
      <w:pPr>
        <w:pStyle w:val="ListParagraph"/>
        <w:numPr>
          <w:ilvl w:val="0"/>
          <w:numId w:val="2"/>
        </w:numPr>
        <w:spacing w:after="70" w:line="290"/>
      </w:pPr>
      <w:r>
        <w:rPr>
          <w:rFonts w:ascii="Calibri" w:cs="Calibri" w:eastAsia="Calibri" w:hAnsi="Calibri"/>
          <w:color w:val="111820"/>
          <w:sz w:val="22"/>
          <w:szCs w:val="22"/>
        </w:rPr>
        <w:t xml:space="preserve">How many shoppers bought?</w:t>
      </w:r>
    </w:p>
    <w:p>
      <w:pPr>
        <w:pStyle w:val="ListParagraph"/>
        <w:numPr>
          <w:ilvl w:val="0"/>
          <w:numId w:val="2"/>
        </w:numPr>
        <w:spacing w:after="70" w:line="290"/>
      </w:pPr>
      <w:r>
        <w:rPr>
          <w:rFonts w:ascii="Calibri" w:cs="Calibri" w:eastAsia="Calibri" w:hAnsi="Calibri"/>
          <w:color w:val="111820"/>
          <w:sz w:val="22"/>
          <w:szCs w:val="22"/>
        </w:rPr>
        <w:t xml:space="preserve">Which audiences converted best?</w:t>
      </w:r>
    </w:p>
    <w:p>
      <w:pPr>
        <w:pStyle w:val="ListParagraph"/>
        <w:numPr>
          <w:ilvl w:val="0"/>
          <w:numId w:val="2"/>
        </w:numPr>
        <w:spacing w:after="70" w:line="290"/>
      </w:pPr>
      <w:r>
        <w:rPr>
          <w:rFonts w:ascii="Calibri" w:cs="Calibri" w:eastAsia="Calibri" w:hAnsi="Calibri"/>
          <w:color w:val="111820"/>
          <w:sz w:val="22"/>
          <w:szCs w:val="22"/>
        </w:rPr>
        <w:t xml:space="preserve">Did buyers come back?</w:t>
      </w:r>
    </w:p>
    <w:p>
      <w:pPr>
        <w:pStyle w:val="ListParagraph"/>
        <w:numPr>
          <w:ilvl w:val="0"/>
          <w:numId w:val="2"/>
        </w:numPr>
        <w:spacing w:after="70" w:line="290"/>
      </w:pPr>
      <w:r>
        <w:rPr>
          <w:rFonts w:ascii="Calibri" w:cs="Calibri" w:eastAsia="Calibri" w:hAnsi="Calibri"/>
          <w:color w:val="111820"/>
          <w:sz w:val="22"/>
          <w:szCs w:val="22"/>
        </w:rPr>
        <w:t xml:space="preserve">Who bought, next to the category?</w:t>
      </w:r>
    </w:p>
    <w:p>
      <w:pPr>
        <w:pStyle w:val="ListParagraph"/>
        <w:numPr>
          <w:ilvl w:val="0"/>
          <w:numId w:val="2"/>
        </w:numPr>
        <w:spacing w:after="70" w:line="290"/>
      </w:pPr>
      <w:r>
        <w:rPr>
          <w:rFonts w:ascii="Calibri" w:cs="Calibri" w:eastAsia="Calibri" w:hAnsi="Calibri"/>
          <w:color w:val="111820"/>
          <w:sz w:val="22"/>
          <w:szCs w:val="22"/>
        </w:rPr>
        <w:t xml:space="preserve">Can we trust this read yet?</w:t>
      </w:r>
    </w:p>
    <w:p>
      <w:pPr>
        <w:spacing w:after="80"/>
      </w:pPr>
      <w:r>
        <w:rPr>
          <w:sz w:val="2"/>
          <w:szCs w:val="2"/>
        </w:rPr>
        <w:t xml:space="preserve"/>
      </w:r>
    </w:p>
    <w:p>
      <w:pPr>
        <w:spacing w:after="140" w:line="300"/>
      </w:pPr>
      <w:r>
        <w:rPr>
          <w:rFonts w:ascii="Calibri" w:cs="Calibri" w:eastAsia="Calibri" w:hAnsi="Calibri"/>
          <w:color w:val="111820"/>
          <w:sz w:val="22"/>
          <w:szCs w:val="22"/>
        </w:rPr>
        <w:t xml:space="preserve">Each question comes with its chart already drawn and its numbers already in place. A person browses the questions, picks the ones their supplier is actually asking, and ignores the rest. Fifteen questions in Phase 1 — enough to build a real report, few enough to read in a minute.</w:t>
      </w:r>
    </w:p>
    <w:tbl>
      <w:tblPr>
        <w:tblW w:type="dxa" w:w="9360"/>
        <w:tblBorders>
          <w:top w:val="single" w:color="D3D8D6" w:sz="4"/>
          <w:left w:val="single" w:color="8A5E10" w:sz="18"/>
          <w:bottom w:val="single" w:color="D3D8D6" w:sz="4"/>
          <w:right w:val="single" w:color="D3D8D6" w:sz="4"/>
          <w:insideH w:val="none"/>
          <w:insideV w:val="none"/>
        </w:tblBorders>
      </w:tblPr>
      <w:tblGrid>
        <w:gridCol w:w="9360"/>
      </w:tblGrid>
      <w:tr>
        <w:tc>
          <w:tcPr>
            <w:tcW w:type="dxa" w:w="9360"/>
            <w:shd w:fill="FBF6EC" w:val="clear"/>
            <w:tcMar>
              <w:top w:type="dxa" w:w="160"/>
              <w:left w:type="dxa" w:w="220"/>
              <w:bottom w:type="dxa" w:w="160"/>
              <w:right w:type="dxa" w:w="220"/>
            </w:tcMar>
          </w:tcPr>
          <w:p>
            <w:pPr>
              <w:spacing w:after="60"/>
            </w:pPr>
            <w:r>
              <w:rPr>
                <w:rFonts w:ascii="Calibri" w:cs="Calibri" w:eastAsia="Calibri" w:hAnsi="Calibri"/>
                <w:b/>
                <w:bCs/>
                <w:caps/>
                <w:color w:val="8A5E10"/>
                <w:sz w:val="21"/>
                <w:szCs w:val="21"/>
              </w:rPr>
              <w:t xml:space="preserve">Why this matters commercially</w:t>
            </w:r>
          </w:p>
          <w:p>
            <w:pPr>
              <w:spacing w:after="0" w:line="290"/>
            </w:pPr>
            <w:r>
              <w:rPr>
                <w:rFonts w:ascii="Calibri" w:cs="Calibri" w:eastAsia="Calibri" w:hAnsi="Calibri"/>
                <w:color w:val="111820"/>
                <w:sz w:val="22"/>
                <w:szCs w:val="22"/>
              </w:rPr>
              <w:t xml:space="preserve">A question is something a salesperson can promise and a supplier can ask for. A metric is not. This reframing is what makes the product easy to sell and easy to use — the same list works as a feature list, a demo script and a menu.</w:t>
            </w:r>
          </w:p>
        </w:tc>
      </w:tr>
    </w:tbl>
    <w:p>
      <w:pPr>
        <w:spacing w:after="120"/>
      </w:pPr>
      <w:r>
        <w:rPr>
          <w:sz w:val="2"/>
          <w:szCs w:val="2"/>
        </w:rPr>
        <w:t xml:space="preserve"/>
      </w:r>
    </w:p>
    <w:p>
      <w:pPr>
        <w:pStyle w:val="Heading1"/>
        <w:spacing w:after="160" w:before="420"/>
      </w:pPr>
      <w:r>
        <w:rPr>
          <w:rFonts w:ascii="Calibri" w:cs="Calibri" w:eastAsia="Calibri" w:hAnsi="Calibri"/>
          <w:b/>
          <w:bCs/>
          <w:color w:val="111820"/>
          <w:sz w:val="32"/>
          <w:szCs w:val="32"/>
        </w:rPr>
        <w:t xml:space="preserve">5.  How it works: three steps</w:t>
      </w:r>
    </w:p>
    <w:p>
      <w:pPr>
        <w:pStyle w:val="Heading2"/>
        <w:spacing w:after="110" w:before="280"/>
      </w:pPr>
      <w:r>
        <w:rPr>
          <w:rFonts w:ascii="Calibri" w:cs="Calibri" w:eastAsia="Calibri" w:hAnsi="Calibri"/>
          <w:b/>
          <w:bCs/>
          <w:color w:val="0F6E5C"/>
          <w:sz w:val="25"/>
          <w:szCs w:val="25"/>
        </w:rPr>
        <w:t xml:space="preserve">Step 1 — Pick the questions</w:t>
      </w:r>
    </w:p>
    <w:p>
      <w:pPr>
        <w:spacing w:after="140" w:line="300"/>
      </w:pPr>
      <w:r>
        <w:rPr>
          <w:rFonts w:ascii="Calibri" w:cs="Calibri" w:eastAsia="Calibri" w:hAnsi="Calibri"/>
          <w:color w:val="111820"/>
          <w:sz w:val="22"/>
          <w:szCs w:val="22"/>
        </w:rPr>
        <w:t xml:space="preserve">A gallery of question cards. Each card shows the real chart with the real numbers, so a person can see the answer before deciding whether to use it. Press </w:t>
      </w:r>
      <w:r>
        <w:rPr>
          <w:rFonts w:ascii="Calibri" w:cs="Calibri" w:eastAsia="Calibri" w:hAnsi="Calibri"/>
          <w:b/>
          <w:bCs/>
          <w:color w:val="111820"/>
          <w:sz w:val="22"/>
          <w:szCs w:val="22"/>
        </w:rPr>
        <w:t xml:space="preserve">Add</w:t>
      </w:r>
      <w:r>
        <w:rPr>
          <w:rFonts w:ascii="Calibri" w:cs="Calibri" w:eastAsia="Calibri" w:hAnsi="Calibri"/>
          <w:color w:val="111820"/>
          <w:sz w:val="22"/>
          <w:szCs w:val="22"/>
        </w:rPr>
        <w:t xml:space="preserve"> and the question joins the report. Filters narrow the list by chapter: delivery, conversion, commerce, shoppers, method.</w:t>
      </w:r>
    </w:p>
    <w:p>
      <w:pPr>
        <w:spacing w:after="140" w:line="300"/>
      </w:pPr>
      <w:r>
        <w:rPr>
          <w:rFonts w:ascii="Calibri" w:cs="Calibri" w:eastAsia="Calibri" w:hAnsi="Calibri"/>
          <w:color w:val="111820"/>
          <w:sz w:val="22"/>
          <w:szCs w:val="22"/>
        </w:rPr>
        <w:t xml:space="preserve">If someone wants the same report every time, they save the order as a template — and next quarter the deck assembles itself.</w:t>
      </w:r>
    </w:p>
    <w:p>
      <w:pPr>
        <w:pStyle w:val="Heading2"/>
        <w:spacing w:after="110" w:before="280"/>
      </w:pPr>
      <w:r>
        <w:rPr>
          <w:rFonts w:ascii="Calibri" w:cs="Calibri" w:eastAsia="Calibri" w:hAnsi="Calibri"/>
          <w:b/>
          <w:bCs/>
          <w:color w:val="0F6E5C"/>
          <w:sz w:val="25"/>
          <w:szCs w:val="25"/>
        </w:rPr>
        <w:t xml:space="preserve">Step 2 — Write your words</w:t>
      </w:r>
    </w:p>
    <w:p>
      <w:pPr>
        <w:spacing w:after="140" w:line="300"/>
      </w:pPr>
      <w:r>
        <w:rPr>
          <w:rFonts w:ascii="Calibri" w:cs="Calibri" w:eastAsia="Calibri" w:hAnsi="Calibri"/>
          <w:color w:val="111820"/>
          <w:sz w:val="22"/>
          <w:szCs w:val="22"/>
        </w:rPr>
        <w:t xml:space="preserve">Each chosen question becomes a slide. The chart sits on the right. On the left is a green box: </w:t>
      </w:r>
      <w:r>
        <w:rPr>
          <w:rFonts w:ascii="Calibri" w:cs="Calibri" w:eastAsia="Calibri" w:hAnsi="Calibri"/>
          <w:b/>
          <w:bCs/>
          <w:color w:val="111820"/>
          <w:sz w:val="22"/>
          <w:szCs w:val="22"/>
        </w:rPr>
        <w:t xml:space="preserve">the only part of the slide a person can edit.</w:t>
      </w:r>
    </w:p>
    <w:p>
      <w:pPr>
        <w:spacing w:after="140" w:line="300"/>
      </w:pPr>
      <w:r>
        <w:rPr>
          <w:rFonts w:ascii="Calibri" w:cs="Calibri" w:eastAsia="Calibri" w:hAnsi="Calibri"/>
          <w:color w:val="111820"/>
          <w:sz w:val="22"/>
          <w:szCs w:val="22"/>
        </w:rPr>
        <w:t xml:space="preserve">We help them fill it. Beside every slide we offer </w:t>
      </w:r>
      <w:r>
        <w:rPr>
          <w:rFonts w:ascii="Calibri" w:cs="Calibri" w:eastAsia="Calibri" w:hAnsi="Calibri"/>
          <w:b/>
          <w:bCs/>
          <w:color w:val="111820"/>
          <w:sz w:val="22"/>
          <w:szCs w:val="22"/>
        </w:rPr>
        <w:t xml:space="preserve">three sentences written from that chart's own numbers</w:t>
      </w:r>
      <w:r>
        <w:rPr>
          <w:rFonts w:ascii="Calibri" w:cs="Calibri" w:eastAsia="Calibri" w:hAnsi="Calibri"/>
          <w:color w:val="111820"/>
          <w:sz w:val="22"/>
          <w:szCs w:val="22"/>
        </w:rPr>
        <w:t xml:space="preserve"> — different angles on the same data, not three phrasings of one. Click one, and it lands on the slide. Then edit it, add the recommendation, say the thing the numbers cannot say.</w:t>
      </w:r>
    </w:p>
    <w:p>
      <w:pPr>
        <w:pBdr>
          <w:left w:val="single" w:color="0F6E5C" w:sz="18" w:space="14"/>
        </w:pBdr>
        <w:spacing w:after="180" w:before="150" w:line="300"/>
        <w:ind w:left="340"/>
      </w:pPr>
      <w:r>
        <w:rPr>
          <w:rFonts w:ascii="Calibri" w:cs="Calibri" w:eastAsia="Calibri" w:hAnsi="Calibri"/>
          <w:i/>
          <w:iCs/>
          <w:color w:val="2B3A46"/>
          <w:sz w:val="22"/>
          <w:szCs w:val="22"/>
        </w:rPr>
        <w:t xml:space="preserve">"The health-snack audience converted at 0.81% — 3.2× the campaign average of 0.25%, +0.55 pts above it."</w:t>
      </w:r>
    </w:p>
    <w:p>
      <w:pPr>
        <w:spacing w:after="140" w:line="300"/>
      </w:pPr>
      <w:r>
        <w:rPr>
          <w:rFonts w:ascii="Calibri" w:cs="Calibri" w:eastAsia="Calibri" w:hAnsi="Calibri"/>
          <w:color w:val="111820"/>
          <w:sz w:val="22"/>
          <w:szCs w:val="22"/>
        </w:rPr>
        <w:t xml:space="preserve">That sentence is generated. The team then adds the part that matters — </w:t>
      </w:r>
      <w:r>
        <w:rPr>
          <w:rFonts w:ascii="Calibri" w:cs="Calibri" w:eastAsia="Calibri" w:hAnsi="Calibri"/>
          <w:b/>
          <w:bCs/>
          <w:color w:val="111820"/>
          <w:sz w:val="22"/>
          <w:szCs w:val="22"/>
        </w:rPr>
        <w:t xml:space="preserve">"so we are moving 20% of the Christmas budget into this segment."</w:t>
      </w:r>
    </w:p>
    <w:p>
      <w:pPr>
        <w:spacing w:after="140" w:line="300"/>
      </w:pPr>
      <w:r>
        <w:rPr>
          <w:rFonts w:ascii="Calibri" w:cs="Calibri" w:eastAsia="Calibri" w:hAnsi="Calibri"/>
          <w:color w:val="111820"/>
          <w:sz w:val="22"/>
          <w:szCs w:val="22"/>
        </w:rPr>
        <w:t xml:space="preserve">A person can also change what the chart shows — break the same question down by audience, placement, banner, channel or product — and the suggested sentences </w:t>
      </w:r>
      <w:r>
        <w:rPr>
          <w:rFonts w:ascii="Calibri" w:cs="Calibri" w:eastAsia="Calibri" w:hAnsi="Calibri"/>
          <w:b/>
          <w:bCs/>
          <w:color w:val="111820"/>
          <w:sz w:val="22"/>
          <w:szCs w:val="22"/>
        </w:rPr>
        <w:t xml:space="preserve">rewrite themselves to match.</w:t>
      </w:r>
      <w:r>
        <w:rPr>
          <w:rFonts w:ascii="Calibri" w:cs="Calibri" w:eastAsia="Calibri" w:hAnsi="Calibri"/>
          <w:color w:val="111820"/>
          <w:sz w:val="22"/>
          <w:szCs w:val="22"/>
        </w:rPr>
        <w:t xml:space="preserve"> Change the question from "which audience" to "which placement", and the sentence now talks about placements.</w:t>
      </w:r>
    </w:p>
    <w:p>
      <w:pPr>
        <w:pStyle w:val="Heading2"/>
        <w:spacing w:after="110" w:before="280"/>
      </w:pPr>
      <w:r>
        <w:rPr>
          <w:rFonts w:ascii="Calibri" w:cs="Calibri" w:eastAsia="Calibri" w:hAnsi="Calibri"/>
          <w:b/>
          <w:bCs/>
          <w:color w:val="0F6E5C"/>
          <w:sz w:val="25"/>
          <w:szCs w:val="25"/>
        </w:rPr>
        <w:t xml:space="preserve">Step 3 — Send the deck</w:t>
      </w:r>
    </w:p>
    <w:p>
      <w:pPr>
        <w:spacing w:after="140" w:line="300"/>
      </w:pPr>
      <w:r>
        <w:rPr>
          <w:rFonts w:ascii="Calibri" w:cs="Calibri" w:eastAsia="Calibri" w:hAnsi="Calibri"/>
          <w:color w:val="111820"/>
          <w:sz w:val="22"/>
          <w:szCs w:val="22"/>
        </w:rPr>
        <w:t xml:space="preserve">The slides appear in a finished report: cover, slides in order, and a closing page for learnings and recommendations. Export to PowerPoint or PDF, or share a link that stays live.</w:t>
      </w:r>
    </w:p>
    <w:p>
      <w:pPr>
        <w:spacing w:after="140" w:line="300"/>
      </w:pPr>
      <w:r>
        <w:rPr>
          <w:rFonts w:ascii="Calibri" w:cs="Calibri" w:eastAsia="Calibri" w:hAnsi="Calibri"/>
          <w:color w:val="111820"/>
          <w:sz w:val="22"/>
          <w:szCs w:val="22"/>
        </w:rPr>
        <w:t xml:space="preserve">One choice matters here. While a campaign is still running, the numbers keep moving. So before exporting, a person decides: </w:t>
      </w:r>
      <w:r>
        <w:rPr>
          <w:rFonts w:ascii="Calibri" w:cs="Calibri" w:eastAsia="Calibri" w:hAnsi="Calibri"/>
          <w:b/>
          <w:bCs/>
          <w:color w:val="111820"/>
          <w:sz w:val="22"/>
          <w:szCs w:val="22"/>
        </w:rPr>
        <w:t xml:space="preserve">keep it live</w:t>
      </w:r>
      <w:r>
        <w:rPr>
          <w:rFonts w:ascii="Calibri" w:cs="Calibri" w:eastAsia="Calibri" w:hAnsi="Calibri"/>
          <w:color w:val="111820"/>
          <w:sz w:val="22"/>
          <w:szCs w:val="22"/>
        </w:rPr>
        <w:t xml:space="preserve">, so the deck updates, or </w:t>
      </w:r>
      <w:r>
        <w:rPr>
          <w:rFonts w:ascii="Calibri" w:cs="Calibri" w:eastAsia="Calibri" w:hAnsi="Calibri"/>
          <w:b/>
          <w:bCs/>
          <w:color w:val="111820"/>
          <w:sz w:val="22"/>
          <w:szCs w:val="22"/>
        </w:rPr>
        <w:t xml:space="preserve">freeze it</w:t>
      </w:r>
      <w:r>
        <w:rPr>
          <w:rFonts w:ascii="Calibri" w:cs="Calibri" w:eastAsia="Calibri" w:hAnsi="Calibri"/>
          <w:color w:val="111820"/>
          <w:sz w:val="22"/>
          <w:szCs w:val="22"/>
        </w:rPr>
        <w:t xml:space="preserve">, so the figures in the supplier's inbox match the ones discussed in the meeting.</w:t>
      </w:r>
    </w:p>
    <w:p>
      <w:pPr>
        <w:spacing w:after="120"/>
      </w:pPr>
      <w:r>
        <w:rPr>
          <w:sz w:val="2"/>
          <w:szCs w:val="2"/>
        </w:rPr>
        <w:t xml:space="preserve"/>
      </w:r>
    </w:p>
    <w:p>
      <w:pPr>
        <w:pStyle w:val="Heading1"/>
        <w:spacing w:after="160" w:before="420"/>
      </w:pPr>
      <w:r>
        <w:rPr>
          <w:rFonts w:ascii="Calibri" w:cs="Calibri" w:eastAsia="Calibri" w:hAnsi="Calibri"/>
          <w:b/>
          <w:bCs/>
          <w:color w:val="111820"/>
          <w:sz w:val="32"/>
          <w:szCs w:val="32"/>
        </w:rPr>
        <w:t xml:space="preserve">6.  The rule that makes it trustworthy</w:t>
      </w:r>
    </w:p>
    <w:p>
      <w:pPr>
        <w:spacing w:after="140" w:line="300"/>
      </w:pPr>
      <w:r>
        <w:rPr>
          <w:rFonts w:ascii="Calibri" w:cs="Calibri" w:eastAsia="Calibri" w:hAnsi="Calibri"/>
          <w:color w:val="111820"/>
          <w:sz w:val="22"/>
          <w:szCs w:val="22"/>
        </w:rPr>
        <w:t xml:space="preserve">There is one rule, and it runs through the whole product:</w:t>
      </w:r>
    </w:p>
    <w:p>
      <w:pPr>
        <w:pBdr>
          <w:left w:val="single" w:color="0F6E5C" w:sz="18" w:space="14"/>
        </w:pBdr>
        <w:spacing w:after="180" w:before="150" w:line="300"/>
        <w:ind w:left="340"/>
      </w:pPr>
      <w:r>
        <w:rPr>
          <w:rFonts w:ascii="Calibri" w:cs="Calibri" w:eastAsia="Calibri" w:hAnsi="Calibri"/>
          <w:i/>
          <w:iCs/>
          <w:color w:val="2B3A46"/>
          <w:sz w:val="22"/>
          <w:szCs w:val="22"/>
        </w:rPr>
        <w:t xml:space="preserve">The numbers belong to the measurement. The words belong to the team.</w:t>
      </w:r>
    </w:p>
    <w:p>
      <w:pPr>
        <w:spacing w:after="140" w:line="300"/>
      </w:pPr>
      <w:r>
        <w:rPr>
          <w:rFonts w:ascii="Calibri" w:cs="Calibri" w:eastAsia="Calibri" w:hAnsi="Calibri"/>
          <w:color w:val="111820"/>
          <w:sz w:val="22"/>
          <w:szCs w:val="22"/>
        </w:rPr>
        <w:t xml:space="preserve">Nobody can type over a figure, change a chart to flatter a result, or quietly drop the footnote. That is not a restriction we are imposing for its own sake — it is the reason a supplier can believe the deck.</w:t>
      </w:r>
    </w:p>
    <w:p>
      <w:pPr>
        <w:spacing w:after="100"/>
      </w:pPr>
      <w:r>
        <w:rPr>
          <w:sz w:val="2"/>
          <w:szCs w:val="2"/>
        </w:rPr>
        <w:t xml:space="preserve"/>
      </w:r>
    </w:p>
    <w:tbl>
      <w:tblPr>
        <w:tblW w:type="dxa" w:w="9360"/>
        <w:tblBorders>
          <w:top w:val="single" w:color="D3D8D6" w:sz="4"/>
          <w:left w:val="single" w:color="D3D8D6" w:sz="4"/>
          <w:bottom w:val="single" w:color="D3D8D6" w:sz="4"/>
          <w:right w:val="single" w:color="D3D8D6" w:sz="4"/>
          <w:insideH w:val="single" w:color="E5E9E7" w:sz="2"/>
          <w:insideV w:val="single" w:color="E5E9E7" w:sz="2"/>
        </w:tblBorders>
      </w:tblPr>
      <w:tblGrid>
        <w:gridCol w:w="4680"/>
        <w:gridCol w:w="4680"/>
      </w:tblGrid>
      <w:tr>
        <w:trPr>
          <w:tblHeader/>
        </w:trPr>
        <w:tc>
          <w:tcPr>
            <w:tcW w:type="dxa" w:w="4680"/>
            <w:shd w:fill="F4F6F5" w:val="clear"/>
            <w:tcMar>
              <w:top w:type="dxa" w:w="110"/>
              <w:left w:type="dxa" w:w="150"/>
              <w:bottom w:type="dxa" w:w="110"/>
              <w:right w:type="dxa" w:w="150"/>
            </w:tcMar>
          </w:tcPr>
          <w:p>
            <w:pPr>
              <w:spacing w:after="0" w:line="280"/>
            </w:pPr>
            <w:r>
              <w:rPr>
                <w:rFonts w:ascii="Calibri" w:cs="Calibri" w:eastAsia="Calibri" w:hAnsi="Calibri"/>
                <w:b/>
                <w:bCs/>
                <w:caps/>
                <w:color w:val="5B6775"/>
                <w:sz w:val="19"/>
                <w:szCs w:val="19"/>
              </w:rPr>
              <w:t xml:space="preserve">Fixed by the product</w:t>
            </w:r>
          </w:p>
        </w:tc>
        <w:tc>
          <w:tcPr>
            <w:tcW w:type="dxa" w:w="4680"/>
            <w:shd w:fill="F4F6F5" w:val="clear"/>
            <w:tcMar>
              <w:top w:type="dxa" w:w="110"/>
              <w:left w:type="dxa" w:w="150"/>
              <w:bottom w:type="dxa" w:w="110"/>
              <w:right w:type="dxa" w:w="150"/>
            </w:tcMar>
          </w:tcPr>
          <w:p>
            <w:pPr>
              <w:spacing w:after="0" w:line="280"/>
            </w:pPr>
            <w:r>
              <w:rPr>
                <w:rFonts w:ascii="Calibri" w:cs="Calibri" w:eastAsia="Calibri" w:hAnsi="Calibri"/>
                <w:b/>
                <w:bCs/>
                <w:caps/>
                <w:color w:val="5B6775"/>
                <w:sz w:val="19"/>
                <w:szCs w:val="19"/>
              </w:rPr>
              <w:t xml:space="preserve">Written by the team</w:t>
            </w:r>
          </w:p>
        </w:tc>
      </w:tr>
      <w:tr>
        <w:tc>
          <w:tcPr>
            <w:tcW w:type="dxa" w:w="4680"/>
            <w:shd w:fill="FFFFFF" w:val="clear"/>
            <w:tcMar>
              <w:top w:type="dxa" w:w="110"/>
              <w:left w:type="dxa" w:w="150"/>
              <w:bottom w:type="dxa" w:w="110"/>
              <w:right w:type="dxa" w:w="150"/>
            </w:tcMar>
          </w:tcPr>
          <w:p>
            <w:pPr>
              <w:spacing w:after="0" w:line="280"/>
            </w:pPr>
            <w:r>
              <w:rPr>
                <w:rFonts w:ascii="Calibri" w:cs="Calibri" w:eastAsia="Calibri" w:hAnsi="Calibri"/>
                <w:b/>
                <w:bCs/>
                <w:caps w:val="false"/>
                <w:color w:val="111820"/>
                <w:sz w:val="21"/>
                <w:szCs w:val="21"/>
              </w:rPr>
              <w:t xml:space="preserve">The chart and every number in it</w:t>
            </w:r>
          </w:p>
        </w:tc>
        <w:tc>
          <w:tcPr>
            <w:tcW w:type="dxa" w:w="4680"/>
            <w:shd w:fill="FFFFFF" w:val="clear"/>
            <w:tcMar>
              <w:top w:type="dxa" w:w="110"/>
              <w:left w:type="dxa" w:w="150"/>
              <w:bottom w:type="dxa" w:w="110"/>
              <w:right w:type="dxa" w:w="150"/>
            </w:tcMar>
          </w:tcPr>
          <w:p>
            <w:pPr>
              <w:spacing w:after="0" w:line="280"/>
            </w:pPr>
            <w:r>
              <w:rPr>
                <w:rFonts w:ascii="Calibri" w:cs="Calibri" w:eastAsia="Calibri" w:hAnsi="Calibri"/>
                <w:b w:val="false"/>
                <w:bCs w:val="false"/>
                <w:caps w:val="false"/>
                <w:color w:val="111820"/>
                <w:sz w:val="21"/>
                <w:szCs w:val="21"/>
              </w:rPr>
              <w:t xml:space="preserve">The sentence next to the chart</w:t>
            </w:r>
          </w:p>
        </w:tc>
      </w:tr>
      <w:tr>
        <w:tc>
          <w:tcPr>
            <w:tcW w:type="dxa" w:w="4680"/>
            <w:shd w:fill="FFFFFF" w:val="clear"/>
            <w:tcMar>
              <w:top w:type="dxa" w:w="110"/>
              <w:left w:type="dxa" w:w="150"/>
              <w:bottom w:type="dxa" w:w="110"/>
              <w:right w:type="dxa" w:w="150"/>
            </w:tcMar>
          </w:tcPr>
          <w:p>
            <w:pPr>
              <w:spacing w:after="0" w:line="280"/>
            </w:pPr>
            <w:r>
              <w:rPr>
                <w:rFonts w:ascii="Calibri" w:cs="Calibri" w:eastAsia="Calibri" w:hAnsi="Calibri"/>
                <w:b/>
                <w:bCs/>
                <w:caps w:val="false"/>
                <w:color w:val="111820"/>
                <w:sz w:val="21"/>
                <w:szCs w:val="21"/>
              </w:rPr>
              <w:t xml:space="preserve">Where the numbers came from (the badge)</w:t>
            </w:r>
          </w:p>
        </w:tc>
        <w:tc>
          <w:tcPr>
            <w:tcW w:type="dxa" w:w="4680"/>
            <w:shd w:fill="FFFFFF" w:val="clear"/>
            <w:tcMar>
              <w:top w:type="dxa" w:w="110"/>
              <w:left w:type="dxa" w:w="150"/>
              <w:bottom w:type="dxa" w:w="110"/>
              <w:right w:type="dxa" w:w="150"/>
            </w:tcMar>
          </w:tcPr>
          <w:p>
            <w:pPr>
              <w:spacing w:after="0" w:line="280"/>
            </w:pPr>
            <w:r>
              <w:rPr>
                <w:rFonts w:ascii="Calibri" w:cs="Calibri" w:eastAsia="Calibri" w:hAnsi="Calibri"/>
                <w:b w:val="false"/>
                <w:bCs w:val="false"/>
                <w:caps w:val="false"/>
                <w:color w:val="111820"/>
                <w:sz w:val="21"/>
                <w:szCs w:val="21"/>
              </w:rPr>
              <w:t xml:space="preserve">The recommendation</w:t>
            </w:r>
          </w:p>
        </w:tc>
      </w:tr>
      <w:tr>
        <w:tc>
          <w:tcPr>
            <w:tcW w:type="dxa" w:w="4680"/>
            <w:shd w:fill="FFFFFF" w:val="clear"/>
            <w:tcMar>
              <w:top w:type="dxa" w:w="110"/>
              <w:left w:type="dxa" w:w="150"/>
              <w:bottom w:type="dxa" w:w="110"/>
              <w:right w:type="dxa" w:w="150"/>
            </w:tcMar>
          </w:tcPr>
          <w:p>
            <w:pPr>
              <w:spacing w:after="0" w:line="280"/>
            </w:pPr>
            <w:r>
              <w:rPr>
                <w:rFonts w:ascii="Calibri" w:cs="Calibri" w:eastAsia="Calibri" w:hAnsi="Calibri"/>
                <w:b/>
                <w:bCs/>
                <w:caps w:val="false"/>
                <w:color w:val="111820"/>
                <w:sz w:val="21"/>
                <w:szCs w:val="21"/>
              </w:rPr>
              <w:t xml:space="preserve">The source line: window, method, population</w:t>
            </w:r>
          </w:p>
        </w:tc>
        <w:tc>
          <w:tcPr>
            <w:tcW w:type="dxa" w:w="4680"/>
            <w:shd w:fill="FFFFFF" w:val="clear"/>
            <w:tcMar>
              <w:top w:type="dxa" w:w="110"/>
              <w:left w:type="dxa" w:w="150"/>
              <w:bottom w:type="dxa" w:w="110"/>
              <w:right w:type="dxa" w:w="150"/>
            </w:tcMar>
          </w:tcPr>
          <w:p>
            <w:pPr>
              <w:spacing w:after="0" w:line="280"/>
            </w:pPr>
            <w:r>
              <w:rPr>
                <w:rFonts w:ascii="Calibri" w:cs="Calibri" w:eastAsia="Calibri" w:hAnsi="Calibri"/>
                <w:b w:val="false"/>
                <w:bCs w:val="false"/>
                <w:caps w:val="false"/>
                <w:color w:val="111820"/>
                <w:sz w:val="21"/>
                <w:szCs w:val="21"/>
              </w:rPr>
              <w:t xml:space="preserve">The learnings and next steps page</w:t>
            </w:r>
          </w:p>
        </w:tc>
      </w:tr>
      <w:tr>
        <w:tc>
          <w:tcPr>
            <w:tcW w:type="dxa" w:w="4680"/>
            <w:shd w:fill="FFFFFF" w:val="clear"/>
            <w:tcMar>
              <w:top w:type="dxa" w:w="110"/>
              <w:left w:type="dxa" w:w="150"/>
              <w:bottom w:type="dxa" w:w="110"/>
              <w:right w:type="dxa" w:w="150"/>
            </w:tcMar>
          </w:tcPr>
          <w:p>
            <w:pPr>
              <w:spacing w:after="0" w:line="280"/>
            </w:pPr>
            <w:r>
              <w:rPr>
                <w:rFonts w:ascii="Calibri" w:cs="Calibri" w:eastAsia="Calibri" w:hAnsi="Calibri"/>
                <w:b/>
                <w:bCs/>
                <w:caps w:val="false"/>
                <w:color w:val="111820"/>
                <w:sz w:val="21"/>
                <w:szCs w:val="21"/>
              </w:rPr>
              <w:t xml:space="preserve">How mature the result is</w:t>
            </w:r>
          </w:p>
        </w:tc>
        <w:tc>
          <w:tcPr>
            <w:tcW w:type="dxa" w:w="4680"/>
            <w:shd w:fill="FFFFFF" w:val="clear"/>
            <w:tcMar>
              <w:top w:type="dxa" w:w="110"/>
              <w:left w:type="dxa" w:w="150"/>
              <w:bottom w:type="dxa" w:w="110"/>
              <w:right w:type="dxa" w:w="150"/>
            </w:tcMar>
          </w:tcPr>
          <w:p>
            <w:pPr>
              <w:spacing w:after="0" w:line="280"/>
            </w:pPr>
            <w:r>
              <w:rPr>
                <w:rFonts w:ascii="Calibri" w:cs="Calibri" w:eastAsia="Calibri" w:hAnsi="Calibri"/>
                <w:b w:val="false"/>
                <w:bCs w:val="false"/>
                <w:caps w:val="false"/>
                <w:color w:val="111820"/>
                <w:sz w:val="21"/>
                <w:szCs w:val="21"/>
              </w:rPr>
              <w:t xml:space="preserve">Which questions to include, and their order</w:t>
            </w:r>
          </w:p>
        </w:tc>
      </w:tr>
    </w:tbl>
    <w:p>
      <w:pPr>
        <w:spacing w:after="160"/>
      </w:pPr>
      <w:r>
        <w:rPr>
          <w:sz w:val="2"/>
          <w:szCs w:val="2"/>
        </w:rPr>
        <w:t xml:space="preserve"/>
      </w:r>
    </w:p>
    <w:p>
      <w:pPr>
        <w:spacing w:after="140" w:line="300"/>
      </w:pPr>
      <w:r>
        <w:rPr>
          <w:rFonts w:ascii="Calibri" w:cs="Calibri" w:eastAsia="Calibri" w:hAnsi="Calibri"/>
          <w:color w:val="111820"/>
          <w:sz w:val="22"/>
          <w:szCs w:val="22"/>
        </w:rPr>
        <w:t xml:space="preserve">Every slide carries a line at the bottom saying how the number was produced: the campaign, the flight dates, the attribution window, the method, whether the result is final, and whether it is attributed rather than incremental. Written once, printed everywhere, impossible to forget.</w:t>
      </w:r>
    </w:p>
    <w:p>
      <w:pPr>
        <w:spacing w:after="120"/>
      </w:pPr>
      <w:r>
        <w:rPr>
          <w:sz w:val="2"/>
          <w:szCs w:val="2"/>
        </w:rPr>
        <w:t xml:space="preserve"/>
      </w:r>
    </w:p>
    <w:p>
      <w:pPr>
        <w:pStyle w:val="Heading1"/>
        <w:spacing w:after="160" w:before="420"/>
      </w:pPr>
      <w:r>
        <w:rPr>
          <w:rFonts w:ascii="Calibri" w:cs="Calibri" w:eastAsia="Calibri" w:hAnsi="Calibri"/>
          <w:b/>
          <w:bCs/>
          <w:color w:val="111820"/>
          <w:sz w:val="32"/>
          <w:szCs w:val="32"/>
        </w:rPr>
        <w:t xml:space="preserve">7.  Being honest about what we know</w:t>
      </w:r>
    </w:p>
    <w:p>
      <w:pPr>
        <w:spacing w:after="140" w:line="300"/>
      </w:pPr>
      <w:r>
        <w:rPr>
          <w:rFonts w:ascii="Calibri" w:cs="Calibri" w:eastAsia="Calibri" w:hAnsi="Calibri"/>
          <w:color w:val="111820"/>
          <w:sz w:val="22"/>
          <w:szCs w:val="22"/>
        </w:rPr>
        <w:t xml:space="preserve">Two kinds of honesty are built into the product rather than left to a footnote.</w:t>
      </w:r>
    </w:p>
    <w:p>
      <w:pPr>
        <w:pStyle w:val="Heading2"/>
        <w:spacing w:after="110" w:before="280"/>
      </w:pPr>
      <w:r>
        <w:rPr>
          <w:rFonts w:ascii="Calibri" w:cs="Calibri" w:eastAsia="Calibri" w:hAnsi="Calibri"/>
          <w:b/>
          <w:bCs/>
          <w:color w:val="0F6E5C"/>
          <w:sz w:val="25"/>
          <w:szCs w:val="25"/>
        </w:rPr>
        <w:t xml:space="preserve">Where the number came from</w:t>
      </w:r>
    </w:p>
    <w:p>
      <w:pPr>
        <w:spacing w:after="140" w:line="300"/>
      </w:pPr>
      <w:r>
        <w:rPr>
          <w:rFonts w:ascii="Calibri" w:cs="Calibri" w:eastAsia="Calibri" w:hAnsi="Calibri"/>
          <w:color w:val="111820"/>
          <w:sz w:val="22"/>
          <w:szCs w:val="22"/>
        </w:rPr>
        <w:t xml:space="preserve">Some campaigns run on our own shelf, so we can match an ad to a real purchase, shopper by shopper. Others run inside Meta or a similar platform, which sends back totals and nothing else. These are not the same quality of answer and must never be added together.</w:t>
      </w:r>
    </w:p>
    <w:p>
      <w:pPr>
        <w:spacing w:after="140" w:line="300"/>
      </w:pPr>
      <w:r>
        <w:rPr>
          <w:rFonts w:ascii="Calibri" w:cs="Calibri" w:eastAsia="Calibri" w:hAnsi="Calibri"/>
          <w:color w:val="111820"/>
          <w:sz w:val="22"/>
          <w:szCs w:val="22"/>
        </w:rPr>
        <w:t xml:space="preserve">So every number carries a badge — </w:t>
      </w:r>
      <w:r>
        <w:rPr>
          <w:rFonts w:ascii="Calibri" w:cs="Calibri" w:eastAsia="Calibri" w:hAnsi="Calibri"/>
          <w:b/>
          <w:bCs/>
          <w:color w:val="111820"/>
          <w:sz w:val="22"/>
          <w:szCs w:val="22"/>
        </w:rPr>
        <w:t xml:space="preserve">Measured by Activate</w:t>
      </w:r>
      <w:r>
        <w:rPr>
          <w:rFonts w:ascii="Calibri" w:cs="Calibri" w:eastAsia="Calibri" w:hAnsi="Calibri"/>
          <w:color w:val="111820"/>
          <w:sz w:val="22"/>
          <w:szCs w:val="22"/>
        </w:rPr>
        <w:t xml:space="preserve"> or </w:t>
      </w:r>
      <w:r>
        <w:rPr>
          <w:rFonts w:ascii="Calibri" w:cs="Calibri" w:eastAsia="Calibri" w:hAnsi="Calibri"/>
          <w:b/>
          <w:bCs/>
          <w:color w:val="111820"/>
          <w:sz w:val="22"/>
          <w:szCs w:val="22"/>
        </w:rPr>
        <w:t xml:space="preserve">Partner-reported</w:t>
      </w:r>
      <w:r>
        <w:rPr>
          <w:rFonts w:ascii="Calibri" w:cs="Calibri" w:eastAsia="Calibri" w:hAnsi="Calibri"/>
          <w:color w:val="111820"/>
          <w:sz w:val="22"/>
          <w:szCs w:val="22"/>
        </w:rPr>
        <w:t xml:space="preserve"> — and when a person switches to a walled-garden campaign, the questions we cannot answer </w:t>
      </w:r>
      <w:r>
        <w:rPr>
          <w:rFonts w:ascii="Calibri" w:cs="Calibri" w:eastAsia="Calibri" w:hAnsi="Calibri"/>
          <w:b/>
          <w:bCs/>
          <w:color w:val="111820"/>
          <w:sz w:val="22"/>
          <w:szCs w:val="22"/>
        </w:rPr>
        <w:t xml:space="preserve">grey out with the reason written on them</w:t>
      </w:r>
      <w:r>
        <w:rPr>
          <w:rFonts w:ascii="Calibri" w:cs="Calibri" w:eastAsia="Calibri" w:hAnsi="Calibri"/>
          <w:color w:val="111820"/>
          <w:sz w:val="22"/>
          <w:szCs w:val="22"/>
        </w:rPr>
        <w:t xml:space="preserve">, for example: "Needs shopper-level baskets — the partner returns totals only."</w:t>
      </w:r>
    </w:p>
    <w:tbl>
      <w:tblPr>
        <w:tblW w:type="dxa" w:w="9360"/>
        <w:tblBorders>
          <w:top w:val="single" w:color="D3D8D6" w:sz="4"/>
          <w:left w:val="single" w:color="8A5E10" w:sz="18"/>
          <w:bottom w:val="single" w:color="D3D8D6" w:sz="4"/>
          <w:right w:val="single" w:color="D3D8D6" w:sz="4"/>
          <w:insideH w:val="none"/>
          <w:insideV w:val="none"/>
        </w:tblBorders>
      </w:tblPr>
      <w:tblGrid>
        <w:gridCol w:w="9360"/>
      </w:tblGrid>
      <w:tr>
        <w:tc>
          <w:tcPr>
            <w:tcW w:type="dxa" w:w="9360"/>
            <w:shd w:fill="FBF6EC" w:val="clear"/>
            <w:tcMar>
              <w:top w:type="dxa" w:w="160"/>
              <w:left w:type="dxa" w:w="220"/>
              <w:bottom w:type="dxa" w:w="160"/>
              <w:right w:type="dxa" w:w="220"/>
            </w:tcMar>
          </w:tcPr>
          <w:p>
            <w:pPr>
              <w:spacing w:after="60"/>
            </w:pPr>
            <w:r>
              <w:rPr>
                <w:rFonts w:ascii="Calibri" w:cs="Calibri" w:eastAsia="Calibri" w:hAnsi="Calibri"/>
                <w:b/>
                <w:bCs/>
                <w:caps/>
                <w:color w:val="8A5E10"/>
                <w:sz w:val="21"/>
                <w:szCs w:val="21"/>
              </w:rPr>
              <w:t xml:space="preserve">A deliberate product decision</w:t>
            </w:r>
          </w:p>
          <w:p>
            <w:pPr>
              <w:spacing w:after="0" w:line="290"/>
            </w:pPr>
            <w:r>
              <w:rPr>
                <w:rFonts w:ascii="Calibri" w:cs="Calibri" w:eastAsia="Calibri" w:hAnsi="Calibri"/>
                <w:color w:val="111820"/>
                <w:sz w:val="22"/>
                <w:szCs w:val="22"/>
              </w:rPr>
              <w:t xml:space="preserve">We show what we cannot answer instead of hiding it. A greyed-out question with a reason builds more trust than a page that silently has fewer charts — and it tells the supplier exactly what they would gain by moving budget onto our own channels.</w:t>
            </w:r>
          </w:p>
        </w:tc>
      </w:tr>
    </w:tbl>
    <w:p>
      <w:pPr>
        <w:pStyle w:val="Heading2"/>
        <w:spacing w:after="110" w:before="280"/>
      </w:pPr>
      <w:r>
        <w:rPr>
          <w:rFonts w:ascii="Calibri" w:cs="Calibri" w:eastAsia="Calibri" w:hAnsi="Calibri"/>
          <w:b/>
          <w:bCs/>
          <w:color w:val="0F6E5C"/>
          <w:sz w:val="25"/>
          <w:szCs w:val="25"/>
        </w:rPr>
        <w:t xml:space="preserve">Whether the result is finished</w:t>
      </w:r>
    </w:p>
    <w:p>
      <w:pPr>
        <w:spacing w:after="140" w:line="300"/>
      </w:pPr>
      <w:r>
        <w:rPr>
          <w:rFonts w:ascii="Calibri" w:cs="Calibri" w:eastAsia="Calibri" w:hAnsi="Calibri"/>
          <w:color w:val="111820"/>
          <w:sz w:val="22"/>
          <w:szCs w:val="22"/>
        </w:rPr>
        <w:t xml:space="preserve">A shopper has fourteen days after seeing an ad to buy. So for two weeks after a campaign ends, the sales figure is still rising. A report that hides this teaches people to panic on day three and celebrate on day thirty.</w:t>
      </w:r>
    </w:p>
    <w:p>
      <w:pPr>
        <w:spacing w:after="140" w:line="300"/>
      </w:pPr>
      <w:r>
        <w:rPr>
          <w:rFonts w:ascii="Calibri" w:cs="Calibri" w:eastAsia="Calibri" w:hAnsi="Calibri"/>
          <w:color w:val="111820"/>
          <w:sz w:val="22"/>
          <w:szCs w:val="22"/>
        </w:rPr>
        <w:t xml:space="preserve">Instead, the product states the result's maturity — </w:t>
      </w:r>
      <w:r>
        <w:rPr>
          <w:rFonts w:ascii="Calibri" w:cs="Calibri" w:eastAsia="Calibri" w:hAnsi="Calibri"/>
          <w:b/>
          <w:bCs/>
          <w:color w:val="111820"/>
          <w:sz w:val="22"/>
          <w:szCs w:val="22"/>
        </w:rPr>
        <w:t xml:space="preserve">preliminary, maturing, final</w:t>
      </w:r>
      <w:r>
        <w:rPr>
          <w:rFonts w:ascii="Calibri" w:cs="Calibri" w:eastAsia="Calibri" w:hAnsi="Calibri"/>
          <w:color w:val="111820"/>
          <w:sz w:val="22"/>
          <w:szCs w:val="22"/>
        </w:rPr>
        <w:t xml:space="preserve"> — shades the days that are still filling in, and says plainly that today's number is a floor, not a verdict.</w:t>
      </w:r>
    </w:p>
    <w:p>
      <w:pPr>
        <w:spacing w:after="120"/>
      </w:pPr>
      <w:r>
        <w:rPr>
          <w:sz w:val="2"/>
          <w:szCs w:val="2"/>
        </w:rPr>
        <w:t xml:space="preserve"/>
      </w:r>
    </w:p>
    <w:p>
      <w:pPr>
        <w:pStyle w:val="Heading1"/>
        <w:spacing w:after="160" w:before="420"/>
      </w:pPr>
      <w:r>
        <w:rPr>
          <w:rFonts w:ascii="Calibri" w:cs="Calibri" w:eastAsia="Calibri" w:hAnsi="Calibri"/>
          <w:b/>
          <w:bCs/>
          <w:color w:val="111820"/>
          <w:sz w:val="32"/>
          <w:szCs w:val="32"/>
        </w:rPr>
        <w:t xml:space="preserve">8.  What Phase 1 deliberately does not do</w:t>
      </w:r>
    </w:p>
    <w:p>
      <w:pPr>
        <w:spacing w:after="140" w:line="300"/>
      </w:pPr>
      <w:r>
        <w:rPr>
          <w:rFonts w:ascii="Calibri" w:cs="Calibri" w:eastAsia="Calibri" w:hAnsi="Calibri"/>
          <w:color w:val="111820"/>
          <w:sz w:val="22"/>
          <w:szCs w:val="22"/>
        </w:rPr>
        <w:t xml:space="preserve">Phase 1 answers </w:t>
      </w:r>
      <w:r>
        <w:rPr>
          <w:rFonts w:ascii="Calibri" w:cs="Calibri" w:eastAsia="Calibri" w:hAnsi="Calibri"/>
          <w:b/>
          <w:bCs/>
          <w:color w:val="111820"/>
          <w:sz w:val="22"/>
          <w:szCs w:val="22"/>
        </w:rPr>
        <w:t xml:space="preserve">what followed the ads.</w:t>
      </w:r>
      <w:r>
        <w:rPr>
          <w:rFonts w:ascii="Calibri" w:cs="Calibri" w:eastAsia="Calibri" w:hAnsi="Calibri"/>
          <w:color w:val="111820"/>
          <w:sz w:val="22"/>
          <w:szCs w:val="22"/>
        </w:rPr>
        <w:t xml:space="preserve"> It does not answer </w:t>
      </w:r>
      <w:r>
        <w:rPr>
          <w:rFonts w:ascii="Calibri" w:cs="Calibri" w:eastAsia="Calibri" w:hAnsi="Calibri"/>
          <w:b/>
          <w:bCs/>
          <w:color w:val="111820"/>
          <w:sz w:val="22"/>
          <w:szCs w:val="22"/>
        </w:rPr>
        <w:t xml:space="preserve">what the ads caused.</w:t>
      </w:r>
      <w:r>
        <w:rPr>
          <w:rFonts w:ascii="Calibri" w:cs="Calibri" w:eastAsia="Calibri" w:hAnsi="Calibri"/>
          <w:color w:val="111820"/>
          <w:sz w:val="22"/>
          <w:szCs w:val="22"/>
        </w:rPr>
        <w:t xml:space="preserve"> Those are different questions, and the second one needs a group of shoppers we deliberately hold back from seeing the campaign, decided before it starts.</w:t>
      </w:r>
    </w:p>
    <w:p>
      <w:pPr>
        <w:spacing w:after="140" w:line="300"/>
      </w:pPr>
      <w:r>
        <w:rPr>
          <w:rFonts w:ascii="Calibri" w:cs="Calibri" w:eastAsia="Calibri" w:hAnsi="Calibri"/>
          <w:color w:val="111820"/>
          <w:sz w:val="22"/>
          <w:szCs w:val="22"/>
        </w:rPr>
        <w:t xml:space="preserve">So the following are out of scope, on purpose:</w:t>
      </w:r>
    </w:p>
    <w:p>
      <w:pPr>
        <w:pStyle w:val="ListParagraph"/>
        <w:numPr>
          <w:ilvl w:val="0"/>
          <w:numId w:val="2"/>
        </w:numPr>
        <w:spacing w:after="70" w:line="290"/>
      </w:pPr>
      <w:r>
        <w:rPr>
          <w:rFonts w:ascii="Calibri" w:cs="Calibri" w:eastAsia="Calibri" w:hAnsi="Calibri"/>
          <w:color w:val="111820"/>
          <w:sz w:val="22"/>
          <w:szCs w:val="22"/>
        </w:rPr>
        <w:t xml:space="preserve">Lift and incrementality, and incremental ROAS</w:t>
      </w:r>
    </w:p>
    <w:p>
      <w:pPr>
        <w:pStyle w:val="ListParagraph"/>
        <w:numPr>
          <w:ilvl w:val="0"/>
          <w:numId w:val="2"/>
        </w:numPr>
        <w:spacing w:after="70" w:line="290"/>
      </w:pPr>
      <w:r>
        <w:rPr>
          <w:rFonts w:ascii="Calibri" w:cs="Calibri" w:eastAsia="Calibri" w:hAnsi="Calibri"/>
          <w:color w:val="111820"/>
          <w:sz w:val="22"/>
          <w:szCs w:val="22"/>
        </w:rPr>
        <w:t xml:space="preserve">Halo — sales of the brand's other products</w:t>
      </w:r>
    </w:p>
    <w:p>
      <w:pPr>
        <w:pStyle w:val="ListParagraph"/>
        <w:numPr>
          <w:ilvl w:val="0"/>
          <w:numId w:val="2"/>
        </w:numPr>
        <w:spacing w:after="70" w:line="290"/>
      </w:pPr>
      <w:r>
        <w:rPr>
          <w:rFonts w:ascii="Calibri" w:cs="Calibri" w:eastAsia="Calibri" w:hAnsi="Calibri"/>
          <w:color w:val="111820"/>
          <w:sz w:val="22"/>
          <w:szCs w:val="22"/>
        </w:rPr>
        <w:t xml:space="preserve">Control groups of any kind</w:t>
      </w:r>
    </w:p>
    <w:p>
      <w:pPr>
        <w:pStyle w:val="ListParagraph"/>
        <w:numPr>
          <w:ilvl w:val="0"/>
          <w:numId w:val="2"/>
        </w:numPr>
        <w:spacing w:after="70" w:line="290"/>
      </w:pPr>
      <w:r>
        <w:rPr>
          <w:rFonts w:ascii="Calibri" w:cs="Calibri" w:eastAsia="Calibri" w:hAnsi="Calibri"/>
          <w:color w:val="111820"/>
          <w:sz w:val="22"/>
          <w:szCs w:val="22"/>
        </w:rPr>
        <w:t xml:space="preserve">Four shopper groups still being defined: control shoppers, new-to-brand, new-to-category, loyal buyers</w:t>
      </w:r>
    </w:p>
    <w:p>
      <w:pPr>
        <w:spacing w:after="80"/>
      </w:pPr>
      <w:r>
        <w:rPr>
          <w:sz w:val="2"/>
          <w:szCs w:val="2"/>
        </w:rPr>
        <w:t xml:space="preserve"/>
      </w:r>
    </w:p>
    <w:p>
      <w:pPr>
        <w:spacing w:after="140" w:line="300"/>
      </w:pPr>
      <w:r>
        <w:rPr>
          <w:rFonts w:ascii="Calibri" w:cs="Calibri" w:eastAsia="Calibri" w:hAnsi="Calibri"/>
          <w:color w:val="111820"/>
          <w:sz w:val="22"/>
          <w:szCs w:val="22"/>
        </w:rPr>
        <w:t xml:space="preserve">None of these appear anywhere in the product — not greyed out, not "coming soon", simply absent, so nobody promises a supplier something we cannot deliver. The language is chosen to match: we say </w:t>
      </w:r>
      <w:r>
        <w:rPr>
          <w:rFonts w:ascii="Calibri" w:cs="Calibri" w:eastAsia="Calibri" w:hAnsi="Calibri"/>
          <w:b/>
          <w:bCs/>
          <w:color w:val="111820"/>
          <w:sz w:val="22"/>
          <w:szCs w:val="22"/>
        </w:rPr>
        <w:t xml:space="preserve">attributed</w:t>
      </w:r>
      <w:r>
        <w:rPr>
          <w:rFonts w:ascii="Calibri" w:cs="Calibri" w:eastAsia="Calibri" w:hAnsi="Calibri"/>
          <w:color w:val="111820"/>
          <w:sz w:val="22"/>
          <w:szCs w:val="22"/>
        </w:rPr>
        <w:t xml:space="preserve">, never </w:t>
      </w:r>
      <w:r>
        <w:rPr>
          <w:rFonts w:ascii="Calibri" w:cs="Calibri" w:eastAsia="Calibri" w:hAnsi="Calibri"/>
          <w:b/>
          <w:bCs/>
          <w:color w:val="111820"/>
          <w:sz w:val="22"/>
          <w:szCs w:val="22"/>
        </w:rPr>
        <w:t xml:space="preserve">incremental</w:t>
      </w:r>
      <w:r>
        <w:rPr>
          <w:rFonts w:ascii="Calibri" w:cs="Calibri" w:eastAsia="Calibri" w:hAnsi="Calibri"/>
          <w:color w:val="111820"/>
          <w:sz w:val="22"/>
          <w:szCs w:val="22"/>
        </w:rPr>
        <w:t xml:space="preserve">, and every slide repeats it.</w:t>
      </w:r>
    </w:p>
    <w:p>
      <w:pPr>
        <w:spacing w:after="120"/>
      </w:pPr>
      <w:r>
        <w:rPr>
          <w:sz w:val="2"/>
          <w:szCs w:val="2"/>
        </w:rPr>
        <w:t xml:space="preserve"/>
      </w:r>
    </w:p>
    <w:p>
      <w:pPr>
        <w:pStyle w:val="Heading1"/>
        <w:spacing w:after="160" w:before="420"/>
      </w:pPr>
      <w:r>
        <w:rPr>
          <w:rFonts w:ascii="Calibri" w:cs="Calibri" w:eastAsia="Calibri" w:hAnsi="Calibri"/>
          <w:b/>
          <w:bCs/>
          <w:color w:val="111820"/>
          <w:sz w:val="32"/>
          <w:szCs w:val="32"/>
        </w:rPr>
        <w:t xml:space="preserve">9.  What good looks like</w:t>
      </w:r>
    </w:p>
    <w:p>
      <w:pPr>
        <w:spacing w:after="140" w:line="300"/>
      </w:pPr>
      <w:r>
        <w:rPr>
          <w:rFonts w:ascii="Calibri" w:cs="Calibri" w:eastAsia="Calibri" w:hAnsi="Calibri"/>
          <w:color w:val="111820"/>
          <w:sz w:val="22"/>
          <w:szCs w:val="22"/>
        </w:rPr>
        <w:t xml:space="preserve">We will know this works if:</w:t>
      </w:r>
    </w:p>
    <w:p>
      <w:pPr>
        <w:pStyle w:val="ListParagraph"/>
        <w:numPr>
          <w:ilvl w:val="0"/>
          <w:numId w:val="3"/>
        </w:numPr>
        <w:spacing w:after="90" w:line="290"/>
      </w:pPr>
      <w:r>
        <w:rPr>
          <w:rFonts w:ascii="Calibri" w:cs="Calibri" w:eastAsia="Calibri" w:hAnsi="Calibri"/>
          <w:color w:val="111820"/>
          <w:sz w:val="22"/>
          <w:szCs w:val="22"/>
        </w:rPr>
        <w:t xml:space="preserve">A campaign report takes </w:t>
      </w:r>
      <w:r>
        <w:rPr>
          <w:rFonts w:ascii="Calibri" w:cs="Calibri" w:eastAsia="Calibri" w:hAnsi="Calibri"/>
          <w:b/>
          <w:bCs/>
          <w:color w:val="111820"/>
          <w:sz w:val="22"/>
          <w:szCs w:val="22"/>
        </w:rPr>
        <w:t xml:space="preserve">under half an hour</w:t>
      </w:r>
      <w:r>
        <w:rPr>
          <w:rFonts w:ascii="Calibri" w:cs="Calibri" w:eastAsia="Calibri" w:hAnsi="Calibri"/>
          <w:color w:val="111820"/>
          <w:sz w:val="22"/>
          <w:szCs w:val="22"/>
        </w:rPr>
        <w:t xml:space="preserve"> instead of a day or two.</w:t>
      </w:r>
    </w:p>
    <w:p>
      <w:pPr>
        <w:pStyle w:val="ListParagraph"/>
        <w:numPr>
          <w:ilvl w:val="0"/>
          <w:numId w:val="3"/>
        </w:numPr>
        <w:spacing w:after="90" w:line="290"/>
      </w:pPr>
      <w:r>
        <w:rPr>
          <w:rFonts w:ascii="Calibri" w:cs="Calibri" w:eastAsia="Calibri" w:hAnsi="Calibri"/>
          <w:color w:val="111820"/>
          <w:sz w:val="22"/>
          <w:szCs w:val="22"/>
        </w:rPr>
        <w:t xml:space="preserve">Most reports are built from a </w:t>
      </w:r>
      <w:r>
        <w:rPr>
          <w:rFonts w:ascii="Calibri" w:cs="Calibri" w:eastAsia="Calibri" w:hAnsi="Calibri"/>
          <w:b/>
          <w:bCs/>
          <w:color w:val="111820"/>
          <w:sz w:val="22"/>
          <w:szCs w:val="22"/>
        </w:rPr>
        <w:t xml:space="preserve">saved template</w:t>
      </w:r>
      <w:r>
        <w:rPr>
          <w:rFonts w:ascii="Calibri" w:cs="Calibri" w:eastAsia="Calibri" w:hAnsi="Calibri"/>
          <w:color w:val="111820"/>
          <w:sz w:val="22"/>
          <w:szCs w:val="22"/>
        </w:rPr>
        <w:t xml:space="preserve">, not from scratch — which means teams have agreed on what a good report says.</w:t>
      </w:r>
    </w:p>
    <w:p>
      <w:pPr>
        <w:pStyle w:val="ListParagraph"/>
        <w:numPr>
          <w:ilvl w:val="0"/>
          <w:numId w:val="3"/>
        </w:numPr>
        <w:spacing w:after="90" w:line="290"/>
      </w:pPr>
      <w:r>
        <w:rPr>
          <w:rFonts w:ascii="Calibri" w:cs="Calibri" w:eastAsia="Calibri" w:hAnsi="Calibri"/>
          <w:color w:val="111820"/>
          <w:sz w:val="22"/>
          <w:szCs w:val="22"/>
        </w:rPr>
        <w:t xml:space="preserve">Suppliers ask </w:t>
      </w:r>
      <w:r>
        <w:rPr>
          <w:rFonts w:ascii="Calibri" w:cs="Calibri" w:eastAsia="Calibri" w:hAnsi="Calibri"/>
          <w:b/>
          <w:bCs/>
          <w:color w:val="111820"/>
          <w:sz w:val="22"/>
          <w:szCs w:val="22"/>
        </w:rPr>
        <w:t xml:space="preserve">better questions</w:t>
      </w:r>
      <w:r>
        <w:rPr>
          <w:rFonts w:ascii="Calibri" w:cs="Calibri" w:eastAsia="Calibri" w:hAnsi="Calibri"/>
          <w:color w:val="111820"/>
          <w:sz w:val="22"/>
          <w:szCs w:val="22"/>
        </w:rPr>
        <w:t xml:space="preserve"> in renewal meetings, because the method is on the page.</w:t>
      </w:r>
    </w:p>
    <w:p>
      <w:pPr>
        <w:pStyle w:val="ListParagraph"/>
        <w:numPr>
          <w:ilvl w:val="0"/>
          <w:numId w:val="3"/>
        </w:numPr>
        <w:spacing w:after="90" w:line="290"/>
      </w:pPr>
      <w:r>
        <w:rPr>
          <w:rFonts w:ascii="Calibri" w:cs="Calibri" w:eastAsia="Calibri" w:hAnsi="Calibri"/>
          <w:color w:val="111820"/>
          <w:sz w:val="22"/>
          <w:szCs w:val="22"/>
        </w:rPr>
        <w:t xml:space="preserve">Nobody exports to PowerPoint and then rebuilds the charts anyway. If that still happens, something in the product is missing.</w:t>
      </w:r>
    </w:p>
    <w:p>
      <w:pPr>
        <w:spacing w:after="120"/>
      </w:pPr>
      <w:r>
        <w:rPr>
          <w:sz w:val="2"/>
          <w:szCs w:val="2"/>
        </w:rPr>
        <w:t xml:space="preserve"/>
      </w:r>
    </w:p>
    <w:p>
      <w:pPr>
        <w:pStyle w:val="Heading1"/>
        <w:spacing w:after="160" w:before="420"/>
      </w:pPr>
      <w:r>
        <w:rPr>
          <w:rFonts w:ascii="Calibri" w:cs="Calibri" w:eastAsia="Calibri" w:hAnsi="Calibri"/>
          <w:b/>
          <w:bCs/>
          <w:color w:val="111820"/>
          <w:sz w:val="32"/>
          <w:szCs w:val="32"/>
        </w:rPr>
        <w:t xml:space="preserve">10.  Open questions for the team</w:t>
      </w:r>
    </w:p>
    <w:p>
      <w:pPr>
        <w:spacing w:after="140" w:line="300"/>
      </w:pPr>
      <w:r>
        <w:rPr>
          <w:rFonts w:ascii="Calibri" w:cs="Calibri" w:eastAsia="Calibri" w:hAnsi="Calibri"/>
          <w:color w:val="111820"/>
          <w:sz w:val="22"/>
          <w:szCs w:val="22"/>
        </w:rPr>
        <w:t xml:space="preserve">Four decisions are not ours alone to make.</w:t>
      </w:r>
    </w:p>
    <w:tbl>
      <w:tblPr>
        <w:tblW w:type="dxa" w:w="9360"/>
        <w:tblBorders>
          <w:top w:val="single" w:color="D3D8D6" w:sz="4"/>
          <w:left w:val="single" w:color="D3D8D6" w:sz="4"/>
          <w:bottom w:val="single" w:color="D3D8D6" w:sz="4"/>
          <w:right w:val="single" w:color="D3D8D6" w:sz="4"/>
          <w:insideH w:val="single" w:color="E5E9E7" w:sz="2"/>
          <w:insideV w:val="single" w:color="E5E9E7" w:sz="2"/>
        </w:tblBorders>
      </w:tblPr>
      <w:tblGrid>
        <w:gridCol w:w="3900"/>
        <w:gridCol w:w="5460"/>
      </w:tblGrid>
      <w:tr>
        <w:trPr>
          <w:tblHeader/>
        </w:trPr>
        <w:tc>
          <w:tcPr>
            <w:tcW w:type="dxa" w:w="3900"/>
            <w:shd w:fill="F4F6F5" w:val="clear"/>
            <w:tcMar>
              <w:top w:type="dxa" w:w="110"/>
              <w:left w:type="dxa" w:w="150"/>
              <w:bottom w:type="dxa" w:w="110"/>
              <w:right w:type="dxa" w:w="150"/>
            </w:tcMar>
          </w:tcPr>
          <w:p>
            <w:pPr>
              <w:spacing w:after="0" w:line="280"/>
            </w:pPr>
            <w:r>
              <w:rPr>
                <w:rFonts w:ascii="Calibri" w:cs="Calibri" w:eastAsia="Calibri" w:hAnsi="Calibri"/>
                <w:b/>
                <w:bCs/>
                <w:caps/>
                <w:color w:val="5B6775"/>
                <w:sz w:val="19"/>
                <w:szCs w:val="19"/>
              </w:rPr>
              <w:t xml:space="preserve">Question</w:t>
            </w:r>
          </w:p>
        </w:tc>
        <w:tc>
          <w:tcPr>
            <w:tcW w:type="dxa" w:w="5460"/>
            <w:shd w:fill="F4F6F5" w:val="clear"/>
            <w:tcMar>
              <w:top w:type="dxa" w:w="110"/>
              <w:left w:type="dxa" w:w="150"/>
              <w:bottom w:type="dxa" w:w="110"/>
              <w:right w:type="dxa" w:w="150"/>
            </w:tcMar>
          </w:tcPr>
          <w:p>
            <w:pPr>
              <w:spacing w:after="0" w:line="280"/>
            </w:pPr>
            <w:r>
              <w:rPr>
                <w:rFonts w:ascii="Calibri" w:cs="Calibri" w:eastAsia="Calibri" w:hAnsi="Calibri"/>
                <w:b/>
                <w:bCs/>
                <w:caps/>
                <w:color w:val="5B6775"/>
                <w:sz w:val="19"/>
                <w:szCs w:val="19"/>
              </w:rPr>
              <w:t xml:space="preserve">Why it matters</w:t>
            </w:r>
          </w:p>
        </w:tc>
      </w:tr>
      <w:tr>
        <w:tc>
          <w:tcPr>
            <w:tcW w:type="dxa" w:w="3900"/>
            <w:shd w:fill="FFFFFF" w:val="clear"/>
            <w:tcMar>
              <w:top w:type="dxa" w:w="110"/>
              <w:left w:type="dxa" w:w="150"/>
              <w:bottom w:type="dxa" w:w="110"/>
              <w:right w:type="dxa" w:w="150"/>
            </w:tcMar>
          </w:tcPr>
          <w:p>
            <w:pPr>
              <w:spacing w:after="0" w:line="280"/>
            </w:pPr>
            <w:r>
              <w:rPr>
                <w:rFonts w:ascii="Calibri" w:cs="Calibri" w:eastAsia="Calibri" w:hAnsi="Calibri"/>
                <w:b/>
                <w:bCs/>
                <w:caps w:val="false"/>
                <w:color w:val="111820"/>
                <w:sz w:val="21"/>
                <w:szCs w:val="21"/>
              </w:rPr>
              <w:t xml:space="preserve">Whose branding does the deck carry — the retailer's or the supplier's?</w:t>
            </w:r>
          </w:p>
        </w:tc>
        <w:tc>
          <w:tcPr>
            <w:tcW w:type="dxa" w:w="5460"/>
            <w:shd w:fill="FFFFFF" w:val="clear"/>
            <w:tcMar>
              <w:top w:type="dxa" w:w="110"/>
              <w:left w:type="dxa" w:w="150"/>
              <w:bottom w:type="dxa" w:w="110"/>
              <w:right w:type="dxa" w:w="150"/>
            </w:tcMar>
          </w:tcPr>
          <w:p>
            <w:pPr>
              <w:spacing w:after="0" w:line="280"/>
            </w:pPr>
            <w:r>
              <w:rPr>
                <w:rFonts w:ascii="Calibri" w:cs="Calibri" w:eastAsia="Calibri" w:hAnsi="Calibri"/>
                <w:b w:val="false"/>
                <w:bCs w:val="false"/>
                <w:caps w:val="false"/>
                <w:color w:val="111820"/>
                <w:sz w:val="21"/>
                <w:szCs w:val="21"/>
              </w:rPr>
              <w:t xml:space="preserve">If each retailer needs their own template, it becomes a per-client asset someone must own and maintain.</w:t>
            </w:r>
          </w:p>
        </w:tc>
      </w:tr>
      <w:tr>
        <w:tc>
          <w:tcPr>
            <w:tcW w:type="dxa" w:w="3900"/>
            <w:shd w:fill="FFFFFF" w:val="clear"/>
            <w:tcMar>
              <w:top w:type="dxa" w:w="110"/>
              <w:left w:type="dxa" w:w="150"/>
              <w:bottom w:type="dxa" w:w="110"/>
              <w:right w:type="dxa" w:w="150"/>
            </w:tcMar>
          </w:tcPr>
          <w:p>
            <w:pPr>
              <w:spacing w:after="0" w:line="280"/>
            </w:pPr>
            <w:r>
              <w:rPr>
                <w:rFonts w:ascii="Calibri" w:cs="Calibri" w:eastAsia="Calibri" w:hAnsi="Calibri"/>
                <w:b/>
                <w:bCs/>
                <w:caps w:val="false"/>
                <w:color w:val="111820"/>
                <w:sz w:val="21"/>
                <w:szCs w:val="21"/>
              </w:rPr>
              <w:t xml:space="preserve">Is the story about the whole programme, or one campaign?</w:t>
            </w:r>
          </w:p>
        </w:tc>
        <w:tc>
          <w:tcPr>
            <w:tcW w:type="dxa" w:w="5460"/>
            <w:shd w:fill="FFFFFF" w:val="clear"/>
            <w:tcMar>
              <w:top w:type="dxa" w:w="110"/>
              <w:left w:type="dxa" w:w="150"/>
              <w:bottom w:type="dxa" w:w="110"/>
              <w:right w:type="dxa" w:w="150"/>
            </w:tcMar>
          </w:tcPr>
          <w:p>
            <w:pPr>
              <w:spacing w:after="0" w:line="280"/>
            </w:pPr>
            <w:r>
              <w:rPr>
                <w:rFonts w:ascii="Calibri" w:cs="Calibri" w:eastAsia="Calibri" w:hAnsi="Calibri"/>
                <w:b w:val="false"/>
                <w:bCs w:val="false"/>
                <w:caps w:val="false"/>
                <w:color w:val="111820"/>
                <w:sz w:val="21"/>
                <w:szCs w:val="21"/>
              </w:rPr>
              <w:t xml:space="preserve">It decides whether the deck opens with a programme summary or dives straight into a single campaign.</w:t>
            </w:r>
          </w:p>
        </w:tc>
      </w:tr>
      <w:tr>
        <w:tc>
          <w:tcPr>
            <w:tcW w:type="dxa" w:w="3900"/>
            <w:shd w:fill="FFFFFF" w:val="clear"/>
            <w:tcMar>
              <w:top w:type="dxa" w:w="110"/>
              <w:left w:type="dxa" w:w="150"/>
              <w:bottom w:type="dxa" w:w="110"/>
              <w:right w:type="dxa" w:w="150"/>
            </w:tcMar>
          </w:tcPr>
          <w:p>
            <w:pPr>
              <w:spacing w:after="0" w:line="280"/>
            </w:pPr>
            <w:r>
              <w:rPr>
                <w:rFonts w:ascii="Calibri" w:cs="Calibri" w:eastAsia="Calibri" w:hAnsi="Calibri"/>
                <w:b/>
                <w:bCs/>
                <w:caps w:val="false"/>
                <w:color w:val="111820"/>
                <w:sz w:val="21"/>
                <w:szCs w:val="21"/>
              </w:rPr>
              <w:t xml:space="preserve">Do we have planned spend and planned impressions?</w:t>
            </w:r>
          </w:p>
        </w:tc>
        <w:tc>
          <w:tcPr>
            <w:tcW w:type="dxa" w:w="5460"/>
            <w:shd w:fill="FFFFFF" w:val="clear"/>
            <w:tcMar>
              <w:top w:type="dxa" w:w="110"/>
              <w:left w:type="dxa" w:w="150"/>
              <w:bottom w:type="dxa" w:w="110"/>
              <w:right w:type="dxa" w:w="150"/>
            </w:tcMar>
          </w:tcPr>
          <w:p>
            <w:pPr>
              <w:spacing w:after="0" w:line="280"/>
            </w:pPr>
            <w:r>
              <w:rPr>
                <w:rFonts w:ascii="Calibri" w:cs="Calibri" w:eastAsia="Calibri" w:hAnsi="Calibri"/>
                <w:b w:val="false"/>
                <w:bCs w:val="false"/>
                <w:caps w:val="false"/>
                <w:color w:val="111820"/>
                <w:sz w:val="21"/>
                <w:szCs w:val="21"/>
              </w:rPr>
              <w:t xml:space="preserve">Without them, the plan-versus-actual slide and everything about cost and return cannot be built.</w:t>
            </w:r>
          </w:p>
        </w:tc>
      </w:tr>
      <w:tr>
        <w:tc>
          <w:tcPr>
            <w:tcW w:type="dxa" w:w="3900"/>
            <w:shd w:fill="FFFFFF" w:val="clear"/>
            <w:tcMar>
              <w:top w:type="dxa" w:w="110"/>
              <w:left w:type="dxa" w:w="150"/>
              <w:bottom w:type="dxa" w:w="110"/>
              <w:right w:type="dxa" w:w="150"/>
            </w:tcMar>
          </w:tcPr>
          <w:p>
            <w:pPr>
              <w:spacing w:after="0" w:line="280"/>
            </w:pPr>
            <w:r>
              <w:rPr>
                <w:rFonts w:ascii="Calibri" w:cs="Calibri" w:eastAsia="Calibri" w:hAnsi="Calibri"/>
                <w:b/>
                <w:bCs/>
                <w:caps w:val="false"/>
                <w:color w:val="111820"/>
                <w:sz w:val="21"/>
                <w:szCs w:val="21"/>
              </w:rPr>
              <w:t xml:space="preserve">Does the partner return anything beyond totals?</w:t>
            </w:r>
          </w:p>
        </w:tc>
        <w:tc>
          <w:tcPr>
            <w:tcW w:type="dxa" w:w="5460"/>
            <w:shd w:fill="FFFFFF" w:val="clear"/>
            <w:tcMar>
              <w:top w:type="dxa" w:w="110"/>
              <w:left w:type="dxa" w:w="150"/>
              <w:bottom w:type="dxa" w:w="110"/>
              <w:right w:type="dxa" w:w="150"/>
            </w:tcMar>
          </w:tcPr>
          <w:p>
            <w:pPr>
              <w:spacing w:after="0" w:line="280"/>
            </w:pPr>
            <w:r>
              <w:rPr>
                <w:rFonts w:ascii="Calibri" w:cs="Calibri" w:eastAsia="Calibri" w:hAnsi="Calibri"/>
                <w:b w:val="false"/>
                <w:bCs w:val="false"/>
                <w:caps w:val="false"/>
                <w:color w:val="111820"/>
                <w:sz w:val="21"/>
                <w:szCs w:val="21"/>
              </w:rPr>
              <w:t xml:space="preserve">It decides how much of the report exists at all for walled-garden campaigns.</w:t>
            </w:r>
          </w:p>
        </w:tc>
      </w:tr>
    </w:tbl>
    <w:p>
      <w:pPr>
        <w:spacing w:after="220"/>
      </w:pPr>
      <w:r>
        <w:rPr>
          <w:sz w:val="2"/>
          <w:szCs w:val="2"/>
        </w:rPr>
        <w:t xml:space="preserve"/>
      </w:r>
    </w:p>
    <w:p>
      <w:pPr>
        <w:pBdr>
          <w:bottom w:val="single" w:color="D3D8D6" w:sz="6" w:space="2"/>
        </w:pBdr>
        <w:spacing w:after="220" w:before="100"/>
      </w:pPr>
      <w:r>
        <w:rPr>
          <w:sz w:val="2"/>
          <w:szCs w:val="2"/>
        </w:rPr>
        <w:t xml:space="preserve"/>
      </w:r>
    </w:p>
    <w:p>
      <w:pPr>
        <w:spacing w:after="140" w:line="300"/>
      </w:pPr>
      <w:r>
        <w:rPr>
          <w:rFonts w:ascii="Calibri" w:cs="Calibri" w:eastAsia="Calibri" w:hAnsi="Calibri"/>
          <w:i/>
          <w:iCs/>
          <w:color w:val="5B6775"/>
          <w:sz w:val="20"/>
          <w:szCs w:val="20"/>
        </w:rPr>
        <w:t xml:space="preserve">A working prototype of this concept exists and can be clicked through end to end. All figures in it are illustrative.</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0F6E5C"/>
      </w:rPr>
    </w:lvl>
  </w:abstractNum>
  <w:abstractNum w:abstractNumId="3" w15:restartNumberingAfterBreak="0">
    <w:multiLevelType w:val="hybridMultilevel"/>
    <w:lvl w:ilvl="0" w15:tentative="1">
      <w:start w:val="1"/>
      <w:numFmt w:val="decimal"/>
      <w:lvlText w:val="%1."/>
      <w:lvlJc w:val="left"/>
      <w:pPr>
        <w:ind w:left="420" w:hanging="260"/>
      </w:pPr>
      <w:rPr>
        <w:b/>
        <w:bCs/>
        <w:color w:val="0F6E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Campaign Report Builder — Product Concept</dc:title>
  <dc:creator>Nordmark Retail Media</dc:creator>
  <dc:description>Plain-language product concept for the Phase 1 campaign report builder</dc:description>
  <cp:lastModifiedBy>Un-named</cp:lastModifiedBy>
  <cp:revision>1</cp:revision>
  <dcterms:created xsi:type="dcterms:W3CDTF">2026-10-01T05:19:08.363Z</dcterms:created>
  <dcterms:modified xsi:type="dcterms:W3CDTF">2026-10-01T05:19:08.363Z</dcterms:modified>
</cp:coreProperties>
</file>

<file path=docProps/custom.xml><?xml version="1.0" encoding="utf-8"?>
<Properties xmlns="http://schemas.openxmlformats.org/officeDocument/2006/custom-properties" xmlns:vt="http://schemas.openxmlformats.org/officeDocument/2006/docPropsVTypes"/>
</file>