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B92"/>
          <w:sz w:val="30"/>
        </w:rPr>
        <w:t>ACTIVATE</w:t>
      </w:r>
    </w:p>
    <w:p>
      <w:pPr>
        <w:jc w:val="center"/>
      </w:pPr>
      <w:r>
        <w:rPr>
          <w:b/>
          <w:color w:val="111820"/>
          <w:sz w:val="60"/>
        </w:rPr>
        <w:t>Retail Media Measurement</w:t>
      </w:r>
    </w:p>
    <w:p>
      <w:pPr>
        <w:jc w:val="center"/>
      </w:pPr>
      <w:r>
        <w:rPr>
          <w:b/>
          <w:color w:val="B87912"/>
          <w:sz w:val="40"/>
        </w:rPr>
        <w:t>Product Bible</w:t>
      </w:r>
    </w:p>
    <w:p>
      <w:pPr>
        <w:jc w:val="center"/>
      </w:pPr>
      <w:r>
        <w:rPr>
          <w:i/>
          <w:color w:val="5E7185"/>
          <w:sz w:val="24"/>
        </w:rPr>
        <w:t>A clear, feature-led definition of the generic product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8B92"/>
            <w:vAlign w:val="center"/>
            <w:tcMar>
              <w:top w:w="100" w:type="dxa"/>
              <w:start w:w="100" w:type="dxa"/>
              <w:bottom w:w="100" w:type="dxa"/>
              <w:end w:w="100" w:type="dxa"/>
            </w:tcMar>
          </w:tcPr>
          <w:p>
            <w:r>
              <w:t>VERSION</w:t>
            </w:r>
          </w:p>
        </w:tc>
        <w:tc>
          <w:tcPr>
            <w:tcW w:type="dxa" w:w="3389"/>
            <w:shd w:fill="168B92"/>
            <w:vAlign w:val="center"/>
            <w:tcMar>
              <w:top w:w="100" w:type="dxa"/>
              <w:start w:w="100" w:type="dxa"/>
              <w:bottom w:w="100" w:type="dxa"/>
              <w:end w:w="100" w:type="dxa"/>
            </w:tcMar>
          </w:tcPr>
          <w:p>
            <w:r>
              <w:t>STATUS</w:t>
            </w:r>
          </w:p>
        </w:tc>
        <w:tc>
          <w:tcPr>
            <w:tcW w:type="dxa" w:w="3389"/>
            <w:shd w:fill="168B92"/>
            <w:vAlign w:val="center"/>
            <w:tcMar>
              <w:top w:w="100" w:type="dxa"/>
              <w:start w:w="100" w:type="dxa"/>
              <w:bottom w:w="100" w:type="dxa"/>
              <w:end w:w="100" w:type="dxa"/>
            </w:tcMar>
          </w:tcPr>
          <w:p>
            <w:r>
              <w:t>OWNER</w:t>
            </w:r>
          </w:p>
        </w:tc>
      </w:tr>
      <w:tr>
        <w:tc>
          <w:tcPr>
            <w:tcW w:type="dxa" w:w="3389"/>
            <w:shd w:fill="FFFFFF"/>
            <w:vAlign w:val="center"/>
            <w:tcMar>
              <w:top w:w="100" w:type="dxa"/>
              <w:start w:w="100" w:type="dxa"/>
              <w:bottom w:w="100" w:type="dxa"/>
              <w:end w:w="100" w:type="dxa"/>
            </w:tcMar>
          </w:tcPr>
          <w:p>
            <w:r>
              <w:t>v1.9</w:t>
            </w:r>
          </w:p>
        </w:tc>
        <w:tc>
          <w:tcPr>
            <w:tcW w:type="dxa" w:w="3389"/>
            <w:shd w:fill="FFFFFF"/>
            <w:vAlign w:val="center"/>
            <w:tcMar>
              <w:top w:w="100" w:type="dxa"/>
              <w:start w:w="100" w:type="dxa"/>
              <w:bottom w:w="100" w:type="dxa"/>
              <w:end w:w="100" w:type="dxa"/>
            </w:tcMar>
          </w:tcPr>
          <w:p>
            <w:r>
              <w:t>Working product source of truth</w:t>
            </w:r>
          </w:p>
        </w:tc>
        <w:tc>
          <w:tcPr>
            <w:tcW w:type="dxa" w:w="3389"/>
            <w:shd w:fill="FFFFFF"/>
            <w:vAlign w:val="center"/>
            <w:tcMar>
              <w:top w:w="100" w:type="dxa"/>
              <w:start w:w="100" w:type="dxa"/>
              <w:bottom w:w="100" w:type="dxa"/>
              <w:end w:w="100" w:type="dxa"/>
            </w:tcMar>
          </w:tcPr>
          <w:p>
            <w:r>
              <w:t>Product</w:t>
            </w:r>
          </w:p>
        </w:tc>
      </w:tr>
    </w:tbl>
    <w:p/>
    <w:tbl>
      <w:tblPr>
        <w:tblStyle w:val="TableGrid"/>
        <w:tblW w:type="auto" w:w="0"/>
        <w:tblLook w:firstColumn="1" w:firstRow="1" w:lastColumn="0" w:lastRow="0" w:noHBand="0" w:noVBand="1" w:val="04A0"/>
      </w:tblPr>
      <w:tblGrid>
        <w:gridCol w:w="10166"/>
      </w:tblGrid>
      <w:tr>
        <w:tc>
          <w:tcPr>
            <w:tcW w:type="dxa" w:w="10166"/>
            <w:shd w:fill="EAF2F3"/>
            <w:vAlign w:val="center"/>
            <w:tcMar>
              <w:top w:w="150" w:type="dxa"/>
              <w:start w:w="150" w:type="dxa"/>
              <w:bottom w:w="150" w:type="dxa"/>
              <w:end w:w="150" w:type="dxa"/>
            </w:tcMar>
          </w:tcPr>
          <w:p>
            <w:r>
              <w:t>v1.8 adds the control-group policy, data requirements and clear phase boundaries while keeping the full product vision and feature model.</w:t>
            </w:r>
          </w:p>
        </w:tc>
      </w:tr>
    </w:tbl>
    <w:p/>
    <w:p>
      <w:r>
        <w:rPr>
          <w:sz w:val="21"/>
        </w:rPr>
      </w:r>
    </w:p>
    <w:p>
      <w:pPr>
        <w:pStyle w:val="Heading1"/>
      </w:pPr>
      <w:r>
        <w:t>1. Product definition</w:t>
      </w:r>
    </w:p>
    <w:p>
      <w:pPr>
        <w:pStyle w:val="Heading2"/>
      </w:pPr>
      <w:r>
        <w:t>1.1 Product promise</w:t>
      </w:r>
    </w:p>
    <w:p>
      <w:r>
        <w:rPr>
          <w:sz w:val="21"/>
        </w:rPr>
        <w:t>Activate Retail Media Measurement connects the audience selected for a campaign, available media data, and retailer transaction data. It gives users a clear and trusted explanation of campaign performance without claiming more than the evidence supports.</w:t>
      </w:r>
    </w:p>
    <w:tbl>
      <w:tblPr>
        <w:tblStyle w:val="TableGrid"/>
        <w:tblW w:type="auto" w:w="0"/>
        <w:tblLook w:firstColumn="1" w:firstRow="1" w:lastColumn="0" w:lastRow="0" w:noHBand="0" w:noVBand="1" w:val="04A0"/>
      </w:tblPr>
      <w:tblGrid>
        <w:gridCol w:w="10166"/>
      </w:tblGrid>
      <w:tr>
        <w:tc>
          <w:tcPr>
            <w:tcW w:type="dxa" w:w="10166"/>
            <w:shd w:fill="EAF2F3"/>
            <w:vAlign w:val="center"/>
            <w:tcMar>
              <w:top w:w="150" w:type="dxa"/>
              <w:start w:w="150" w:type="dxa"/>
              <w:bottom w:w="150" w:type="dxa"/>
              <w:end w:w="150" w:type="dxa"/>
            </w:tcMar>
          </w:tcPr>
          <w:p>
            <w:r>
              <w:t>In one sentence</w:t>
              <w:br/>
              <w:t>The product turns campaign, audience, media and transaction data into a governed commercial story that users can understand, explore and share.</w:t>
            </w:r>
          </w:p>
        </w:tc>
      </w:tr>
    </w:tbl>
    <w:p/>
    <w:p>
      <w:pPr>
        <w:pStyle w:val="Heading2"/>
      </w:pPr>
      <w:r>
        <w:t>1.2 Why this product matters</w:t>
      </w:r>
    </w:p>
    <w:p>
      <w:pPr>
        <w:pStyle w:val="ListBullet"/>
      </w:pPr>
      <w:r>
        <w:t>Retail media delivery and retail sales often sit in different systems.</w:t>
      </w:r>
    </w:p>
    <w:p>
      <w:pPr>
        <w:pStyle w:val="ListBullet"/>
      </w:pPr>
      <w:r>
        <w:t>Retailers, advertisers and agencies use different KPI definitions, time windows and attribution rules.</w:t>
      </w:r>
    </w:p>
    <w:p>
      <w:pPr>
        <w:pStyle w:val="ListBullet"/>
      </w:pPr>
      <w:r>
        <w:t>Users need fast reporting, but they also need to understand what each result proves and what it does not prove.</w:t>
      </w:r>
    </w:p>
    <w:p>
      <w:pPr>
        <w:pStyle w:val="ListBullet"/>
      </w:pPr>
      <w:r>
        <w:t>A reusable product is needed so each new client does not require a new reporting solution.</w:t>
      </w:r>
    </w:p>
    <w:p>
      <w:pPr>
        <w:pStyle w:val="Heading2"/>
      </w:pPr>
      <w:r>
        <w:t>1.3 Generic product and design partner</w:t>
      </w:r>
    </w:p>
    <w:p>
      <w:r>
        <w:rPr>
          <w:sz w:val="21"/>
        </w:rPr>
        <w:t>This is a generic and configurable product. The first client is the design partner for the first release. Their needs guide the initial build, but they do not define the full product roadmap.</w:t>
      </w:r>
    </w:p>
    <w:p>
      <w:pPr>
        <w:pStyle w:val="ListBullet"/>
      </w:pPr>
      <w:r>
        <w:t>A feature can be part of the generic roadmap without being enabled for the first client.</w:t>
      </w:r>
    </w:p>
    <w:p>
      <w:pPr>
        <w:pStyle w:val="ListBullet"/>
      </w:pPr>
      <w:r>
        <w:t>A feature is enabled only when the client has the required data, approved method, privacy controls and quality level.</w:t>
      </w:r>
    </w:p>
    <w:p>
      <w:pPr>
        <w:pStyle w:val="ListBullet"/>
      </w:pPr>
      <w:r>
        <w:t>Client-specific differences are handled through configuration and data contracts, not separate product logic.</w:t>
      </w:r>
    </w:p>
    <w:p>
      <w:pPr>
        <w:pStyle w:val="Heading2"/>
      </w:pPr>
      <w:r>
        <w:t>1.3.1 Long-term vision: Integrated Commerce Measurement</w:t>
      </w:r>
    </w:p>
    <w:p>
      <w:r>
        <w:rPr>
          <w:sz w:val="21"/>
        </w:rPr>
        <w:t>Retail Media Measurement is the first part of a larger commerce measurement vision. We are starting with Retail Media because it has a clear client need and a defined measurement loop. We will build it in a modular, scalable and extensible way so it can later work with Personalized Offers, broader promotions and NIQ market data without rebuilding the foundation.</w:t>
      </w:r>
    </w:p>
    <w:tbl>
      <w:tblPr>
        <w:tblStyle w:val="TableGrid"/>
        <w:tblW w:type="auto" w:w="0"/>
        <w:tblLook w:firstColumn="1" w:firstRow="1" w:lastColumn="0" w:lastRow="0" w:noHBand="0" w:noVBand="1" w:val="04A0"/>
      </w:tblPr>
      <w:tblGrid>
        <w:gridCol w:w="10166"/>
      </w:tblGrid>
      <w:tr>
        <w:tc>
          <w:tcPr>
            <w:tcW w:type="dxa" w:w="10166"/>
            <w:shd w:fill="EAF2F3"/>
            <w:vAlign w:val="center"/>
            <w:tcMar>
              <w:top w:w="150" w:type="dxa"/>
              <w:start w:w="150" w:type="dxa"/>
              <w:bottom w:w="150" w:type="dxa"/>
              <w:end w:w="150" w:type="dxa"/>
            </w:tcMar>
          </w:tcPr>
          <w:p>
            <w:r>
              <w:t>Long-term product vision</w:t>
              <w:br/>
              <w:t>Activate will become a trusted Integrated Commerce Measurement environment. It will connect Retail Media, Personalized Offers, promotions, transactions, financial inputs and NIQ market context. It will first measure each intervention correctly, then progressively explain overlap, sequence, interaction, incremental contribution and combined commercial impact.</w:t>
            </w:r>
          </w:p>
        </w:tc>
      </w:tr>
    </w:tbl>
    <w:p>
      <w:pPr>
        <w:pStyle w:val="Heading2"/>
      </w:pPr>
      <w:r>
        <w:t>1.3.2 Why this vision matters</w:t>
      </w:r>
    </w:p>
    <w:p>
      <w:pPr>
        <w:pStyle w:val="ListBullet"/>
      </w:pPr>
      <w:r>
        <w:t>Retail Media, Personalized Offers and promotions often influence the same shoppers, products and purchases. Separate reporting can double count outcomes or hide how activities work together.</w:t>
      </w:r>
    </w:p>
    <w:p>
      <w:pPr>
        <w:pStyle w:val="ListBullet"/>
      </w:pPr>
      <w:r>
        <w:t>NIQ market data can explain whether performance reflects campaign impact, retailer movement, category growth or wider market change.</w:t>
      </w:r>
    </w:p>
    <w:p>
      <w:pPr>
        <w:pStyle w:val="ListBullet"/>
      </w:pPr>
      <w:r>
        <w:t>A shared measurement foundation creates consistent definitions, populations, product scopes, financial rules, versions and governance across commerce products.</w:t>
      </w:r>
    </w:p>
    <w:p>
      <w:pPr>
        <w:pStyle w:val="ListBullet"/>
      </w:pPr>
      <w:r>
        <w:t>The first release remains focused on Retail Media. Future integration is a roadmap direction, not a Phase 1 commitment.</w:t>
      </w:r>
    </w:p>
    <w:p>
      <w:pPr>
        <w:pStyle w:val="Heading2"/>
      </w:pPr>
      <w:r>
        <w:t>1.3.3 Extensibility promise</w:t>
      </w:r>
    </w:p>
    <w:p>
      <w:pPr>
        <w:pStyle w:val="ListBullet"/>
      </w:pPr>
      <w:r>
        <w:t>Use the same core business fields across the product: retailer, banner, advertiser or supplier, shopper or audience, product, campaign, period, cost, outcome and result.</w:t>
      </w:r>
    </w:p>
    <w:p>
      <w:pPr>
        <w:pStyle w:val="ListBullet"/>
      </w:pPr>
      <w:r>
        <w:t>Keep intervention-specific rules separate. Retail Media exposure, offer receipt or redemption, and broad promotion context are not treated as the same event.</w:t>
      </w:r>
    </w:p>
    <w:p>
      <w:pPr>
        <w:pStyle w:val="ListBullet"/>
      </w:pPr>
      <w:r>
        <w:t>Use consistent IDs, periods and product scopes so results can be linked safely later. Use source versions when they exist; otherwise keep the input snapshot and calculation record.</w:t>
      </w:r>
    </w:p>
    <w:p>
      <w:pPr>
        <w:pStyle w:val="ListBullet"/>
      </w:pPr>
      <w:r>
        <w:t>Do not add results across products when the same shopper or purchase may be counted more than once.</w:t>
      </w:r>
    </w:p>
    <w:p>
      <w:pPr>
        <w:pStyle w:val="ListBullet"/>
      </w:pPr>
      <w:r>
        <w:t>Allow future commerce products to plug into the same governed result, access, design and audit framework.</w:t>
      </w:r>
    </w:p>
    <w:p>
      <w:pPr>
        <w:pStyle w:val="Heading2"/>
      </w:pPr>
      <w:r>
        <w:t>1.4 Product boundary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In scope</w:t>
            </w:r>
          </w:p>
        </w:tc>
        <w:tc>
          <w:tcPr>
            <w:tcW w:type="dxa" w:w="5083"/>
            <w:shd w:fill="168B92"/>
            <w:vAlign w:val="center"/>
            <w:tcMar>
              <w:top w:w="100" w:type="dxa"/>
              <w:start w:w="100" w:type="dxa"/>
              <w:bottom w:w="100" w:type="dxa"/>
              <w:end w:w="100" w:type="dxa"/>
            </w:tcMar>
          </w:tcPr>
          <w:p>
            <w:r>
              <w:t>Out of scope</w:t>
            </w:r>
          </w:p>
        </w:tc>
      </w:tr>
      <w:tr>
        <w:tc>
          <w:tcPr>
            <w:tcW w:type="dxa" w:w="5083"/>
            <w:shd w:fill="FFFFFF"/>
            <w:vAlign w:val="center"/>
            <w:tcMar>
              <w:top w:w="100" w:type="dxa"/>
              <w:start w:w="100" w:type="dxa"/>
              <w:bottom w:w="100" w:type="dxa"/>
              <w:end w:w="100" w:type="dxa"/>
            </w:tcMar>
          </w:tcPr>
          <w:p>
            <w:r>
              <w:t>Campaign measurement, governed results and reporting</w:t>
            </w:r>
          </w:p>
        </w:tc>
        <w:tc>
          <w:tcPr>
            <w:tcW w:type="dxa" w:w="5083"/>
            <w:shd w:fill="FFFFFF"/>
            <w:vAlign w:val="center"/>
            <w:tcMar>
              <w:top w:w="100" w:type="dxa"/>
              <w:start w:w="100" w:type="dxa"/>
              <w:bottom w:w="100" w:type="dxa"/>
              <w:end w:w="100" w:type="dxa"/>
            </w:tcMar>
          </w:tcPr>
          <w:p>
            <w:r>
              <w:t>Audience creation and selection</w:t>
            </w:r>
          </w:p>
        </w:tc>
      </w:tr>
      <w:tr>
        <w:tc>
          <w:tcPr>
            <w:tcW w:type="dxa" w:w="5083"/>
            <w:shd w:fill="F7F9FA"/>
            <w:vAlign w:val="center"/>
            <w:tcMar>
              <w:top w:w="100" w:type="dxa"/>
              <w:start w:w="100" w:type="dxa"/>
              <w:bottom w:w="100" w:type="dxa"/>
              <w:end w:w="100" w:type="dxa"/>
            </w:tcMar>
          </w:tcPr>
          <w:p>
            <w:r>
              <w:t>Overview, Campaign Story and Performance Explorer</w:t>
            </w:r>
          </w:p>
        </w:tc>
        <w:tc>
          <w:tcPr>
            <w:tcW w:type="dxa" w:w="5083"/>
            <w:shd w:fill="F7F9FA"/>
            <w:vAlign w:val="center"/>
            <w:tcMar>
              <w:top w:w="100" w:type="dxa"/>
              <w:start w:w="100" w:type="dxa"/>
              <w:bottom w:w="100" w:type="dxa"/>
              <w:end w:w="100" w:type="dxa"/>
            </w:tcMar>
          </w:tcPr>
          <w:p>
            <w:r>
              <w:t>Media buying, bidding and ad serving</w:t>
            </w:r>
          </w:p>
        </w:tc>
      </w:tr>
      <w:tr>
        <w:tc>
          <w:tcPr>
            <w:tcW w:type="dxa" w:w="5083"/>
            <w:shd w:fill="FFFFFF"/>
            <w:vAlign w:val="center"/>
            <w:tcMar>
              <w:top w:w="100" w:type="dxa"/>
              <w:start w:w="100" w:type="dxa"/>
              <w:bottom w:w="100" w:type="dxa"/>
              <w:end w:w="100" w:type="dxa"/>
            </w:tcMar>
          </w:tcPr>
          <w:p>
            <w:r>
              <w:t>Descriptive, attributed and future incremental measurement</w:t>
            </w:r>
          </w:p>
        </w:tc>
        <w:tc>
          <w:tcPr>
            <w:tcW w:type="dxa" w:w="5083"/>
            <w:shd w:fill="FFFFFF"/>
            <w:vAlign w:val="center"/>
            <w:tcMar>
              <w:top w:w="100" w:type="dxa"/>
              <w:start w:w="100" w:type="dxa"/>
              <w:bottom w:w="100" w:type="dxa"/>
              <w:end w:w="100" w:type="dxa"/>
            </w:tcMar>
          </w:tcPr>
          <w:p>
            <w:r>
              <w:t>Creative production and approval</w:t>
            </w:r>
          </w:p>
        </w:tc>
      </w:tr>
      <w:tr>
        <w:tc>
          <w:tcPr>
            <w:tcW w:type="dxa" w:w="5083"/>
            <w:shd w:fill="F7F9FA"/>
            <w:vAlign w:val="center"/>
            <w:tcMar>
              <w:top w:w="100" w:type="dxa"/>
              <w:start w:w="100" w:type="dxa"/>
              <w:bottom w:w="100" w:type="dxa"/>
              <w:end w:w="100" w:type="dxa"/>
            </w:tcMar>
          </w:tcPr>
          <w:p>
            <w:r>
              <w:t>Financial, basket, halo, cross-channel and future market intelligence</w:t>
            </w:r>
          </w:p>
        </w:tc>
        <w:tc>
          <w:tcPr>
            <w:tcW w:type="dxa" w:w="5083"/>
            <w:shd w:fill="F7F9FA"/>
            <w:vAlign w:val="center"/>
            <w:tcMar>
              <w:top w:w="100" w:type="dxa"/>
              <w:start w:w="100" w:type="dxa"/>
              <w:bottom w:w="100" w:type="dxa"/>
              <w:end w:w="100" w:type="dxa"/>
            </w:tcMar>
          </w:tcPr>
          <w:p>
            <w:r>
              <w:t>Order management, billing and invoicing</w:t>
            </w:r>
          </w:p>
        </w:tc>
      </w:tr>
      <w:tr>
        <w:tc>
          <w:tcPr>
            <w:tcW w:type="dxa" w:w="5083"/>
            <w:shd w:fill="FFFFFF"/>
            <w:vAlign w:val="center"/>
            <w:tcMar>
              <w:top w:w="100" w:type="dxa"/>
              <w:start w:w="100" w:type="dxa"/>
              <w:bottom w:w="100" w:type="dxa"/>
              <w:end w:w="100" w:type="dxa"/>
            </w:tcMar>
          </w:tcPr>
          <w:p>
            <w:r>
              <w:t>Controlled sharing, export and future APIs</w:t>
            </w:r>
          </w:p>
        </w:tc>
        <w:tc>
          <w:tcPr>
            <w:tcW w:type="dxa" w:w="5083"/>
            <w:shd w:fill="FFFFFF"/>
            <w:vAlign w:val="center"/>
            <w:tcMar>
              <w:top w:w="100" w:type="dxa"/>
              <w:start w:w="100" w:type="dxa"/>
              <w:bottom w:w="100" w:type="dxa"/>
              <w:end w:w="100" w:type="dxa"/>
            </w:tcMar>
          </w:tcPr>
          <w:p>
            <w:r>
              <w:t>A universal identity graph</w:t>
            </w:r>
          </w:p>
        </w:tc>
      </w:tr>
    </w:tbl>
    <w:p/>
    <w:p>
      <w:pPr>
        <w:pStyle w:val="Heading2"/>
      </w:pPr>
      <w:r>
        <w:t>1.5 Users and decisions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User</w:t>
            </w:r>
          </w:p>
        </w:tc>
        <w:tc>
          <w:tcPr>
            <w:tcW w:type="dxa" w:w="5083"/>
            <w:shd w:fill="168B92"/>
            <w:vAlign w:val="center"/>
            <w:tcMar>
              <w:top w:w="100" w:type="dxa"/>
              <w:start w:w="100" w:type="dxa"/>
              <w:bottom w:w="100" w:type="dxa"/>
              <w:end w:w="100" w:type="dxa"/>
            </w:tcMar>
          </w:tcPr>
          <w:p>
            <w:r>
              <w:t>Decision supported</w:t>
            </w:r>
          </w:p>
        </w:tc>
      </w:tr>
      <w:tr>
        <w:tc>
          <w:tcPr>
            <w:tcW w:type="dxa" w:w="5083"/>
            <w:shd w:fill="FFFFFF"/>
            <w:vAlign w:val="center"/>
            <w:tcMar>
              <w:top w:w="100" w:type="dxa"/>
              <w:start w:w="100" w:type="dxa"/>
              <w:bottom w:w="100" w:type="dxa"/>
              <w:end w:w="100" w:type="dxa"/>
            </w:tcMar>
          </w:tcPr>
          <w:p>
            <w:r>
              <w:t>Retail Media Manager / commercial lead</w:t>
            </w:r>
          </w:p>
        </w:tc>
        <w:tc>
          <w:tcPr>
            <w:tcW w:type="dxa" w:w="5083"/>
            <w:shd w:fill="FFFFFF"/>
            <w:vAlign w:val="center"/>
            <w:tcMar>
              <w:top w:w="100" w:type="dxa"/>
              <w:start w:w="100" w:type="dxa"/>
              <w:bottom w:w="100" w:type="dxa"/>
              <w:end w:w="100" w:type="dxa"/>
            </w:tcMar>
          </w:tcPr>
          <w:p>
            <w:r>
              <w:t>Explain performance, protect trust and decide the next commercial action.</w:t>
            </w:r>
          </w:p>
        </w:tc>
      </w:tr>
      <w:tr>
        <w:tc>
          <w:tcPr>
            <w:tcW w:type="dxa" w:w="5083"/>
            <w:shd w:fill="F7F9FA"/>
            <w:vAlign w:val="center"/>
            <w:tcMar>
              <w:top w:w="100" w:type="dxa"/>
              <w:start w:w="100" w:type="dxa"/>
              <w:bottom w:w="100" w:type="dxa"/>
              <w:end w:w="100" w:type="dxa"/>
            </w:tcMar>
          </w:tcPr>
          <w:p>
            <w:r>
              <w:t>Advertiser or retailer analyst</w:t>
            </w:r>
          </w:p>
        </w:tc>
        <w:tc>
          <w:tcPr>
            <w:tcW w:type="dxa" w:w="5083"/>
            <w:shd w:fill="F7F9FA"/>
            <w:vAlign w:val="center"/>
            <w:tcMar>
              <w:top w:w="100" w:type="dxa"/>
              <w:start w:w="100" w:type="dxa"/>
              <w:bottom w:w="100" w:type="dxa"/>
              <w:end w:w="100" w:type="dxa"/>
            </w:tcMar>
          </w:tcPr>
          <w:p>
            <w:r>
              <w:t>Explore approved results and understand definitions, scope and methodology.</w:t>
            </w:r>
          </w:p>
        </w:tc>
      </w:tr>
      <w:tr>
        <w:tc>
          <w:tcPr>
            <w:tcW w:type="dxa" w:w="5083"/>
            <w:shd w:fill="FFFFFF"/>
            <w:vAlign w:val="center"/>
            <w:tcMar>
              <w:top w:w="100" w:type="dxa"/>
              <w:start w:w="100" w:type="dxa"/>
              <w:bottom w:w="100" w:type="dxa"/>
              <w:end w:w="100" w:type="dxa"/>
            </w:tcMar>
          </w:tcPr>
          <w:p>
            <w:r>
              <w:t>Agency</w:t>
            </w:r>
          </w:p>
        </w:tc>
        <w:tc>
          <w:tcPr>
            <w:tcW w:type="dxa" w:w="5083"/>
            <w:shd w:fill="FFFFFF"/>
            <w:vAlign w:val="center"/>
            <w:tcMar>
              <w:top w:w="100" w:type="dxa"/>
              <w:start w:w="100" w:type="dxa"/>
              <w:bottom w:w="100" w:type="dxa"/>
              <w:end w:w="100" w:type="dxa"/>
            </w:tcMar>
          </w:tcPr>
          <w:p>
            <w:r>
              <w:t>Review authorized campaigns and share approved results.</w:t>
            </w:r>
          </w:p>
        </w:tc>
      </w:tr>
      <w:tr>
        <w:tc>
          <w:tcPr>
            <w:tcW w:type="dxa" w:w="5083"/>
            <w:shd w:fill="F7F9FA"/>
            <w:vAlign w:val="center"/>
            <w:tcMar>
              <w:top w:w="100" w:type="dxa"/>
              <w:start w:w="100" w:type="dxa"/>
              <w:bottom w:w="100" w:type="dxa"/>
              <w:end w:w="100" w:type="dxa"/>
            </w:tcMar>
          </w:tcPr>
          <w:p>
            <w:r>
              <w:t>Campaign and data operations</w:t>
            </w:r>
          </w:p>
        </w:tc>
        <w:tc>
          <w:tcPr>
            <w:tcW w:type="dxa" w:w="5083"/>
            <w:shd w:fill="F7F9FA"/>
            <w:vAlign w:val="center"/>
            <w:tcMar>
              <w:top w:w="100" w:type="dxa"/>
              <w:start w:w="100" w:type="dxa"/>
              <w:bottom w:w="100" w:type="dxa"/>
              <w:end w:w="100" w:type="dxa"/>
            </w:tcMar>
          </w:tcPr>
          <w:p>
            <w:r>
              <w:t>Monitor delivery, data coverage and readiness.</w:t>
            </w:r>
          </w:p>
        </w:tc>
      </w:tr>
      <w:tr>
        <w:tc>
          <w:tcPr>
            <w:tcW w:type="dxa" w:w="5083"/>
            <w:shd w:fill="FFFFFF"/>
            <w:vAlign w:val="center"/>
            <w:tcMar>
              <w:top w:w="100" w:type="dxa"/>
              <w:start w:w="100" w:type="dxa"/>
              <w:bottom w:w="100" w:type="dxa"/>
              <w:end w:w="100" w:type="dxa"/>
            </w:tcMar>
          </w:tcPr>
          <w:p>
            <w:r>
              <w:t>Data Science and governance</w:t>
            </w:r>
          </w:p>
        </w:tc>
        <w:tc>
          <w:tcPr>
            <w:tcW w:type="dxa" w:w="5083"/>
            <w:shd w:fill="FFFFFF"/>
            <w:vAlign w:val="center"/>
            <w:tcMar>
              <w:top w:w="100" w:type="dxa"/>
              <w:start w:w="100" w:type="dxa"/>
              <w:bottom w:w="100" w:type="dxa"/>
              <w:end w:w="100" w:type="dxa"/>
            </w:tcMar>
          </w:tcPr>
          <w:p>
            <w:r>
              <w:t>Approve methods, quality and causal results.</w:t>
            </w:r>
          </w:p>
        </w:tc>
      </w:tr>
    </w:tbl>
    <w:p/>
    <w:p>
      <w:r>
        <w:rPr>
          <w:sz w:val="21"/>
        </w:rPr>
      </w:r>
    </w:p>
    <w:p>
      <w:pPr>
        <w:pStyle w:val="Heading1"/>
      </w:pPr>
      <w:r>
        <w:t>2. Product principles and result language</w:t>
      </w:r>
    </w:p>
    <w:p>
      <w:pPr>
        <w:pStyle w:val="Heading2"/>
      </w:pPr>
      <w:r>
        <w:t>2.1 Principles</w:t>
      </w:r>
    </w:p>
    <w:p>
      <w:pPr>
        <w:pStyle w:val="ListBullet"/>
      </w:pPr>
      <w:r>
        <w:t>Never make a stronger claim than the data and approved method support.</w:t>
      </w:r>
    </w:p>
    <w:p>
      <w:pPr>
        <w:pStyle w:val="ListBullet"/>
      </w:pPr>
      <w:r>
        <w:t>Keep descriptive, attributed, incremental and partner-reported results separate.</w:t>
      </w:r>
    </w:p>
    <w:p>
      <w:pPr>
        <w:pStyle w:val="ListBullet"/>
      </w:pPr>
      <w:r>
        <w:t>Use one approved KPI definition and one result version across every screen and export.</w:t>
      </w:r>
    </w:p>
    <w:p>
      <w:pPr>
        <w:pStyle w:val="ListBullet"/>
      </w:pPr>
      <w:r>
        <w:t>Explain missing or unsupported data. Never replace it with zero, a blank or an estimate.</w:t>
      </w:r>
    </w:p>
    <w:p>
      <w:pPr>
        <w:pStyle w:val="ListBullet"/>
      </w:pPr>
      <w:r>
        <w:t>Preserve the exact audience membership, product scope, periods, input files and calculation rules behind every published result. Source versions are used when available, but they are not required for Phase 1.</w:t>
      </w:r>
    </w:p>
    <w:p>
      <w:pPr>
        <w:pStyle w:val="ListBullet"/>
      </w:pPr>
      <w:r>
        <w:t>Allow exploration of approved results, but do not allow users to change the definition of an approved headline result.</w:t>
      </w:r>
    </w:p>
    <w:p>
      <w:pPr>
        <w:pStyle w:val="Heading2"/>
      </w:pPr>
      <w:r>
        <w:t>2.2 Result classes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8B92"/>
            <w:vAlign w:val="center"/>
            <w:tcMar>
              <w:top w:w="100" w:type="dxa"/>
              <w:start w:w="100" w:type="dxa"/>
              <w:bottom w:w="100" w:type="dxa"/>
              <w:end w:w="100" w:type="dxa"/>
            </w:tcMar>
          </w:tcPr>
          <w:p>
            <w:r>
              <w:t>Result class</w:t>
            </w:r>
          </w:p>
        </w:tc>
        <w:tc>
          <w:tcPr>
            <w:tcW w:type="dxa" w:w="2541"/>
            <w:shd w:fill="168B92"/>
            <w:vAlign w:val="center"/>
            <w:tcMar>
              <w:top w:w="100" w:type="dxa"/>
              <w:start w:w="100" w:type="dxa"/>
              <w:bottom w:w="100" w:type="dxa"/>
              <w:end w:w="100" w:type="dxa"/>
            </w:tcMar>
          </w:tcPr>
          <w:p>
            <w:r>
              <w:t>Question answered</w:t>
            </w:r>
          </w:p>
        </w:tc>
        <w:tc>
          <w:tcPr>
            <w:tcW w:type="dxa" w:w="2541"/>
            <w:shd w:fill="168B92"/>
            <w:vAlign w:val="center"/>
            <w:tcMar>
              <w:top w:w="100" w:type="dxa"/>
              <w:start w:w="100" w:type="dxa"/>
              <w:bottom w:w="100" w:type="dxa"/>
              <w:end w:w="100" w:type="dxa"/>
            </w:tcMar>
          </w:tcPr>
          <w:p>
            <w:r>
              <w:t>Minimum requirement</w:t>
            </w:r>
          </w:p>
        </w:tc>
        <w:tc>
          <w:tcPr>
            <w:tcW w:type="dxa" w:w="2541"/>
            <w:shd w:fill="168B92"/>
            <w:vAlign w:val="center"/>
            <w:tcMar>
              <w:top w:w="100" w:type="dxa"/>
              <w:start w:w="100" w:type="dxa"/>
              <w:bottom w:w="100" w:type="dxa"/>
              <w:end w:w="100" w:type="dxa"/>
            </w:tcMar>
          </w:tcPr>
          <w:p>
            <w:r>
              <w:t>Does not prove</w:t>
            </w:r>
          </w:p>
        </w:tc>
      </w:tr>
      <w:tr>
        <w:tc>
          <w:tcPr>
            <w:tcW w:type="dxa" w:w="2541"/>
            <w:shd w:fill="FFFFFF"/>
            <w:vAlign w:val="center"/>
            <w:tcMar>
              <w:top w:w="100" w:type="dxa"/>
              <w:start w:w="100" w:type="dxa"/>
              <w:bottom w:w="100" w:type="dxa"/>
              <w:end w:w="100" w:type="dxa"/>
            </w:tcMar>
          </w:tcPr>
          <w:p>
            <w:r>
              <w:t>Descriptive</w:t>
            </w:r>
          </w:p>
        </w:tc>
        <w:tc>
          <w:tcPr>
            <w:tcW w:type="dxa" w:w="2541"/>
            <w:shd w:fill="FFFFFF"/>
            <w:vAlign w:val="center"/>
            <w:tcMar>
              <w:top w:w="100" w:type="dxa"/>
              <w:start w:w="100" w:type="dxa"/>
              <w:bottom w:w="100" w:type="dxa"/>
              <w:end w:w="100" w:type="dxa"/>
            </w:tcMar>
          </w:tcPr>
          <w:p>
            <w:r>
              <w:t>What did shoppers in the selected audience buy?</w:t>
            </w:r>
          </w:p>
        </w:tc>
        <w:tc>
          <w:tcPr>
            <w:tcW w:type="dxa" w:w="2541"/>
            <w:shd w:fill="FFFFFF"/>
            <w:vAlign w:val="center"/>
            <w:tcMar>
              <w:top w:w="100" w:type="dxa"/>
              <w:start w:w="100" w:type="dxa"/>
              <w:bottom w:w="100" w:type="dxa"/>
              <w:end w:w="100" w:type="dxa"/>
            </w:tcMar>
          </w:tcPr>
          <w:p>
            <w:r>
              <w:t>Frozen audience, product scope and TLOG</w:t>
            </w:r>
          </w:p>
        </w:tc>
        <w:tc>
          <w:tcPr>
            <w:tcW w:type="dxa" w:w="2541"/>
            <w:shd w:fill="FFFFFF"/>
            <w:vAlign w:val="center"/>
            <w:tcMar>
              <w:top w:w="100" w:type="dxa"/>
              <w:start w:w="100" w:type="dxa"/>
              <w:bottom w:w="100" w:type="dxa"/>
              <w:end w:w="100" w:type="dxa"/>
            </w:tcMar>
          </w:tcPr>
          <w:p>
            <w:r>
              <w:t>Exposure or causation</w:t>
            </w:r>
          </w:p>
        </w:tc>
      </w:tr>
      <w:tr>
        <w:tc>
          <w:tcPr>
            <w:tcW w:type="dxa" w:w="2541"/>
            <w:shd w:fill="F7F9FA"/>
            <w:vAlign w:val="center"/>
            <w:tcMar>
              <w:top w:w="100" w:type="dxa"/>
              <w:start w:w="100" w:type="dxa"/>
              <w:bottom w:w="100" w:type="dxa"/>
              <w:end w:w="100" w:type="dxa"/>
            </w:tcMar>
          </w:tcPr>
          <w:p>
            <w:r>
              <w:t>Attributed</w:t>
            </w:r>
          </w:p>
        </w:tc>
        <w:tc>
          <w:tcPr>
            <w:tcW w:type="dxa" w:w="2541"/>
            <w:shd w:fill="F7F9FA"/>
            <w:vAlign w:val="center"/>
            <w:tcMar>
              <w:top w:w="100" w:type="dxa"/>
              <w:start w:w="100" w:type="dxa"/>
              <w:bottom w:w="100" w:type="dxa"/>
              <w:end w:w="100" w:type="dxa"/>
            </w:tcMar>
          </w:tcPr>
          <w:p>
            <w:r>
              <w:t>What was purchased after a qualifying media event?</w:t>
            </w:r>
          </w:p>
        </w:tc>
        <w:tc>
          <w:tcPr>
            <w:tcW w:type="dxa" w:w="2541"/>
            <w:shd w:fill="F7F9FA"/>
            <w:vAlign w:val="center"/>
            <w:tcMar>
              <w:top w:w="100" w:type="dxa"/>
              <w:start w:w="100" w:type="dxa"/>
              <w:bottom w:w="100" w:type="dxa"/>
              <w:end w:w="100" w:type="dxa"/>
            </w:tcMar>
          </w:tcPr>
          <w:p>
            <w:r>
              <w:t>Shopper-level media event, TLOG and approved attribution rule</w:t>
            </w:r>
          </w:p>
        </w:tc>
        <w:tc>
          <w:tcPr>
            <w:tcW w:type="dxa" w:w="2541"/>
            <w:shd w:fill="F7F9FA"/>
            <w:vAlign w:val="center"/>
            <w:tcMar>
              <w:top w:w="100" w:type="dxa"/>
              <w:start w:w="100" w:type="dxa"/>
              <w:bottom w:w="100" w:type="dxa"/>
              <w:end w:w="100" w:type="dxa"/>
            </w:tcMar>
          </w:tcPr>
          <w:p>
            <w:r>
              <w:t>Causation</w:t>
            </w:r>
          </w:p>
        </w:tc>
      </w:tr>
      <w:tr>
        <w:tc>
          <w:tcPr>
            <w:tcW w:type="dxa" w:w="2541"/>
            <w:shd w:fill="FFFFFF"/>
            <w:vAlign w:val="center"/>
            <w:tcMar>
              <w:top w:w="100" w:type="dxa"/>
              <w:start w:w="100" w:type="dxa"/>
              <w:bottom w:w="100" w:type="dxa"/>
              <w:end w:w="100" w:type="dxa"/>
            </w:tcMar>
          </w:tcPr>
          <w:p>
            <w:r>
              <w:t>Incremental</w:t>
            </w:r>
          </w:p>
        </w:tc>
        <w:tc>
          <w:tcPr>
            <w:tcW w:type="dxa" w:w="2541"/>
            <w:shd w:fill="FFFFFF"/>
            <w:vAlign w:val="center"/>
            <w:tcMar>
              <w:top w:w="100" w:type="dxa"/>
              <w:start w:w="100" w:type="dxa"/>
              <w:bottom w:w="100" w:type="dxa"/>
              <w:end w:w="100" w:type="dxa"/>
            </w:tcMar>
          </w:tcPr>
          <w:p>
            <w:r>
              <w:t>What would not have happened without the campaign?</w:t>
            </w:r>
          </w:p>
        </w:tc>
        <w:tc>
          <w:tcPr>
            <w:tcW w:type="dxa" w:w="2541"/>
            <w:shd w:fill="FFFFFF"/>
            <w:vAlign w:val="center"/>
            <w:tcMar>
              <w:top w:w="100" w:type="dxa"/>
              <w:start w:w="100" w:type="dxa"/>
              <w:bottom w:w="100" w:type="dxa"/>
              <w:end w:w="100" w:type="dxa"/>
            </w:tcMar>
          </w:tcPr>
          <w:p>
            <w:r>
              <w:t>Approved causal design, comparison/control data and uncertainty</w:t>
            </w:r>
          </w:p>
        </w:tc>
        <w:tc>
          <w:tcPr>
            <w:tcW w:type="dxa" w:w="2541"/>
            <w:shd w:fill="FFFFFF"/>
            <w:vAlign w:val="center"/>
            <w:tcMar>
              <w:top w:w="100" w:type="dxa"/>
              <w:start w:w="100" w:type="dxa"/>
              <w:bottom w:w="100" w:type="dxa"/>
              <w:end w:w="100" w:type="dxa"/>
            </w:tcMar>
          </w:tcPr>
          <w:p>
            <w:r>
              <w:t>Anything beyond the approved method</w:t>
            </w:r>
          </w:p>
        </w:tc>
      </w:tr>
      <w:tr>
        <w:tc>
          <w:tcPr>
            <w:tcW w:type="dxa" w:w="2541"/>
            <w:shd w:fill="F7F9FA"/>
            <w:vAlign w:val="center"/>
            <w:tcMar>
              <w:top w:w="100" w:type="dxa"/>
              <w:start w:w="100" w:type="dxa"/>
              <w:bottom w:w="100" w:type="dxa"/>
              <w:end w:w="100" w:type="dxa"/>
            </w:tcMar>
          </w:tcPr>
          <w:p>
            <w:r>
              <w:t>Partner-reported</w:t>
            </w:r>
          </w:p>
        </w:tc>
        <w:tc>
          <w:tcPr>
            <w:tcW w:type="dxa" w:w="2541"/>
            <w:shd w:fill="F7F9FA"/>
            <w:vAlign w:val="center"/>
            <w:tcMar>
              <w:top w:w="100" w:type="dxa"/>
              <w:start w:w="100" w:type="dxa"/>
              <w:bottom w:w="100" w:type="dxa"/>
              <w:end w:w="100" w:type="dxa"/>
            </w:tcMar>
          </w:tcPr>
          <w:p>
            <w:r>
              <w:t>What does the partner report?</w:t>
            </w:r>
          </w:p>
        </w:tc>
        <w:tc>
          <w:tcPr>
            <w:tcW w:type="dxa" w:w="2541"/>
            <w:shd w:fill="F7F9FA"/>
            <w:vAlign w:val="center"/>
            <w:tcMar>
              <w:top w:w="100" w:type="dxa"/>
              <w:start w:w="100" w:type="dxa"/>
              <w:bottom w:w="100" w:type="dxa"/>
              <w:end w:w="100" w:type="dxa"/>
            </w:tcMar>
          </w:tcPr>
          <w:p>
            <w:r>
              <w:t>Partner value plus method metadata</w:t>
            </w:r>
          </w:p>
        </w:tc>
        <w:tc>
          <w:tcPr>
            <w:tcW w:type="dxa" w:w="2541"/>
            <w:shd w:fill="F7F9FA"/>
            <w:vAlign w:val="center"/>
            <w:tcMar>
              <w:top w:w="100" w:type="dxa"/>
              <w:start w:w="100" w:type="dxa"/>
              <w:bottom w:w="100" w:type="dxa"/>
              <w:end w:w="100" w:type="dxa"/>
            </w:tcMar>
          </w:tcPr>
          <w:p>
            <w:r>
              <w:t>That Activate calculated or validated it</w:t>
            </w:r>
          </w:p>
        </w:tc>
      </w:tr>
      <w:tr>
        <w:tc>
          <w:tcPr>
            <w:tcW w:type="dxa" w:w="2541"/>
            <w:shd w:fill="FFFFFF"/>
            <w:vAlign w:val="center"/>
            <w:tcMar>
              <w:top w:w="100" w:type="dxa"/>
              <w:start w:w="100" w:type="dxa"/>
              <w:bottom w:w="100" w:type="dxa"/>
              <w:end w:w="100" w:type="dxa"/>
            </w:tcMar>
          </w:tcPr>
          <w:p>
            <w:r>
              <w:t>Diagnostic</w:t>
            </w:r>
          </w:p>
        </w:tc>
        <w:tc>
          <w:tcPr>
            <w:tcW w:type="dxa" w:w="2541"/>
            <w:shd w:fill="FFFFFF"/>
            <w:vAlign w:val="center"/>
            <w:tcMar>
              <w:top w:w="100" w:type="dxa"/>
              <w:start w:w="100" w:type="dxa"/>
              <w:bottom w:w="100" w:type="dxa"/>
              <w:end w:w="100" w:type="dxa"/>
            </w:tcMar>
          </w:tcPr>
          <w:p>
            <w:r>
              <w:t>Is the result safe to use?</w:t>
            </w:r>
          </w:p>
        </w:tc>
        <w:tc>
          <w:tcPr>
            <w:tcW w:type="dxa" w:w="2541"/>
            <w:shd w:fill="FFFFFF"/>
            <w:vAlign w:val="center"/>
            <w:tcMar>
              <w:top w:w="100" w:type="dxa"/>
              <w:start w:w="100" w:type="dxa"/>
              <w:bottom w:w="100" w:type="dxa"/>
              <w:end w:w="100" w:type="dxa"/>
            </w:tcMar>
          </w:tcPr>
          <w:p>
            <w:r>
              <w:t>Coverage, reconciliation and quality checks</w:t>
            </w:r>
          </w:p>
        </w:tc>
        <w:tc>
          <w:tcPr>
            <w:tcW w:type="dxa" w:w="2541"/>
            <w:shd w:fill="FFFFFF"/>
            <w:vAlign w:val="center"/>
            <w:tcMar>
              <w:top w:w="100" w:type="dxa"/>
              <w:start w:w="100" w:type="dxa"/>
              <w:bottom w:w="100" w:type="dxa"/>
              <w:end w:w="100" w:type="dxa"/>
            </w:tcMar>
          </w:tcPr>
          <w:p>
            <w:r>
              <w:t>A commercial outcome</w:t>
            </w:r>
          </w:p>
        </w:tc>
      </w:tr>
    </w:tbl>
    <w:p/>
    <w:p>
      <w:pPr>
        <w:pStyle w:val="Heading2"/>
      </w:pPr>
      <w:r>
        <w:t>2.3 Readiness and publication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Readiness status</w:t>
            </w:r>
          </w:p>
        </w:tc>
        <w:tc>
          <w:tcPr>
            <w:tcW w:type="dxa" w:w="5083"/>
            <w:shd w:fill="168B92"/>
            <w:vAlign w:val="center"/>
            <w:tcMar>
              <w:top w:w="100" w:type="dxa"/>
              <w:start w:w="100" w:type="dxa"/>
              <w:bottom w:w="100" w:type="dxa"/>
              <w:end w:w="100" w:type="dxa"/>
            </w:tcMar>
          </w:tcPr>
          <w:p>
            <w:r>
              <w:t>Meaning</w:t>
            </w:r>
          </w:p>
        </w:tc>
      </w:tr>
      <w:tr>
        <w:tc>
          <w:tcPr>
            <w:tcW w:type="dxa" w:w="5083"/>
            <w:shd w:fill="FFFFFF"/>
            <w:vAlign w:val="center"/>
            <w:tcMar>
              <w:top w:w="100" w:type="dxa"/>
              <w:start w:w="100" w:type="dxa"/>
              <w:bottom w:w="100" w:type="dxa"/>
              <w:end w:w="100" w:type="dxa"/>
            </w:tcMar>
          </w:tcPr>
          <w:p>
            <w:r>
              <w:t>Ready</w:t>
            </w:r>
          </w:p>
        </w:tc>
        <w:tc>
          <w:tcPr>
            <w:tcW w:type="dxa" w:w="5083"/>
            <w:shd w:fill="FFFFFF"/>
            <w:vAlign w:val="center"/>
            <w:tcMar>
              <w:top w:w="100" w:type="dxa"/>
              <w:start w:w="100" w:type="dxa"/>
              <w:bottom w:w="100" w:type="dxa"/>
              <w:end w:w="100" w:type="dxa"/>
            </w:tcMar>
          </w:tcPr>
          <w:p>
            <w:r>
              <w:t>The result can be used for its approved purpose.</w:t>
            </w:r>
          </w:p>
        </w:tc>
      </w:tr>
      <w:tr>
        <w:tc>
          <w:tcPr>
            <w:tcW w:type="dxa" w:w="5083"/>
            <w:shd w:fill="F7F9FA"/>
            <w:vAlign w:val="center"/>
            <w:tcMar>
              <w:top w:w="100" w:type="dxa"/>
              <w:start w:w="100" w:type="dxa"/>
              <w:bottom w:w="100" w:type="dxa"/>
              <w:end w:w="100" w:type="dxa"/>
            </w:tcMar>
          </w:tcPr>
          <w:p>
            <w:r>
              <w:t>Processing</w:t>
            </w:r>
          </w:p>
        </w:tc>
        <w:tc>
          <w:tcPr>
            <w:tcW w:type="dxa" w:w="5083"/>
            <w:shd w:fill="F7F9FA"/>
            <w:vAlign w:val="center"/>
            <w:tcMar>
              <w:top w:w="100" w:type="dxa"/>
              <w:start w:w="100" w:type="dxa"/>
              <w:bottom w:w="100" w:type="dxa"/>
              <w:end w:w="100" w:type="dxa"/>
            </w:tcMar>
          </w:tcPr>
          <w:p>
            <w:r>
              <w:t>Required data or calculation is not complete.</w:t>
            </w:r>
          </w:p>
        </w:tc>
      </w:tr>
      <w:tr>
        <w:tc>
          <w:tcPr>
            <w:tcW w:type="dxa" w:w="5083"/>
            <w:shd w:fill="FFFFFF"/>
            <w:vAlign w:val="center"/>
            <w:tcMar>
              <w:top w:w="100" w:type="dxa"/>
              <w:start w:w="100" w:type="dxa"/>
              <w:bottom w:w="100" w:type="dxa"/>
              <w:end w:w="100" w:type="dxa"/>
            </w:tcMar>
          </w:tcPr>
          <w:p>
            <w:r>
              <w:t>Insufficient data</w:t>
            </w:r>
          </w:p>
        </w:tc>
        <w:tc>
          <w:tcPr>
            <w:tcW w:type="dxa" w:w="5083"/>
            <w:shd w:fill="FFFFFF"/>
            <w:vAlign w:val="center"/>
            <w:tcMar>
              <w:top w:w="100" w:type="dxa"/>
              <w:start w:w="100" w:type="dxa"/>
              <w:bottom w:w="100" w:type="dxa"/>
              <w:end w:w="100" w:type="dxa"/>
            </w:tcMar>
          </w:tcPr>
          <w:p>
            <w:r>
              <w:t>Data exists but does not meet the approved minimum.</w:t>
            </w:r>
          </w:p>
        </w:tc>
      </w:tr>
      <w:tr>
        <w:tc>
          <w:tcPr>
            <w:tcW w:type="dxa" w:w="5083"/>
            <w:shd w:fill="F7F9FA"/>
            <w:vAlign w:val="center"/>
            <w:tcMar>
              <w:top w:w="100" w:type="dxa"/>
              <w:start w:w="100" w:type="dxa"/>
              <w:bottom w:w="100" w:type="dxa"/>
              <w:end w:w="100" w:type="dxa"/>
            </w:tcMar>
          </w:tcPr>
          <w:p>
            <w:r>
              <w:t>Not supported</w:t>
            </w:r>
          </w:p>
        </w:tc>
        <w:tc>
          <w:tcPr>
            <w:tcW w:type="dxa" w:w="5083"/>
            <w:shd w:fill="F7F9FA"/>
            <w:vAlign w:val="center"/>
            <w:tcMar>
              <w:top w:w="100" w:type="dxa"/>
              <w:start w:w="100" w:type="dxa"/>
              <w:bottom w:w="100" w:type="dxa"/>
              <w:end w:w="100" w:type="dxa"/>
            </w:tcMar>
          </w:tcPr>
          <w:p>
            <w:r>
              <w:t>The source or channel cannot provide the result.</w:t>
            </w:r>
          </w:p>
        </w:tc>
      </w:tr>
      <w:tr>
        <w:tc>
          <w:tcPr>
            <w:tcW w:type="dxa" w:w="5083"/>
            <w:shd w:fill="FFFFFF"/>
            <w:vAlign w:val="center"/>
            <w:tcMar>
              <w:top w:w="100" w:type="dxa"/>
              <w:start w:w="100" w:type="dxa"/>
              <w:bottom w:w="100" w:type="dxa"/>
              <w:end w:w="100" w:type="dxa"/>
            </w:tcMar>
          </w:tcPr>
          <w:p>
            <w:r>
              <w:t>Data issue</w:t>
            </w:r>
          </w:p>
        </w:tc>
        <w:tc>
          <w:tcPr>
            <w:tcW w:type="dxa" w:w="5083"/>
            <w:shd w:fill="FFFFFF"/>
            <w:vAlign w:val="center"/>
            <w:tcMar>
              <w:top w:w="100" w:type="dxa"/>
              <w:start w:w="100" w:type="dxa"/>
              <w:bottom w:w="100" w:type="dxa"/>
              <w:end w:w="100" w:type="dxa"/>
            </w:tcMar>
          </w:tcPr>
          <w:p>
            <w:r>
              <w:t>Data is late, invalid, incomplete, unmapped or suppressed.</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Lifecycle state</w:t>
            </w:r>
          </w:p>
        </w:tc>
        <w:tc>
          <w:tcPr>
            <w:tcW w:type="dxa" w:w="5083"/>
            <w:shd w:fill="168B92"/>
            <w:vAlign w:val="center"/>
            <w:tcMar>
              <w:top w:w="100" w:type="dxa"/>
              <w:start w:w="100" w:type="dxa"/>
              <w:bottom w:w="100" w:type="dxa"/>
              <w:end w:w="100" w:type="dxa"/>
            </w:tcMar>
          </w:tcPr>
          <w:p>
            <w:r>
              <w:t>Meaning</w:t>
            </w:r>
          </w:p>
        </w:tc>
      </w:tr>
      <w:tr>
        <w:tc>
          <w:tcPr>
            <w:tcW w:type="dxa" w:w="5083"/>
            <w:shd w:fill="FFFFFF"/>
            <w:vAlign w:val="center"/>
            <w:tcMar>
              <w:top w:w="100" w:type="dxa"/>
              <w:start w:w="100" w:type="dxa"/>
              <w:bottom w:w="100" w:type="dxa"/>
              <w:end w:w="100" w:type="dxa"/>
            </w:tcMar>
          </w:tcPr>
          <w:p>
            <w:r>
              <w:t>Calculated</w:t>
            </w:r>
          </w:p>
        </w:tc>
        <w:tc>
          <w:tcPr>
            <w:tcW w:type="dxa" w:w="5083"/>
            <w:shd w:fill="FFFFFF"/>
            <w:vAlign w:val="center"/>
            <w:tcMar>
              <w:top w:w="100" w:type="dxa"/>
              <w:start w:w="100" w:type="dxa"/>
              <w:bottom w:w="100" w:type="dxa"/>
              <w:end w:w="100" w:type="dxa"/>
            </w:tcMar>
          </w:tcPr>
          <w:p>
            <w:r>
              <w:t>A result exists but has not completed validation.</w:t>
            </w:r>
          </w:p>
        </w:tc>
      </w:tr>
      <w:tr>
        <w:tc>
          <w:tcPr>
            <w:tcW w:type="dxa" w:w="5083"/>
            <w:shd w:fill="F7F9FA"/>
            <w:vAlign w:val="center"/>
            <w:tcMar>
              <w:top w:w="100" w:type="dxa"/>
              <w:start w:w="100" w:type="dxa"/>
              <w:bottom w:w="100" w:type="dxa"/>
              <w:end w:w="100" w:type="dxa"/>
            </w:tcMar>
          </w:tcPr>
          <w:p>
            <w:r>
              <w:t>Validated</w:t>
            </w:r>
          </w:p>
        </w:tc>
        <w:tc>
          <w:tcPr>
            <w:tcW w:type="dxa" w:w="5083"/>
            <w:shd w:fill="F7F9FA"/>
            <w:vAlign w:val="center"/>
            <w:tcMar>
              <w:top w:w="100" w:type="dxa"/>
              <w:start w:w="100" w:type="dxa"/>
              <w:bottom w:w="100" w:type="dxa"/>
              <w:end w:w="100" w:type="dxa"/>
            </w:tcMar>
          </w:tcPr>
          <w:p>
            <w:r>
              <w:t>Data, formula and quality checks passed.</w:t>
            </w:r>
          </w:p>
        </w:tc>
      </w:tr>
      <w:tr>
        <w:tc>
          <w:tcPr>
            <w:tcW w:type="dxa" w:w="5083"/>
            <w:shd w:fill="FFFFFF"/>
            <w:vAlign w:val="center"/>
            <w:tcMar>
              <w:top w:w="100" w:type="dxa"/>
              <w:start w:w="100" w:type="dxa"/>
              <w:bottom w:w="100" w:type="dxa"/>
              <w:end w:w="100" w:type="dxa"/>
            </w:tcMar>
          </w:tcPr>
          <w:p>
            <w:r>
              <w:t>Approved</w:t>
            </w:r>
          </w:p>
        </w:tc>
        <w:tc>
          <w:tcPr>
            <w:tcW w:type="dxa" w:w="5083"/>
            <w:shd w:fill="FFFFFF"/>
            <w:vAlign w:val="center"/>
            <w:tcMar>
              <w:top w:w="100" w:type="dxa"/>
              <w:start w:w="100" w:type="dxa"/>
              <w:bottom w:w="100" w:type="dxa"/>
              <w:end w:w="100" w:type="dxa"/>
            </w:tcMar>
          </w:tcPr>
          <w:p>
            <w:r>
              <w:t>The designated owner approved the result version.</w:t>
            </w:r>
          </w:p>
        </w:tc>
      </w:tr>
      <w:tr>
        <w:tc>
          <w:tcPr>
            <w:tcW w:type="dxa" w:w="5083"/>
            <w:shd w:fill="F7F9FA"/>
            <w:vAlign w:val="center"/>
            <w:tcMar>
              <w:top w:w="100" w:type="dxa"/>
              <w:start w:w="100" w:type="dxa"/>
              <w:bottom w:w="100" w:type="dxa"/>
              <w:end w:w="100" w:type="dxa"/>
            </w:tcMar>
          </w:tcPr>
          <w:p>
            <w:r>
              <w:t>Published</w:t>
            </w:r>
          </w:p>
        </w:tc>
        <w:tc>
          <w:tcPr>
            <w:tcW w:type="dxa" w:w="5083"/>
            <w:shd w:fill="F7F9FA"/>
            <w:vAlign w:val="center"/>
            <w:tcMar>
              <w:top w:w="100" w:type="dxa"/>
              <w:start w:w="100" w:type="dxa"/>
              <w:bottom w:w="100" w:type="dxa"/>
              <w:end w:w="100" w:type="dxa"/>
            </w:tcMar>
          </w:tcPr>
          <w:p>
            <w:r>
              <w:t>The approved version is used across product experiences.</w:t>
            </w:r>
          </w:p>
        </w:tc>
      </w:tr>
      <w:tr>
        <w:tc>
          <w:tcPr>
            <w:tcW w:type="dxa" w:w="5083"/>
            <w:shd w:fill="FFFFFF"/>
            <w:vAlign w:val="center"/>
            <w:tcMar>
              <w:top w:w="100" w:type="dxa"/>
              <w:start w:w="100" w:type="dxa"/>
              <w:bottom w:w="100" w:type="dxa"/>
              <w:end w:w="100" w:type="dxa"/>
            </w:tcMar>
          </w:tcPr>
          <w:p>
            <w:r>
              <w:t>Superseded</w:t>
            </w:r>
          </w:p>
        </w:tc>
        <w:tc>
          <w:tcPr>
            <w:tcW w:type="dxa" w:w="5083"/>
            <w:shd w:fill="FFFFFF"/>
            <w:vAlign w:val="center"/>
            <w:tcMar>
              <w:top w:w="100" w:type="dxa"/>
              <w:start w:w="100" w:type="dxa"/>
              <w:bottom w:w="100" w:type="dxa"/>
              <w:end w:w="100" w:type="dxa"/>
            </w:tcMar>
          </w:tcPr>
          <w:p>
            <w:r>
              <w:t>A later approved version replaced it; history remains available.</w:t>
            </w:r>
          </w:p>
        </w:tc>
      </w:tr>
    </w:tbl>
    <w:p/>
    <w:tbl>
      <w:tblPr>
        <w:tblStyle w:val="TableGrid"/>
        <w:tblW w:type="auto" w:w="0"/>
        <w:tblLook w:firstColumn="1" w:firstRow="1" w:lastColumn="0" w:lastRow="0" w:noHBand="0" w:noVBand="1" w:val="04A0"/>
      </w:tblPr>
      <w:tblGrid>
        <w:gridCol w:w="10166"/>
      </w:tblGrid>
      <w:tr>
        <w:tc>
          <w:tcPr>
            <w:tcW w:type="dxa" w:w="10166"/>
            <w:shd w:fill="EAF2F3"/>
            <w:vAlign w:val="center"/>
            <w:tcMar>
              <w:top w:w="150" w:type="dxa"/>
              <w:start w:w="150" w:type="dxa"/>
              <w:bottom w:w="150" w:type="dxa"/>
              <w:end w:w="150" w:type="dxa"/>
            </w:tcMar>
          </w:tcPr>
          <w:p>
            <w:r>
              <w:t>Important distinction</w:t>
              <w:br/>
              <w:t>Readiness explains whether the result can exist. Lifecycle state explains whether it has been validated, approved and published.</w:t>
            </w:r>
          </w:p>
        </w:tc>
      </w:tr>
    </w:tbl>
    <w:p/>
    <w:p>
      <w:r>
        <w:rPr>
          <w:sz w:val="21"/>
        </w:rPr>
      </w:r>
    </w:p>
    <w:p>
      <w:pPr>
        <w:pStyle w:val="Heading1"/>
      </w:pPr>
      <w:r>
        <w:t>3. Product model</w:t>
      </w:r>
    </w:p>
    <w:p>
      <w:pPr>
        <w:pStyle w:val="Heading2"/>
      </w:pPr>
      <w:r>
        <w:t>3.1 Ownership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Party</w:t>
            </w:r>
          </w:p>
        </w:tc>
        <w:tc>
          <w:tcPr>
            <w:tcW w:type="dxa" w:w="5083"/>
            <w:shd w:fill="168B92"/>
            <w:vAlign w:val="center"/>
            <w:tcMar>
              <w:top w:w="100" w:type="dxa"/>
              <w:start w:w="100" w:type="dxa"/>
              <w:bottom w:w="100" w:type="dxa"/>
              <w:end w:w="100" w:type="dxa"/>
            </w:tcMar>
          </w:tcPr>
          <w:p>
            <w:r>
              <w:t>Owns</w:t>
            </w:r>
          </w:p>
        </w:tc>
      </w:tr>
      <w:tr>
        <w:tc>
          <w:tcPr>
            <w:tcW w:type="dxa" w:w="5083"/>
            <w:shd w:fill="FFFFFF"/>
            <w:vAlign w:val="center"/>
            <w:tcMar>
              <w:top w:w="100" w:type="dxa"/>
              <w:start w:w="100" w:type="dxa"/>
              <w:bottom w:w="100" w:type="dxa"/>
              <w:end w:w="100" w:type="dxa"/>
            </w:tcMar>
          </w:tcPr>
          <w:p>
            <w:r>
              <w:t>Segmentation Studio</w:t>
            </w:r>
          </w:p>
        </w:tc>
        <w:tc>
          <w:tcPr>
            <w:tcW w:type="dxa" w:w="5083"/>
            <w:shd w:fill="FFFFFF"/>
            <w:vAlign w:val="center"/>
            <w:tcMar>
              <w:top w:w="100" w:type="dxa"/>
              <w:start w:w="100" w:type="dxa"/>
              <w:bottom w:w="100" w:type="dxa"/>
              <w:end w:w="100" w:type="dxa"/>
            </w:tcMar>
          </w:tcPr>
          <w:p>
            <w:r>
              <w:t>Audience definition and shopper selection. At campaign export, the Segment ID to Shopper ID membership is also sent to Retail Media for measurement.</w:t>
            </w:r>
          </w:p>
        </w:tc>
      </w:tr>
      <w:tr>
        <w:tc>
          <w:tcPr>
            <w:tcW w:type="dxa" w:w="5083"/>
            <w:shd w:fill="F7F9FA"/>
            <w:vAlign w:val="center"/>
            <w:tcMar>
              <w:top w:w="100" w:type="dxa"/>
              <w:start w:w="100" w:type="dxa"/>
              <w:bottom w:w="100" w:type="dxa"/>
              <w:end w:w="100" w:type="dxa"/>
            </w:tcMar>
          </w:tcPr>
          <w:p>
            <w:r>
              <w:t>Media partner / CDP</w:t>
            </w:r>
          </w:p>
        </w:tc>
        <w:tc>
          <w:tcPr>
            <w:tcW w:type="dxa" w:w="5083"/>
            <w:shd w:fill="F7F9FA"/>
            <w:vAlign w:val="center"/>
            <w:tcMar>
              <w:top w:w="100" w:type="dxa"/>
              <w:start w:w="100" w:type="dxa"/>
              <w:bottom w:w="100" w:type="dxa"/>
              <w:end w:w="100" w:type="dxa"/>
            </w:tcMar>
          </w:tcPr>
          <w:p>
            <w:r>
              <w:t>Campaign execution, matching, media delivery and available exposure or partner-attribution data.</w:t>
            </w:r>
          </w:p>
        </w:tc>
      </w:tr>
      <w:tr>
        <w:tc>
          <w:tcPr>
            <w:tcW w:type="dxa" w:w="5083"/>
            <w:shd w:fill="FFFFFF"/>
            <w:vAlign w:val="center"/>
            <w:tcMar>
              <w:top w:w="100" w:type="dxa"/>
              <w:start w:w="100" w:type="dxa"/>
              <w:bottom w:w="100" w:type="dxa"/>
              <w:end w:w="100" w:type="dxa"/>
            </w:tcMar>
          </w:tcPr>
          <w:p>
            <w:r>
              <w:t>Activate Data</w:t>
            </w:r>
          </w:p>
        </w:tc>
        <w:tc>
          <w:tcPr>
            <w:tcW w:type="dxa" w:w="5083"/>
            <w:shd w:fill="FFFFFF"/>
            <w:vAlign w:val="center"/>
            <w:tcMar>
              <w:top w:w="100" w:type="dxa"/>
              <w:start w:w="100" w:type="dxa"/>
              <w:bottom w:w="100" w:type="dxa"/>
              <w:end w:w="100" w:type="dxa"/>
            </w:tcMar>
          </w:tcPr>
          <w:p>
            <w:r>
              <w:t>Ingestion, joins, lineage, revisions and governed result-ready datasets.</w:t>
            </w:r>
          </w:p>
        </w:tc>
      </w:tr>
      <w:tr>
        <w:tc>
          <w:tcPr>
            <w:tcW w:type="dxa" w:w="5083"/>
            <w:shd w:fill="F7F9FA"/>
            <w:vAlign w:val="center"/>
            <w:tcMar>
              <w:top w:w="100" w:type="dxa"/>
              <w:start w:w="100" w:type="dxa"/>
              <w:bottom w:w="100" w:type="dxa"/>
              <w:end w:w="100" w:type="dxa"/>
            </w:tcMar>
          </w:tcPr>
          <w:p>
            <w:r>
              <w:t>Retail Media Measurement</w:t>
            </w:r>
          </w:p>
        </w:tc>
        <w:tc>
          <w:tcPr>
            <w:tcW w:type="dxa" w:w="5083"/>
            <w:shd w:fill="F7F9FA"/>
            <w:vAlign w:val="center"/>
            <w:tcMar>
              <w:top w:w="100" w:type="dxa"/>
              <w:start w:w="100" w:type="dxa"/>
              <w:bottom w:w="100" w:type="dxa"/>
              <w:end w:w="100" w:type="dxa"/>
            </w:tcMar>
          </w:tcPr>
          <w:p>
            <w:r>
              <w:t>Measurement rules, KPI results, status, approval history and reporting.</w:t>
            </w:r>
          </w:p>
        </w:tc>
      </w:tr>
    </w:tbl>
    <w:p/>
    <w:p>
      <w:pPr>
        <w:pStyle w:val="Heading2"/>
      </w:pPr>
      <w:r>
        <w:t>3.2 Measurement loop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Step</w:t>
            </w:r>
          </w:p>
        </w:tc>
        <w:tc>
          <w:tcPr>
            <w:tcW w:type="dxa" w:w="5083"/>
            <w:shd w:fill="168B92"/>
            <w:vAlign w:val="center"/>
            <w:tcMar>
              <w:top w:w="100" w:type="dxa"/>
              <w:start w:w="100" w:type="dxa"/>
              <w:bottom w:w="100" w:type="dxa"/>
              <w:end w:w="100" w:type="dxa"/>
            </w:tcMar>
          </w:tcPr>
          <w:p>
            <w:r>
              <w:t>What happens</w:t>
            </w:r>
          </w:p>
        </w:tc>
      </w:tr>
      <w:tr>
        <w:tc>
          <w:tcPr>
            <w:tcW w:type="dxa" w:w="5083"/>
            <w:shd w:fill="FFFFFF"/>
            <w:vAlign w:val="center"/>
            <w:tcMar>
              <w:top w:w="100" w:type="dxa"/>
              <w:start w:w="100" w:type="dxa"/>
              <w:bottom w:w="100" w:type="dxa"/>
              <w:end w:w="100" w:type="dxa"/>
            </w:tcMar>
          </w:tcPr>
          <w:p>
            <w:r>
              <w:t>1. Build audience</w:t>
            </w:r>
          </w:p>
        </w:tc>
        <w:tc>
          <w:tcPr>
            <w:tcW w:type="dxa" w:w="5083"/>
            <w:shd w:fill="FFFFFF"/>
            <w:vAlign w:val="center"/>
            <w:tcMar>
              <w:top w:w="100" w:type="dxa"/>
              <w:start w:w="100" w:type="dxa"/>
              <w:bottom w:w="100" w:type="dxa"/>
              <w:end w:w="100" w:type="dxa"/>
            </w:tcMar>
          </w:tcPr>
          <w:p>
            <w:r>
              <w:t>Segmentation Studio creates a static or dynamic audience. The export produces the Activate Segment ID and the selected Activate Shopper IDs.</w:t>
            </w:r>
          </w:p>
        </w:tc>
      </w:tr>
      <w:tr>
        <w:tc>
          <w:tcPr>
            <w:tcW w:type="dxa" w:w="5083"/>
            <w:shd w:fill="F7F9FA"/>
            <w:vAlign w:val="center"/>
            <w:tcMar>
              <w:top w:w="100" w:type="dxa"/>
              <w:start w:w="100" w:type="dxa"/>
              <w:bottom w:w="100" w:type="dxa"/>
              <w:end w:w="100" w:type="dxa"/>
            </w:tcMar>
          </w:tcPr>
          <w:p>
            <w:r>
              <w:t>2. Activate</w:t>
            </w:r>
          </w:p>
        </w:tc>
        <w:tc>
          <w:tcPr>
            <w:tcW w:type="dxa" w:w="5083"/>
            <w:shd w:fill="F7F9FA"/>
            <w:vAlign w:val="center"/>
            <w:tcMar>
              <w:top w:w="100" w:type="dxa"/>
              <w:start w:w="100" w:type="dxa"/>
              <w:bottom w:w="100" w:type="dxa"/>
              <w:end w:w="100" w:type="dxa"/>
            </w:tcMar>
          </w:tcPr>
          <w:p>
            <w:r>
              <w:t>The same audience membership is sent to the media partner and to Retail Media Measurement.</w:t>
            </w:r>
          </w:p>
        </w:tc>
      </w:tr>
      <w:tr>
        <w:tc>
          <w:tcPr>
            <w:tcW w:type="dxa" w:w="5083"/>
            <w:shd w:fill="FFFFFF"/>
            <w:vAlign w:val="center"/>
            <w:tcMar>
              <w:top w:w="100" w:type="dxa"/>
              <w:start w:w="100" w:type="dxa"/>
              <w:bottom w:w="100" w:type="dxa"/>
              <w:end w:w="100" w:type="dxa"/>
            </w:tcMar>
          </w:tcPr>
          <w:p>
            <w:r>
              <w:t>3. Run media</w:t>
            </w:r>
          </w:p>
        </w:tc>
        <w:tc>
          <w:tcPr>
            <w:tcW w:type="dxa" w:w="5083"/>
            <w:shd w:fill="FFFFFF"/>
            <w:vAlign w:val="center"/>
            <w:tcMar>
              <w:top w:w="100" w:type="dxa"/>
              <w:start w:w="100" w:type="dxa"/>
              <w:bottom w:w="100" w:type="dxa"/>
              <w:end w:w="100" w:type="dxa"/>
            </w:tcMar>
          </w:tcPr>
          <w:p>
            <w:r>
              <w:t>The partner sets up and delivers the campaign.</w:t>
            </w:r>
          </w:p>
        </w:tc>
      </w:tr>
      <w:tr>
        <w:tc>
          <w:tcPr>
            <w:tcW w:type="dxa" w:w="5083"/>
            <w:shd w:fill="F7F9FA"/>
            <w:vAlign w:val="center"/>
            <w:tcMar>
              <w:top w:w="100" w:type="dxa"/>
              <w:start w:w="100" w:type="dxa"/>
              <w:bottom w:w="100" w:type="dxa"/>
              <w:end w:w="100" w:type="dxa"/>
            </w:tcMar>
          </w:tcPr>
          <w:p>
            <w:r>
              <w:t>4. Return data</w:t>
            </w:r>
          </w:p>
        </w:tc>
        <w:tc>
          <w:tcPr>
            <w:tcW w:type="dxa" w:w="5083"/>
            <w:shd w:fill="F7F9FA"/>
            <w:vAlign w:val="center"/>
            <w:tcMar>
              <w:top w:w="100" w:type="dxa"/>
              <w:start w:w="100" w:type="dxa"/>
              <w:bottom w:w="100" w:type="dxa"/>
              <w:end w:w="100" w:type="dxa"/>
            </w:tcMar>
          </w:tcPr>
          <w:p>
            <w:r>
              <w:t>The partner returns campaign, delivery, exposure and attribution data that exists.</w:t>
            </w:r>
          </w:p>
        </w:tc>
      </w:tr>
      <w:tr>
        <w:tc>
          <w:tcPr>
            <w:tcW w:type="dxa" w:w="5083"/>
            <w:shd w:fill="FFFFFF"/>
            <w:vAlign w:val="center"/>
            <w:tcMar>
              <w:top w:w="100" w:type="dxa"/>
              <w:start w:w="100" w:type="dxa"/>
              <w:bottom w:w="100" w:type="dxa"/>
              <w:end w:w="100" w:type="dxa"/>
            </w:tcMar>
          </w:tcPr>
          <w:p>
            <w:r>
              <w:t>5. Join to retail outcomes</w:t>
            </w:r>
          </w:p>
        </w:tc>
        <w:tc>
          <w:tcPr>
            <w:tcW w:type="dxa" w:w="5083"/>
            <w:shd w:fill="FFFFFF"/>
            <w:vAlign w:val="center"/>
            <w:tcMar>
              <w:top w:w="100" w:type="dxa"/>
              <w:start w:w="100" w:type="dxa"/>
              <w:bottom w:w="100" w:type="dxa"/>
              <w:end w:w="100" w:type="dxa"/>
            </w:tcMar>
          </w:tcPr>
          <w:p>
            <w:r>
              <w:t>Activate keeps raw media facts and raw TLOG separate. It creates eligible-purchase and attribution-link data only after the campaign rules are known.</w:t>
            </w:r>
          </w:p>
        </w:tc>
      </w:tr>
      <w:tr>
        <w:tc>
          <w:tcPr>
            <w:tcW w:type="dxa" w:w="5083"/>
            <w:shd w:fill="F7F9FA"/>
            <w:vAlign w:val="center"/>
            <w:tcMar>
              <w:top w:w="100" w:type="dxa"/>
              <w:start w:w="100" w:type="dxa"/>
              <w:bottom w:w="100" w:type="dxa"/>
              <w:end w:w="100" w:type="dxa"/>
            </w:tcMar>
          </w:tcPr>
          <w:p>
            <w:r>
              <w:t>6. Measure</w:t>
            </w:r>
          </w:p>
        </w:tc>
        <w:tc>
          <w:tcPr>
            <w:tcW w:type="dxa" w:w="5083"/>
            <w:shd w:fill="F7F9FA"/>
            <w:vAlign w:val="center"/>
            <w:tcMar>
              <w:top w:w="100" w:type="dxa"/>
              <w:start w:w="100" w:type="dxa"/>
              <w:bottom w:w="100" w:type="dxa"/>
              <w:end w:w="100" w:type="dxa"/>
            </w:tcMar>
          </w:tcPr>
          <w:p>
            <w:r>
              <w:t>Activate calculates only the result classes supported by the data and method.</w:t>
            </w:r>
          </w:p>
        </w:tc>
      </w:tr>
      <w:tr>
        <w:tc>
          <w:tcPr>
            <w:tcW w:type="dxa" w:w="5083"/>
            <w:shd w:fill="FFFFFF"/>
            <w:vAlign w:val="center"/>
            <w:tcMar>
              <w:top w:w="100" w:type="dxa"/>
              <w:start w:w="100" w:type="dxa"/>
              <w:bottom w:w="100" w:type="dxa"/>
              <w:end w:w="100" w:type="dxa"/>
            </w:tcMar>
          </w:tcPr>
          <w:p>
            <w:r>
              <w:t>7. Publish</w:t>
            </w:r>
          </w:p>
        </w:tc>
        <w:tc>
          <w:tcPr>
            <w:tcW w:type="dxa" w:w="5083"/>
            <w:shd w:fill="FFFFFF"/>
            <w:vAlign w:val="center"/>
            <w:tcMar>
              <w:top w:w="100" w:type="dxa"/>
              <w:start w:w="100" w:type="dxa"/>
              <w:bottom w:w="100" w:type="dxa"/>
              <w:end w:w="100" w:type="dxa"/>
            </w:tcMar>
          </w:tcPr>
          <w:p>
            <w:r>
              <w:t>The product validates, approves and publishes the result. Published corrections create a new result version.</w:t>
            </w:r>
          </w:p>
        </w:tc>
      </w:tr>
    </w:tbl>
    <w:p/>
    <w:p>
      <w:pPr>
        <w:pStyle w:val="Heading2"/>
      </w:pPr>
      <w:r>
        <w:t>3.3 Canonical campaign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8B92"/>
            <w:vAlign w:val="center"/>
            <w:tcMar>
              <w:top w:w="100" w:type="dxa"/>
              <w:start w:w="100" w:type="dxa"/>
              <w:bottom w:w="100" w:type="dxa"/>
              <w:end w:w="100" w:type="dxa"/>
            </w:tcMar>
          </w:tcPr>
          <w:p>
            <w:r>
              <w:t>Level</w:t>
            </w:r>
          </w:p>
        </w:tc>
        <w:tc>
          <w:tcPr>
            <w:tcW w:type="dxa" w:w="3389"/>
            <w:shd w:fill="168B92"/>
            <w:vAlign w:val="center"/>
            <w:tcMar>
              <w:top w:w="100" w:type="dxa"/>
              <w:start w:w="100" w:type="dxa"/>
              <w:bottom w:w="100" w:type="dxa"/>
              <w:end w:w="100" w:type="dxa"/>
            </w:tcMar>
          </w:tcPr>
          <w:p>
            <w:r>
              <w:t>Entity</w:t>
            </w:r>
          </w:p>
        </w:tc>
        <w:tc>
          <w:tcPr>
            <w:tcW w:type="dxa" w:w="3389"/>
            <w:shd w:fill="168B92"/>
            <w:vAlign w:val="center"/>
            <w:tcMar>
              <w:top w:w="100" w:type="dxa"/>
              <w:start w:w="100" w:type="dxa"/>
              <w:bottom w:w="100" w:type="dxa"/>
              <w:end w:w="100" w:type="dxa"/>
            </w:tcMar>
          </w:tcPr>
          <w:p>
            <w:r>
              <w:t>Rule</w:t>
            </w:r>
          </w:p>
        </w:tc>
      </w:tr>
      <w:tr>
        <w:tc>
          <w:tcPr>
            <w:tcW w:type="dxa" w:w="3389"/>
            <w:shd w:fill="FFFFFF"/>
            <w:vAlign w:val="center"/>
            <w:tcMar>
              <w:top w:w="100" w:type="dxa"/>
              <w:start w:w="100" w:type="dxa"/>
              <w:bottom w:w="100" w:type="dxa"/>
              <w:end w:w="100" w:type="dxa"/>
            </w:tcMar>
          </w:tcPr>
          <w:p>
            <w:r>
              <w:t>0</w:t>
            </w:r>
          </w:p>
        </w:tc>
        <w:tc>
          <w:tcPr>
            <w:tcW w:type="dxa" w:w="3389"/>
            <w:shd w:fill="FFFFFF"/>
            <w:vAlign w:val="center"/>
            <w:tcMar>
              <w:top w:w="100" w:type="dxa"/>
              <w:start w:w="100" w:type="dxa"/>
              <w:bottom w:w="100" w:type="dxa"/>
              <w:end w:w="100" w:type="dxa"/>
            </w:tcMar>
          </w:tcPr>
          <w:p>
            <w:r>
              <w:t>Measurement Program</w:t>
            </w:r>
          </w:p>
        </w:tc>
        <w:tc>
          <w:tcPr>
            <w:tcW w:type="dxa" w:w="3389"/>
            <w:shd w:fill="FFFFFF"/>
            <w:vAlign w:val="center"/>
            <w:tcMar>
              <w:top w:w="100" w:type="dxa"/>
              <w:start w:w="100" w:type="dxa"/>
              <w:bottom w:w="100" w:type="dxa"/>
              <w:end w:w="100" w:type="dxa"/>
            </w:tcMar>
          </w:tcPr>
          <w:p>
            <w:r>
              <w:t>Optional parent that groups related campaigns under one commercial objective and measurement plan.</w:t>
            </w:r>
          </w:p>
        </w:tc>
      </w:tr>
      <w:tr>
        <w:tc>
          <w:tcPr>
            <w:tcW w:type="dxa" w:w="3389"/>
            <w:shd w:fill="F7F9FA"/>
            <w:vAlign w:val="center"/>
            <w:tcMar>
              <w:top w:w="100" w:type="dxa"/>
              <w:start w:w="100" w:type="dxa"/>
              <w:bottom w:w="100" w:type="dxa"/>
              <w:end w:w="100" w:type="dxa"/>
            </w:tcMar>
          </w:tcPr>
          <w:p>
            <w:r>
              <w:t>1</w:t>
            </w:r>
          </w:p>
        </w:tc>
        <w:tc>
          <w:tcPr>
            <w:tcW w:type="dxa" w:w="3389"/>
            <w:shd w:fill="F7F9FA"/>
            <w:vAlign w:val="center"/>
            <w:tcMar>
              <w:top w:w="100" w:type="dxa"/>
              <w:start w:w="100" w:type="dxa"/>
              <w:bottom w:w="100" w:type="dxa"/>
              <w:end w:w="100" w:type="dxa"/>
            </w:tcMar>
          </w:tcPr>
          <w:p>
            <w:r>
              <w:t>Campaign</w:t>
            </w:r>
          </w:p>
        </w:tc>
        <w:tc>
          <w:tcPr>
            <w:tcW w:type="dxa" w:w="3389"/>
            <w:shd w:fill="F7F9FA"/>
            <w:vAlign w:val="center"/>
            <w:tcMar>
              <w:top w:w="100" w:type="dxa"/>
              <w:start w:w="100" w:type="dxa"/>
              <w:bottom w:w="100" w:type="dxa"/>
              <w:end w:w="100" w:type="dxa"/>
            </w:tcMar>
          </w:tcPr>
          <w:p>
            <w:r>
              <w:t>Primary partner campaign or Activate-linked campaign record.</w:t>
            </w:r>
          </w:p>
        </w:tc>
      </w:tr>
      <w:tr>
        <w:tc>
          <w:tcPr>
            <w:tcW w:type="dxa" w:w="3389"/>
            <w:shd w:fill="FFFFFF"/>
            <w:vAlign w:val="center"/>
            <w:tcMar>
              <w:top w:w="100" w:type="dxa"/>
              <w:start w:w="100" w:type="dxa"/>
              <w:bottom w:w="100" w:type="dxa"/>
              <w:end w:w="100" w:type="dxa"/>
            </w:tcMar>
          </w:tcPr>
          <w:p>
            <w:r>
              <w:t>2</w:t>
            </w:r>
          </w:p>
        </w:tc>
        <w:tc>
          <w:tcPr>
            <w:tcW w:type="dxa" w:w="3389"/>
            <w:shd w:fill="FFFFFF"/>
            <w:vAlign w:val="center"/>
            <w:tcMar>
              <w:top w:w="100" w:type="dxa"/>
              <w:start w:w="100" w:type="dxa"/>
              <w:bottom w:w="100" w:type="dxa"/>
              <w:end w:w="100" w:type="dxa"/>
            </w:tcMar>
          </w:tcPr>
          <w:p>
            <w:r>
              <w:t>Execution Group</w:t>
            </w:r>
          </w:p>
        </w:tc>
        <w:tc>
          <w:tcPr>
            <w:tcW w:type="dxa" w:w="3389"/>
            <w:shd w:fill="FFFFFF"/>
            <w:vAlign w:val="center"/>
            <w:tcMar>
              <w:top w:w="100" w:type="dxa"/>
              <w:start w:w="100" w:type="dxa"/>
              <w:bottom w:w="100" w:type="dxa"/>
              <w:end w:w="100" w:type="dxa"/>
            </w:tcMar>
          </w:tcPr>
          <w:p>
            <w:r>
              <w:t>Maps partner terms such as ad group, tactic, line item or wave.</w:t>
            </w:r>
          </w:p>
        </w:tc>
      </w:tr>
      <w:tr>
        <w:tc>
          <w:tcPr>
            <w:tcW w:type="dxa" w:w="3389"/>
            <w:shd w:fill="F7F9FA"/>
            <w:vAlign w:val="center"/>
            <w:tcMar>
              <w:top w:w="100" w:type="dxa"/>
              <w:start w:w="100" w:type="dxa"/>
              <w:bottom w:w="100" w:type="dxa"/>
              <w:end w:w="100" w:type="dxa"/>
            </w:tcMar>
          </w:tcPr>
          <w:p>
            <w:r>
              <w:t>3</w:t>
            </w:r>
          </w:p>
        </w:tc>
        <w:tc>
          <w:tcPr>
            <w:tcW w:type="dxa" w:w="3389"/>
            <w:shd w:fill="F7F9FA"/>
            <w:vAlign w:val="center"/>
            <w:tcMar>
              <w:top w:w="100" w:type="dxa"/>
              <w:start w:w="100" w:type="dxa"/>
              <w:bottom w:w="100" w:type="dxa"/>
              <w:end w:w="100" w:type="dxa"/>
            </w:tcMar>
          </w:tcPr>
          <w:p>
            <w:r>
              <w:t>Placement</w:t>
            </w:r>
          </w:p>
        </w:tc>
        <w:tc>
          <w:tcPr>
            <w:tcW w:type="dxa" w:w="3389"/>
            <w:shd w:fill="F7F9FA"/>
            <w:vAlign w:val="center"/>
            <w:tcMar>
              <w:top w:w="100" w:type="dxa"/>
              <w:start w:w="100" w:type="dxa"/>
              <w:bottom w:w="100" w:type="dxa"/>
              <w:end w:w="100" w:type="dxa"/>
            </w:tcMar>
          </w:tcPr>
          <w:p>
            <w:r>
              <w:t>Inventory location or delivery context.</w:t>
            </w:r>
          </w:p>
        </w:tc>
      </w:tr>
      <w:tr>
        <w:tc>
          <w:tcPr>
            <w:tcW w:type="dxa" w:w="3389"/>
            <w:shd w:fill="FFFFFF"/>
            <w:vAlign w:val="center"/>
            <w:tcMar>
              <w:top w:w="100" w:type="dxa"/>
              <w:start w:w="100" w:type="dxa"/>
              <w:bottom w:w="100" w:type="dxa"/>
              <w:end w:w="100" w:type="dxa"/>
            </w:tcMar>
          </w:tcPr>
          <w:p>
            <w:r>
              <w:t>4</w:t>
            </w:r>
          </w:p>
        </w:tc>
        <w:tc>
          <w:tcPr>
            <w:tcW w:type="dxa" w:w="3389"/>
            <w:shd w:fill="FFFFFF"/>
            <w:vAlign w:val="center"/>
            <w:tcMar>
              <w:top w:w="100" w:type="dxa"/>
              <w:start w:w="100" w:type="dxa"/>
              <w:bottom w:w="100" w:type="dxa"/>
              <w:end w:w="100" w:type="dxa"/>
            </w:tcMar>
          </w:tcPr>
          <w:p>
            <w:r>
              <w:t>Ad / Creative</w:t>
            </w:r>
          </w:p>
        </w:tc>
        <w:tc>
          <w:tcPr>
            <w:tcW w:type="dxa" w:w="3389"/>
            <w:shd w:fill="FFFFFF"/>
            <w:vAlign w:val="center"/>
            <w:tcMar>
              <w:top w:w="100" w:type="dxa"/>
              <w:start w:w="100" w:type="dxa"/>
              <w:bottom w:w="100" w:type="dxa"/>
              <w:end w:w="100" w:type="dxa"/>
            </w:tcMar>
          </w:tcPr>
          <w:p>
            <w:r>
              <w:t>Delivered media asset and version.</w:t>
            </w:r>
          </w:p>
        </w:tc>
      </w:tr>
      <w:tr>
        <w:tc>
          <w:tcPr>
            <w:tcW w:type="dxa" w:w="3389"/>
            <w:shd w:fill="F7F9FA"/>
            <w:vAlign w:val="center"/>
            <w:tcMar>
              <w:top w:w="100" w:type="dxa"/>
              <w:start w:w="100" w:type="dxa"/>
              <w:bottom w:w="100" w:type="dxa"/>
              <w:end w:w="100" w:type="dxa"/>
            </w:tcMar>
          </w:tcPr>
          <w:p>
            <w:r>
              <w:t>5</w:t>
            </w:r>
          </w:p>
        </w:tc>
        <w:tc>
          <w:tcPr>
            <w:tcW w:type="dxa" w:w="3389"/>
            <w:shd w:fill="F7F9FA"/>
            <w:vAlign w:val="center"/>
            <w:tcMar>
              <w:top w:w="100" w:type="dxa"/>
              <w:start w:w="100" w:type="dxa"/>
              <w:bottom w:w="100" w:type="dxa"/>
              <w:end w:w="100" w:type="dxa"/>
            </w:tcMar>
          </w:tcPr>
          <w:p>
            <w:r>
              <w:t>Advertised Product Scope</w:t>
            </w:r>
          </w:p>
        </w:tc>
        <w:tc>
          <w:tcPr>
            <w:tcW w:type="dxa" w:w="3389"/>
            <w:shd w:fill="F7F9FA"/>
            <w:vAlign w:val="center"/>
            <w:tcMar>
              <w:top w:w="100" w:type="dxa"/>
              <w:start w:w="100" w:type="dxa"/>
              <w:bottom w:w="100" w:type="dxa"/>
              <w:end w:w="100" w:type="dxa"/>
            </w:tcMar>
          </w:tcPr>
          <w:p>
            <w:r>
              <w:t>SKU, brand, category and approved halo scopes.</w:t>
            </w:r>
          </w:p>
        </w:tc>
      </w:tr>
    </w:tbl>
    <w:p/>
    <w:p>
      <w:pPr>
        <w:pStyle w:val="ListBullet"/>
      </w:pPr>
      <w:r>
        <w:t>Unsupported hierarchy levels remain absent. They are not inferred.</w:t>
      </w:r>
    </w:p>
    <w:p>
      <w:pPr>
        <w:pStyle w:val="ListBullet"/>
      </w:pPr>
      <w:r>
        <w:t>Every supplied entity keeps its source ID, parent ID, name, status, effective dates and source version.</w:t>
      </w:r>
    </w:p>
    <w:p>
      <w:pPr>
        <w:pStyle w:val="ListBullet"/>
      </w:pPr>
      <w:r>
        <w:t>Delivery and outcomes remain at the grain supplied. Roll-ups must not duplicate values.</w:t>
      </w:r>
    </w:p>
    <w:p>
      <w:pPr>
        <w:pStyle w:val="Heading2"/>
      </w:pPr>
      <w:r>
        <w:t>3.4 Identity and traceability</w:t>
      </w:r>
    </w:p>
    <w:p>
      <w:pPr>
        <w:pStyle w:val="ListBullet"/>
      </w:pPr>
      <w:r>
        <w:t>Activate Shopper ID links a shopper or account to transactions.</w:t>
      </w:r>
    </w:p>
    <w:p>
      <w:pPr>
        <w:pStyle w:val="ListBullet"/>
      </w:pPr>
      <w:r>
        <w:t>Activate Segment ID links media activity to the originating audience segment.</w:t>
      </w:r>
    </w:p>
    <w:p>
      <w:pPr>
        <w:pStyle w:val="ListBullet"/>
      </w:pPr>
      <w:r>
        <w:t>The exact audience population used for campaign measurement is frozen and retained with the Activate Segment ID and applicable version information.</w:t>
      </w:r>
    </w:p>
    <w:p>
      <w:pPr>
        <w:pStyle w:val="ListBullet"/>
      </w:pPr>
      <w:r>
        <w:t>Campaign ID links partner execution to measurement.</w:t>
      </w:r>
    </w:p>
    <w:p>
      <w:pPr>
        <w:pStyle w:val="ListBullet"/>
      </w:pPr>
      <w:r>
        <w:t>Banner and geographic country are reporting fields, not shopper IDs. In the current partner feed, the partner country field maps to Activate Banner. Geographic country remains separate.</w:t>
      </w:r>
    </w:p>
    <w:p>
      <w:pPr>
        <w:pStyle w:val="ListBullet"/>
      </w:pPr>
      <w:r>
        <w:t>Use source versions when they are available. If a source does not provide a version, Activate keeps the file snapshot, mapping load and calculation record used for the result.</w:t>
      </w:r>
    </w:p>
    <w:p>
      <w:pPr>
        <w:pStyle w:val="Heading2"/>
      </w:pPr>
      <w:r>
        <w:t>3.5 Reporting modes</w:t>
      </w:r>
    </w:p>
    <w:p>
      <w:pPr/>
      <w:r>
        <w:rPr>
          <w:sz w:val="21"/>
        </w:rPr>
        <w:t>When causal measurement is approved, Retail Media uses one of two control paths. The channel data determines which path applies.</w:t>
      </w:r>
    </w:p>
    <w:p>
      <w:pPr>
        <w:pStyle w:val="ListBullet"/>
      </w:pPr>
      <w:r>
        <w:t>For an aggregate-only channel such as a walled garden, Activate selects a random control group before activation. Activate keeps the control group and exports only the treatment audience. The partner returns campaign totals, not shopper-level exposure records.</w:t>
      </w:r>
    </w:p>
    <w:p>
      <w:pPr>
        <w:pStyle w:val="ListBullet"/>
      </w:pPr>
      <w:r>
        <w:t>For a shopper-level channel, Activate sends the audience and the partner returns targeted shopper IDs. Activate creates a matched control from eligible shoppers who were not targeted. A targeted shopper is not automatically a confirmed exposed shopper.</w:t>
      </w:r>
    </w:p>
    <w:p>
      <w:pPr>
        <w:pStyle w:val="ListBullet"/>
      </w:pPr>
      <w:r>
        <w:t>The report labels a random-holdout result as Measured and a matched-control result as Modelled. Both labels require the approved method and quality checks.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8B92"/>
            <w:vAlign w:val="center"/>
            <w:tcMar>
              <w:top w:w="100" w:type="dxa"/>
              <w:start w:w="100" w:type="dxa"/>
              <w:bottom w:w="100" w:type="dxa"/>
              <w:end w:w="100" w:type="dxa"/>
            </w:tcMar>
          </w:tcPr>
          <w:p>
            <w:r>
              <w:t>Mode</w:t>
            </w:r>
          </w:p>
        </w:tc>
        <w:tc>
          <w:tcPr>
            <w:tcW w:type="dxa" w:w="3389"/>
            <w:shd w:fill="168B92"/>
            <w:vAlign w:val="center"/>
            <w:tcMar>
              <w:top w:w="100" w:type="dxa"/>
              <w:start w:w="100" w:type="dxa"/>
              <w:bottom w:w="100" w:type="dxa"/>
              <w:end w:w="100" w:type="dxa"/>
            </w:tcMar>
          </w:tcPr>
          <w:p>
            <w:r>
              <w:t>What can be reported</w:t>
            </w:r>
          </w:p>
        </w:tc>
        <w:tc>
          <w:tcPr>
            <w:tcW w:type="dxa" w:w="3389"/>
            <w:shd w:fill="168B92"/>
            <w:vAlign w:val="center"/>
            <w:tcMar>
              <w:top w:w="100" w:type="dxa"/>
              <w:start w:w="100" w:type="dxa"/>
              <w:bottom w:w="100" w:type="dxa"/>
              <w:end w:w="100" w:type="dxa"/>
            </w:tcMar>
          </w:tcPr>
          <w:p>
            <w:r>
              <w:t>Main limit</w:t>
            </w:r>
          </w:p>
        </w:tc>
      </w:tr>
      <w:tr>
        <w:tc>
          <w:tcPr>
            <w:tcW w:type="dxa" w:w="3389"/>
            <w:shd w:fill="FFFFFF"/>
            <w:vAlign w:val="center"/>
            <w:tcMar>
              <w:top w:w="100" w:type="dxa"/>
              <w:start w:w="100" w:type="dxa"/>
              <w:bottom w:w="100" w:type="dxa"/>
              <w:end w:w="100" w:type="dxa"/>
            </w:tcMar>
          </w:tcPr>
          <w:p>
            <w:r>
              <w:t>Shopper-level</w:t>
            </w:r>
          </w:p>
        </w:tc>
        <w:tc>
          <w:tcPr>
            <w:tcW w:type="dxa" w:w="3389"/>
            <w:shd w:fill="FFFFFF"/>
            <w:vAlign w:val="center"/>
            <w:tcMar>
              <w:top w:w="100" w:type="dxa"/>
              <w:start w:w="100" w:type="dxa"/>
              <w:bottom w:w="100" w:type="dxa"/>
              <w:end w:w="100" w:type="dxa"/>
            </w:tcMar>
          </w:tcPr>
          <w:p>
            <w:r>
              <w:t>Descriptive shopper outcomes and approved exposure-based attribution</w:t>
            </w:r>
          </w:p>
        </w:tc>
        <w:tc>
          <w:tcPr>
            <w:tcW w:type="dxa" w:w="3389"/>
            <w:shd w:fill="FFFFFF"/>
            <w:vAlign w:val="center"/>
            <w:tcMar>
              <w:top w:w="100" w:type="dxa"/>
              <w:start w:w="100" w:type="dxa"/>
              <w:bottom w:w="100" w:type="dxa"/>
              <w:end w:w="100" w:type="dxa"/>
            </w:tcMar>
          </w:tcPr>
          <w:p>
            <w:r>
              <w:t>Privacy and minimum-cell rules apply.</w:t>
            </w:r>
          </w:p>
        </w:tc>
      </w:tr>
      <w:tr>
        <w:tc>
          <w:tcPr>
            <w:tcW w:type="dxa" w:w="3389"/>
            <w:shd w:fill="F7F9FA"/>
            <w:vAlign w:val="center"/>
            <w:tcMar>
              <w:top w:w="100" w:type="dxa"/>
              <w:start w:w="100" w:type="dxa"/>
              <w:bottom w:w="100" w:type="dxa"/>
              <w:end w:w="100" w:type="dxa"/>
            </w:tcMar>
          </w:tcPr>
          <w:p>
            <w:r>
              <w:t>Aggregate-only</w:t>
            </w:r>
          </w:p>
        </w:tc>
        <w:tc>
          <w:tcPr>
            <w:tcW w:type="dxa" w:w="3389"/>
            <w:shd w:fill="F7F9FA"/>
            <w:vAlign w:val="center"/>
            <w:tcMar>
              <w:top w:w="100" w:type="dxa"/>
              <w:start w:w="100" w:type="dxa"/>
              <w:bottom w:w="100" w:type="dxa"/>
              <w:end w:w="100" w:type="dxa"/>
            </w:tcMar>
          </w:tcPr>
          <w:p>
            <w:r>
              <w:t>Delivery, spend, impressions, clicks, CTR, CPM and other supported partner facts</w:t>
            </w:r>
          </w:p>
        </w:tc>
        <w:tc>
          <w:tcPr>
            <w:tcW w:type="dxa" w:w="3389"/>
            <w:shd w:fill="F7F9FA"/>
            <w:vAlign w:val="center"/>
            <w:tcMar>
              <w:top w:w="100" w:type="dxa"/>
              <w:start w:w="100" w:type="dxa"/>
              <w:bottom w:w="100" w:type="dxa"/>
              <w:end w:w="100" w:type="dxa"/>
            </w:tcMar>
          </w:tcPr>
          <w:p>
            <w:r>
              <w:t>No shopper-level attribution, overlap or frequency.</w:t>
            </w:r>
          </w:p>
        </w:tc>
      </w:tr>
      <w:tr>
        <w:tc>
          <w:tcPr>
            <w:tcW w:type="dxa" w:w="3389"/>
            <w:shd w:fill="FFFFFF"/>
            <w:vAlign w:val="center"/>
            <w:tcMar>
              <w:top w:w="100" w:type="dxa"/>
              <w:start w:w="100" w:type="dxa"/>
              <w:bottom w:w="100" w:type="dxa"/>
              <w:end w:w="100" w:type="dxa"/>
            </w:tcMar>
          </w:tcPr>
          <w:p>
            <w:r>
              <w:t>Limited-data</w:t>
            </w:r>
          </w:p>
        </w:tc>
        <w:tc>
          <w:tcPr>
            <w:tcW w:type="dxa" w:w="3389"/>
            <w:shd w:fill="FFFFFF"/>
            <w:vAlign w:val="center"/>
            <w:tcMar>
              <w:top w:w="100" w:type="dxa"/>
              <w:start w:w="100" w:type="dxa"/>
              <w:bottom w:w="100" w:type="dxa"/>
              <w:end w:w="100" w:type="dxa"/>
            </w:tcMar>
          </w:tcPr>
          <w:p>
            <w:r>
              <w:t>Only KPIs whose required fields are valid</w:t>
            </w:r>
          </w:p>
        </w:tc>
        <w:tc>
          <w:tcPr>
            <w:tcW w:type="dxa" w:w="3389"/>
            <w:shd w:fill="FFFFFF"/>
            <w:vAlign w:val="center"/>
            <w:tcMar>
              <w:top w:w="100" w:type="dxa"/>
              <w:start w:w="100" w:type="dxa"/>
              <w:bottom w:w="100" w:type="dxa"/>
              <w:end w:w="100" w:type="dxa"/>
            </w:tcMar>
          </w:tcPr>
          <w:p>
            <w:r>
              <w:t>Missing populations are not inferred.</w:t>
            </w:r>
          </w:p>
        </w:tc>
      </w:tr>
      <w:tr>
        <w:tc>
          <w:tcPr>
            <w:tcW w:type="dxa" w:w="3389"/>
            <w:shd w:fill="F7F9FA"/>
            <w:vAlign w:val="center"/>
            <w:tcMar>
              <w:top w:w="100" w:type="dxa"/>
              <w:start w:w="100" w:type="dxa"/>
              <w:bottom w:w="100" w:type="dxa"/>
              <w:end w:w="100" w:type="dxa"/>
            </w:tcMar>
          </w:tcPr>
          <w:p>
            <w:r>
              <w:t>Mixed</w:t>
            </w:r>
          </w:p>
        </w:tc>
        <w:tc>
          <w:tcPr>
            <w:tcW w:type="dxa" w:w="3389"/>
            <w:shd w:fill="F7F9FA"/>
            <w:vAlign w:val="center"/>
            <w:tcMar>
              <w:top w:w="100" w:type="dxa"/>
              <w:start w:w="100" w:type="dxa"/>
              <w:bottom w:w="100" w:type="dxa"/>
              <w:end w:w="100" w:type="dxa"/>
            </w:tcMar>
          </w:tcPr>
          <w:p>
            <w:r>
              <w:t>Separate results for shopper-level and aggregate-only channels</w:t>
            </w:r>
          </w:p>
        </w:tc>
        <w:tc>
          <w:tcPr>
            <w:tcW w:type="dxa" w:w="3389"/>
            <w:shd w:fill="F7F9FA"/>
            <w:vAlign w:val="center"/>
            <w:tcMar>
              <w:top w:w="100" w:type="dxa"/>
              <w:start w:w="100" w:type="dxa"/>
              <w:bottom w:w="100" w:type="dxa"/>
              <w:end w:w="100" w:type="dxa"/>
            </w:tcMar>
          </w:tcPr>
          <w:p>
            <w:r>
              <w:t>No misleading blended attribution or incrementality.</w:t>
            </w:r>
          </w:p>
        </w:tc>
      </w:tr>
    </w:tbl>
    <w:p/>
    <w:p>
      <w:r>
        <w:rPr>
          <w:sz w:val="21"/>
        </w:rPr>
      </w:r>
    </w:p>
    <w:p>
      <w:pPr>
        <w:pStyle w:val="Heading2"/>
      </w:pPr>
      <w:r>
        <w:t>3.6 Governed measurement engine</w:t>
      </w:r>
    </w:p>
    <w:p>
      <w:r>
        <w:rPr>
          <w:sz w:val="21"/>
        </w:rPr>
        <w:t>The product combines controlled inputs and produces governed outputs. A governed result is more than a number. It includes the population, formula, period, product and cost scope, source, result class, readiness, method, approval and version needed to explain it.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68B92"/>
            <w:vAlign w:val="center"/>
            <w:tcMar>
              <w:top w:w="100" w:type="dxa"/>
              <w:start w:w="100" w:type="dxa"/>
              <w:bottom w:w="100" w:type="dxa"/>
              <w:end w:w="100" w:type="dxa"/>
            </w:tcMar>
          </w:tcPr>
          <w:p>
            <w:r>
              <w:t>Controlled inputs</w:t>
            </w:r>
          </w:p>
        </w:tc>
        <w:tc>
          <w:tcPr>
            <w:tcW w:type="dxa" w:w="3389"/>
            <w:shd w:fill="168B92"/>
            <w:vAlign w:val="center"/>
            <w:tcMar>
              <w:top w:w="100" w:type="dxa"/>
              <w:start w:w="100" w:type="dxa"/>
              <w:bottom w:w="100" w:type="dxa"/>
              <w:end w:w="100" w:type="dxa"/>
            </w:tcMar>
          </w:tcPr>
          <w:p>
            <w:r>
              <w:t>Measurement work</w:t>
            </w:r>
          </w:p>
        </w:tc>
        <w:tc>
          <w:tcPr>
            <w:tcW w:type="dxa" w:w="3389"/>
            <w:shd w:fill="168B92"/>
            <w:vAlign w:val="center"/>
            <w:tcMar>
              <w:top w:w="100" w:type="dxa"/>
              <w:start w:w="100" w:type="dxa"/>
              <w:bottom w:w="100" w:type="dxa"/>
              <w:end w:w="100" w:type="dxa"/>
            </w:tcMar>
          </w:tcPr>
          <w:p>
            <w:r>
              <w:t>Governed outputs</w:t>
            </w:r>
          </w:p>
        </w:tc>
      </w:tr>
      <w:tr>
        <w:tc>
          <w:tcPr>
            <w:tcW w:type="dxa" w:w="3389"/>
            <w:shd w:fill="FFFFFF"/>
            <w:vAlign w:val="center"/>
            <w:tcMar>
              <w:top w:w="100" w:type="dxa"/>
              <w:start w:w="100" w:type="dxa"/>
              <w:bottom w:w="100" w:type="dxa"/>
              <w:end w:w="100" w:type="dxa"/>
            </w:tcMar>
          </w:tcPr>
          <w:p>
            <w:r>
              <w:t>Frozen audience and identity</w:t>
            </w:r>
          </w:p>
        </w:tc>
        <w:tc>
          <w:tcPr>
            <w:tcW w:type="dxa" w:w="3389"/>
            <w:shd w:fill="FFFFFF"/>
            <w:vAlign w:val="center"/>
            <w:tcMar>
              <w:top w:w="100" w:type="dxa"/>
              <w:start w:w="100" w:type="dxa"/>
              <w:bottom w:w="100" w:type="dxa"/>
              <w:end w:w="100" w:type="dxa"/>
            </w:tcMar>
          </w:tcPr>
          <w:p>
            <w:r>
              <w:t>Validate, match and preserve lineage</w:t>
            </w:r>
          </w:p>
        </w:tc>
        <w:tc>
          <w:tcPr>
            <w:tcW w:type="dxa" w:w="3389"/>
            <w:shd w:fill="FFFFFF"/>
            <w:vAlign w:val="center"/>
            <w:tcMar>
              <w:top w:w="100" w:type="dxa"/>
              <w:start w:w="100" w:type="dxa"/>
              <w:bottom w:w="100" w:type="dxa"/>
              <w:end w:w="100" w:type="dxa"/>
            </w:tcMar>
          </w:tcPr>
          <w:p>
            <w:r>
              <w:t>Descriptive, attributed, incremental, Partner-reported and diagnostic results</w:t>
            </w:r>
          </w:p>
        </w:tc>
      </w:tr>
      <w:tr>
        <w:tc>
          <w:tcPr>
            <w:tcW w:type="dxa" w:w="3389"/>
            <w:shd w:fill="F7F9FA"/>
            <w:vAlign w:val="center"/>
            <w:tcMar>
              <w:top w:w="100" w:type="dxa"/>
              <w:start w:w="100" w:type="dxa"/>
              <w:bottom w:w="100" w:type="dxa"/>
              <w:end w:w="100" w:type="dxa"/>
            </w:tcMar>
          </w:tcPr>
          <w:p>
            <w:r>
              <w:t>Campaign hierarchy and media data</w:t>
            </w:r>
          </w:p>
        </w:tc>
        <w:tc>
          <w:tcPr>
            <w:tcW w:type="dxa" w:w="3389"/>
            <w:shd w:fill="F7F9FA"/>
            <w:vAlign w:val="center"/>
            <w:tcMar>
              <w:top w:w="100" w:type="dxa"/>
              <w:start w:w="100" w:type="dxa"/>
              <w:bottom w:w="100" w:type="dxa"/>
              <w:end w:w="100" w:type="dxa"/>
            </w:tcMar>
          </w:tcPr>
          <w:p>
            <w:r>
              <w:t>Apply approved KPI and measurement rules</w:t>
            </w:r>
          </w:p>
        </w:tc>
        <w:tc>
          <w:tcPr>
            <w:tcW w:type="dxa" w:w="3389"/>
            <w:shd w:fill="F7F9FA"/>
            <w:vAlign w:val="center"/>
            <w:tcMar>
              <w:top w:w="100" w:type="dxa"/>
              <w:start w:w="100" w:type="dxa"/>
              <w:bottom w:w="100" w:type="dxa"/>
              <w:end w:w="100" w:type="dxa"/>
            </w:tcMar>
          </w:tcPr>
          <w:p>
            <w:r>
              <w:t>Overview, Campaign Story, Explorer, sharing and APIs</w:t>
            </w:r>
          </w:p>
        </w:tc>
      </w:tr>
      <w:tr>
        <w:tc>
          <w:tcPr>
            <w:tcW w:type="dxa" w:w="3389"/>
            <w:shd w:fill="FFFFFF"/>
            <w:vAlign w:val="center"/>
            <w:tcMar>
              <w:top w:w="100" w:type="dxa"/>
              <w:start w:w="100" w:type="dxa"/>
              <w:bottom w:w="100" w:type="dxa"/>
              <w:end w:w="100" w:type="dxa"/>
            </w:tcMar>
          </w:tcPr>
          <w:p>
            <w:r>
              <w:t>Transactions and reference data</w:t>
            </w:r>
          </w:p>
        </w:tc>
        <w:tc>
          <w:tcPr>
            <w:tcW w:type="dxa" w:w="3389"/>
            <w:shd w:fill="FFFFFF"/>
            <w:vAlign w:val="center"/>
            <w:tcMar>
              <w:top w:w="100" w:type="dxa"/>
              <w:start w:w="100" w:type="dxa"/>
              <w:bottom w:w="100" w:type="dxa"/>
              <w:end w:w="100" w:type="dxa"/>
            </w:tcMar>
          </w:tcPr>
          <w:p>
            <w:r>
              <w:t>Run quality, privacy and reconciliation checks</w:t>
            </w:r>
          </w:p>
        </w:tc>
        <w:tc>
          <w:tcPr>
            <w:tcW w:type="dxa" w:w="3389"/>
            <w:shd w:fill="FFFFFF"/>
            <w:vAlign w:val="center"/>
            <w:tcMar>
              <w:top w:w="100" w:type="dxa"/>
              <w:start w:w="100" w:type="dxa"/>
              <w:bottom w:w="100" w:type="dxa"/>
              <w:end w:w="100" w:type="dxa"/>
            </w:tcMar>
          </w:tcPr>
          <w:p>
            <w:r>
              <w:t>Population, scope, status, method and result version</w:t>
            </w:r>
          </w:p>
        </w:tc>
      </w:tr>
      <w:tr>
        <w:tc>
          <w:tcPr>
            <w:tcW w:type="dxa" w:w="3389"/>
            <w:shd w:fill="F7F9FA"/>
            <w:vAlign w:val="center"/>
            <w:tcMar>
              <w:top w:w="100" w:type="dxa"/>
              <w:start w:w="100" w:type="dxa"/>
              <w:bottom w:w="100" w:type="dxa"/>
              <w:end w:w="100" w:type="dxa"/>
            </w:tcMar>
          </w:tcPr>
          <w:p>
            <w:r>
              <w:t>NIQ market data where enabled</w:t>
            </w:r>
          </w:p>
        </w:tc>
        <w:tc>
          <w:tcPr>
            <w:tcW w:type="dxa" w:w="3389"/>
            <w:shd w:fill="F7F9FA"/>
            <w:vAlign w:val="center"/>
            <w:tcMar>
              <w:top w:w="100" w:type="dxa"/>
              <w:start w:w="100" w:type="dxa"/>
              <w:bottom w:w="100" w:type="dxa"/>
              <w:end w:w="100" w:type="dxa"/>
            </w:tcMar>
          </w:tcPr>
          <w:p>
            <w:r>
              <w:t>Align taxonomy, geography, time and coverage</w:t>
            </w:r>
          </w:p>
        </w:tc>
        <w:tc>
          <w:tcPr>
            <w:tcW w:type="dxa" w:w="3389"/>
            <w:shd w:fill="F7F9FA"/>
            <w:vAlign w:val="center"/>
            <w:tcMar>
              <w:top w:w="100" w:type="dxa"/>
              <w:start w:w="100" w:type="dxa"/>
              <w:bottom w:w="100" w:type="dxa"/>
              <w:end w:w="100" w:type="dxa"/>
            </w:tcMar>
          </w:tcPr>
          <w:p>
            <w:r>
              <w:t>Market context, benchmarks and rest-of-market intelligence</w:t>
            </w:r>
          </w:p>
        </w:tc>
      </w:tr>
      <w:tr>
        <w:tc>
          <w:tcPr>
            <w:tcW w:type="dxa" w:w="3389"/>
            <w:shd w:fill="FFFFFF"/>
            <w:vAlign w:val="center"/>
            <w:tcMar>
              <w:top w:w="100" w:type="dxa"/>
              <w:start w:w="100" w:type="dxa"/>
              <w:bottom w:w="100" w:type="dxa"/>
              <w:end w:w="100" w:type="dxa"/>
            </w:tcMar>
          </w:tcPr>
          <w:p>
            <w:r>
              <w:t>Future offers and promotions</w:t>
            </w:r>
          </w:p>
        </w:tc>
        <w:tc>
          <w:tcPr>
            <w:tcW w:type="dxa" w:w="3389"/>
            <w:shd w:fill="FFFFFF"/>
            <w:vAlign w:val="center"/>
            <w:tcMar>
              <w:top w:w="100" w:type="dxa"/>
              <w:start w:w="100" w:type="dxa"/>
              <w:bottom w:w="100" w:type="dxa"/>
              <w:end w:w="100" w:type="dxa"/>
            </w:tcMar>
          </w:tcPr>
          <w:p>
            <w:r>
              <w:t>Keep intervention rules and costs separate, then evaluate overlap</w:t>
            </w:r>
          </w:p>
        </w:tc>
        <w:tc>
          <w:tcPr>
            <w:tcW w:type="dxa" w:w="3389"/>
            <w:shd w:fill="FFFFFF"/>
            <w:vAlign w:val="center"/>
            <w:tcMar>
              <w:top w:w="100" w:type="dxa"/>
              <w:start w:w="100" w:type="dxa"/>
              <w:bottom w:w="100" w:type="dxa"/>
              <w:end w:w="100" w:type="dxa"/>
            </w:tcMar>
          </w:tcPr>
          <w:p>
            <w:r>
              <w:t>Integrated commerce outcomes and interaction effects</w:t>
            </w:r>
          </w:p>
        </w:tc>
      </w:tr>
    </w:tbl>
    <w:p>
      <w:pPr>
        <w:pStyle w:val="Heading2"/>
      </w:pPr>
      <w:r>
        <w:t>3.7 Population funnel</w:t>
      </w:r>
    </w:p>
    <w:p>
      <w:pPr/>
      <w:r>
        <w:rPr>
          <w:sz w:val="21"/>
        </w:rPr>
        <w:t>For a controlled campaign, the product also keeps Treatment Assigned, Held-out Control, Targeted and Matched Control as separate populations. A shopper may be in different campaign populations for different campaigns, but the product must retain the assignment for each campaign.</w:t>
      </w:r>
    </w:p>
    <w:p>
      <w:r>
        <w:rPr>
          <w:sz w:val="21"/>
        </w:rPr>
        <w:t>The product keeps the main shopper groups separate. This makes every denominator clear.</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168B92"/>
            <w:vAlign w:val="center"/>
            <w:tcMar>
              <w:top w:w="110" w:type="dxa"/>
              <w:start w:w="110" w:type="dxa"/>
              <w:bottom w:w="110" w:type="dxa"/>
              <w:end w:w="110" w:type="dxa"/>
            </w:tcMar>
          </w:tcPr>
          <w:p>
            <w:r>
              <w:rPr>
                <w:b/>
                <w:color w:val="FFFFFF"/>
                <w:sz w:val="16"/>
              </w:rPr>
              <w:t>Population</w:t>
            </w:r>
          </w:p>
        </w:tc>
        <w:tc>
          <w:tcPr>
            <w:tcW w:type="dxa" w:w="5083"/>
            <w:shd w:fill="168B92"/>
            <w:vAlign w:val="center"/>
            <w:tcMar>
              <w:top w:w="110" w:type="dxa"/>
              <w:start w:w="110" w:type="dxa"/>
              <w:bottom w:w="110" w:type="dxa"/>
              <w:end w:w="110" w:type="dxa"/>
            </w:tcMar>
          </w:tcPr>
          <w:p>
            <w:r>
              <w:rPr>
                <w:b/>
                <w:color w:val="FFFFFF"/>
                <w:sz w:val="16"/>
              </w:rPr>
              <w:t>Simple meaning</w:t>
            </w:r>
          </w:p>
        </w:tc>
      </w:tr>
      <w:tr>
        <w:tc>
          <w:tcPr>
            <w:tcW w:type="dxa" w:w="5083"/>
            <w:shd w:fill="FFFFFF"/>
            <w:vAlign w:val="center"/>
            <w:tcMar>
              <w:top w:w="110" w:type="dxa"/>
              <w:start w:w="110" w:type="dxa"/>
              <w:bottom w:w="110" w:type="dxa"/>
              <w:end w:w="110" w:type="dxa"/>
            </w:tcMar>
          </w:tcPr>
          <w:p>
            <w:r>
              <w:rPr>
                <w:color w:val="111820"/>
                <w:sz w:val="16"/>
              </w:rPr>
              <w:t>Selected audience</w:t>
            </w:r>
          </w:p>
        </w:tc>
        <w:tc>
          <w:tcPr>
            <w:tcW w:type="dxa" w:w="5083"/>
            <w:shd w:fill="FFFFFF"/>
            <w:vAlign w:val="center"/>
            <w:tcMar>
              <w:top w:w="110" w:type="dxa"/>
              <w:start w:w="110" w:type="dxa"/>
              <w:bottom w:w="110" w:type="dxa"/>
              <w:end w:w="110" w:type="dxa"/>
            </w:tcMar>
          </w:tcPr>
          <w:p>
            <w:r>
              <w:rPr>
                <w:color w:val="111820"/>
                <w:sz w:val="16"/>
              </w:rPr>
              <w:t>Shoppers stored under the Activate Segment ID.</w:t>
            </w:r>
          </w:p>
        </w:tc>
      </w:tr>
      <w:tr>
        <w:tc>
          <w:tcPr>
            <w:tcW w:type="dxa" w:w="5083"/>
            <w:shd w:fill="F7F9FA"/>
            <w:vAlign w:val="center"/>
            <w:tcMar>
              <w:top w:w="110" w:type="dxa"/>
              <w:start w:w="110" w:type="dxa"/>
              <w:bottom w:w="110" w:type="dxa"/>
              <w:end w:w="110" w:type="dxa"/>
            </w:tcMar>
          </w:tcPr>
          <w:p>
            <w:r>
              <w:rPr>
                <w:color w:val="111820"/>
                <w:sz w:val="16"/>
              </w:rPr>
              <w:t>Returned audience</w:t>
            </w:r>
          </w:p>
        </w:tc>
        <w:tc>
          <w:tcPr>
            <w:tcW w:type="dxa" w:w="5083"/>
            <w:shd w:fill="F7F9FA"/>
            <w:vAlign w:val="center"/>
            <w:tcMar>
              <w:top w:w="110" w:type="dxa"/>
              <w:start w:w="110" w:type="dxa"/>
              <w:bottom w:w="110" w:type="dxa"/>
              <w:end w:w="110" w:type="dxa"/>
            </w:tcMar>
          </w:tcPr>
          <w:p>
            <w:r>
              <w:rPr>
                <w:color w:val="111820"/>
                <w:sz w:val="16"/>
              </w:rPr>
              <w:t>Shoppers returned by the media partner.</w:t>
            </w:r>
          </w:p>
        </w:tc>
      </w:tr>
      <w:tr>
        <w:tc>
          <w:tcPr>
            <w:tcW w:type="dxa" w:w="5083"/>
            <w:shd w:fill="FFFFFF"/>
            <w:vAlign w:val="center"/>
            <w:tcMar>
              <w:top w:w="110" w:type="dxa"/>
              <w:start w:w="110" w:type="dxa"/>
              <w:bottom w:w="110" w:type="dxa"/>
              <w:end w:w="110" w:type="dxa"/>
            </w:tcMar>
          </w:tcPr>
          <w:p>
            <w:r>
              <w:rPr>
                <w:color w:val="111820"/>
                <w:sz w:val="16"/>
              </w:rPr>
              <w:t>Partner matched / eligible</w:t>
            </w:r>
          </w:p>
        </w:tc>
        <w:tc>
          <w:tcPr>
            <w:tcW w:type="dxa" w:w="5083"/>
            <w:shd w:fill="FFFFFF"/>
            <w:vAlign w:val="center"/>
            <w:tcMar>
              <w:top w:w="110" w:type="dxa"/>
              <w:start w:w="110" w:type="dxa"/>
              <w:bottom w:w="110" w:type="dxa"/>
              <w:end w:w="110" w:type="dxa"/>
            </w:tcMar>
          </w:tcPr>
          <w:p>
            <w:r>
              <w:rPr>
                <w:color w:val="111820"/>
                <w:sz w:val="16"/>
              </w:rPr>
              <w:t>Shoppers the partner says it could use for the campaign.</w:t>
            </w:r>
          </w:p>
        </w:tc>
      </w:tr>
      <w:tr>
        <w:tc>
          <w:tcPr>
            <w:tcW w:type="dxa" w:w="5083"/>
            <w:shd w:fill="F7F9FA"/>
            <w:vAlign w:val="center"/>
            <w:tcMar>
              <w:top w:w="110" w:type="dxa"/>
              <w:start w:w="110" w:type="dxa"/>
              <w:bottom w:w="110" w:type="dxa"/>
              <w:end w:w="110" w:type="dxa"/>
            </w:tcMar>
          </w:tcPr>
          <w:p>
            <w:r>
              <w:rPr>
                <w:color w:val="111820"/>
                <w:sz w:val="16"/>
              </w:rPr>
              <w:t>Confirmed exposed</w:t>
            </w:r>
          </w:p>
        </w:tc>
        <w:tc>
          <w:tcPr>
            <w:tcW w:type="dxa" w:w="5083"/>
            <w:shd w:fill="F7F9FA"/>
            <w:vAlign w:val="center"/>
            <w:tcMar>
              <w:top w:w="110" w:type="dxa"/>
              <w:start w:w="110" w:type="dxa"/>
              <w:bottom w:w="110" w:type="dxa"/>
              <w:end w:w="110" w:type="dxa"/>
            </w:tcMar>
          </w:tcPr>
          <w:p>
            <w:r>
              <w:rPr>
                <w:color w:val="111820"/>
                <w:sz w:val="16"/>
              </w:rPr>
              <w:t>Shoppers with a qualifying media event.</w:t>
            </w:r>
          </w:p>
        </w:tc>
      </w:tr>
      <w:tr>
        <w:tc>
          <w:tcPr>
            <w:tcW w:type="dxa" w:w="5083"/>
            <w:shd w:fill="FFFFFF"/>
            <w:vAlign w:val="center"/>
            <w:tcMar>
              <w:top w:w="110" w:type="dxa"/>
              <w:start w:w="110" w:type="dxa"/>
              <w:bottom w:w="110" w:type="dxa"/>
              <w:end w:w="110" w:type="dxa"/>
            </w:tcMar>
          </w:tcPr>
          <w:p>
            <w:r>
              <w:rPr>
                <w:color w:val="111820"/>
                <w:sz w:val="16"/>
              </w:rPr>
              <w:t>TLOG identified</w:t>
            </w:r>
          </w:p>
        </w:tc>
        <w:tc>
          <w:tcPr>
            <w:tcW w:type="dxa" w:w="5083"/>
            <w:shd w:fill="FFFFFF"/>
            <w:vAlign w:val="center"/>
            <w:tcMar>
              <w:top w:w="110" w:type="dxa"/>
              <w:start w:w="110" w:type="dxa"/>
              <w:bottom w:w="110" w:type="dxa"/>
              <w:end w:w="110" w:type="dxa"/>
            </w:tcMar>
          </w:tcPr>
          <w:p>
            <w:r>
              <w:rPr>
                <w:color w:val="111820"/>
                <w:sz w:val="16"/>
              </w:rPr>
              <w:t>Selected shoppers that can be linked to retailer transactions.</w:t>
            </w:r>
          </w:p>
        </w:tc>
      </w:tr>
      <w:tr>
        <w:tc>
          <w:tcPr>
            <w:tcW w:type="dxa" w:w="5083"/>
            <w:shd w:fill="F7F9FA"/>
            <w:vAlign w:val="center"/>
            <w:tcMar>
              <w:top w:w="110" w:type="dxa"/>
              <w:start w:w="110" w:type="dxa"/>
              <w:bottom w:w="110" w:type="dxa"/>
              <w:end w:w="110" w:type="dxa"/>
            </w:tcMar>
          </w:tcPr>
          <w:p>
            <w:r>
              <w:rPr>
                <w:color w:val="111820"/>
                <w:sz w:val="16"/>
              </w:rPr>
              <w:t>Buyers</w:t>
            </w:r>
          </w:p>
        </w:tc>
        <w:tc>
          <w:tcPr>
            <w:tcW w:type="dxa" w:w="5083"/>
            <w:shd w:fill="F7F9FA"/>
            <w:vAlign w:val="center"/>
            <w:tcMar>
              <w:top w:w="110" w:type="dxa"/>
              <w:start w:w="110" w:type="dxa"/>
              <w:bottom w:w="110" w:type="dxa"/>
              <w:end w:w="110" w:type="dxa"/>
            </w:tcMar>
          </w:tcPr>
          <w:p>
            <w:r>
              <w:rPr>
                <w:color w:val="111820"/>
                <w:sz w:val="16"/>
              </w:rPr>
              <w:t>Eligible shoppers with an eligible purchase.</w:t>
            </w:r>
          </w:p>
        </w:tc>
      </w:tr>
      <w:tr>
        <w:tc>
          <w:tcPr>
            <w:tcW w:type="dxa" w:w="5083"/>
            <w:shd w:fill="FFFFFF"/>
            <w:vAlign w:val="center"/>
            <w:tcMar>
              <w:top w:w="110" w:type="dxa"/>
              <w:start w:w="110" w:type="dxa"/>
              <w:bottom w:w="110" w:type="dxa"/>
              <w:end w:w="110" w:type="dxa"/>
            </w:tcMar>
          </w:tcPr>
          <w:p>
            <w:r>
              <w:rPr>
                <w:color w:val="111820"/>
                <w:sz w:val="16"/>
              </w:rPr>
              <w:t>Measurable population</w:t>
            </w:r>
          </w:p>
        </w:tc>
        <w:tc>
          <w:tcPr>
            <w:tcW w:type="dxa" w:w="5083"/>
            <w:shd w:fill="FFFFFF"/>
            <w:vAlign w:val="center"/>
            <w:tcMar>
              <w:top w:w="110" w:type="dxa"/>
              <w:start w:w="110" w:type="dxa"/>
              <w:bottom w:w="110" w:type="dxa"/>
              <w:end w:w="110" w:type="dxa"/>
            </w:tcMar>
          </w:tcPr>
          <w:p>
            <w:r>
              <w:rPr>
                <w:color w:val="111820"/>
                <w:sz w:val="16"/>
              </w:rPr>
              <w:t>Shoppers that have the data needed for the KPI being calculated.</w:t>
            </w:r>
          </w:p>
        </w:tc>
      </w:tr>
    </w:tbl>
    <w:p>
      <w:r>
        <w:rPr>
          <w:sz w:val="21"/>
        </w:rPr>
        <w:t>These populations are not interchangeable. Every KPI must name the population and denominator it uses.</w:t>
      </w:r>
    </w:p>
    <w:p>
      <w:pPr>
        <w:pStyle w:val="Heading2"/>
      </w:pPr>
      <w:r>
        <w:t>3.8 Simple logical data model</w:t>
      </w:r>
    </w:p>
    <w:p>
      <w:pPr/>
      <w:r>
        <w:rPr>
          <w:sz w:val="21"/>
        </w:rPr>
        <w:t>The logical model includes a Measurement Design record, Cohort Assignment record, Partner Targeted List, Parallel Campaign Register and Quality Gate Result. These records explain how a control group was created, which data was used, and whether the result can be published.</w:t>
      </w:r>
    </w:p>
    <w:tbl>
      <w:tblPr>
        <w:tblStyle w:val="TableGrid"/>
        <w:tblW w:type="auto" w:w="0"/>
        <w:tblLook w:firstColumn="1" w:firstRow="1" w:lastColumn="0" w:lastRow="0" w:noHBand="0" w:noVBand="1" w:val="04A0"/>
      </w:tblPr>
      <w:tblGrid>
        <w:gridCol w:w="10166"/>
      </w:tblGrid>
      <w:tr>
        <w:tc>
          <w:tcPr>
            <w:tcW w:type="dxa" w:w="10166"/>
            <w:shd w:fill="EAF2F3"/>
            <w:vAlign w:val="center"/>
            <w:tcMar>
              <w:top w:w="150" w:type="dxa"/>
              <w:start w:w="150" w:type="dxa"/>
              <w:bottom w:w="150" w:type="dxa"/>
              <w:end w:w="150" w:type="dxa"/>
            </w:tcMar>
          </w:tcPr>
          <w:p>
            <w:r>
              <w:rPr>
                <w:b/>
                <w:color w:val="168B92"/>
                <w:sz w:val="21"/>
              </w:rPr>
              <w:t>Core design rule</w:t>
              <w:br/>
            </w:r>
            <w:r>
              <w:t>Keep raw TLOG, shopper media events, aggregate delivery, partner attribution and costs in separate tables. Join them only in derived measurement tables after the campaign and attribution rules are known.</w:t>
            </w:r>
          </w:p>
        </w:tc>
      </w:tr>
    </w:tbl>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168B92"/>
            <w:vAlign w:val="center"/>
            <w:tcMar>
              <w:top w:w="110" w:type="dxa"/>
              <w:start w:w="110" w:type="dxa"/>
              <w:bottom w:w="110" w:type="dxa"/>
              <w:end w:w="110" w:type="dxa"/>
            </w:tcMar>
          </w:tcPr>
          <w:p>
            <w:r>
              <w:rPr>
                <w:b/>
                <w:color w:val="FFFFFF"/>
                <w:sz w:val="16"/>
              </w:rPr>
              <w:t>Table or object</w:t>
            </w:r>
          </w:p>
        </w:tc>
        <w:tc>
          <w:tcPr>
            <w:tcW w:type="dxa" w:w="3389"/>
            <w:shd w:fill="168B92"/>
            <w:vAlign w:val="center"/>
            <w:tcMar>
              <w:top w:w="110" w:type="dxa"/>
              <w:start w:w="110" w:type="dxa"/>
              <w:bottom w:w="110" w:type="dxa"/>
              <w:end w:w="110" w:type="dxa"/>
            </w:tcMar>
          </w:tcPr>
          <w:p>
            <w:r>
              <w:rPr>
                <w:b/>
                <w:color w:val="FFFFFF"/>
                <w:sz w:val="16"/>
              </w:rPr>
              <w:t>One row represents</w:t>
            </w:r>
          </w:p>
        </w:tc>
        <w:tc>
          <w:tcPr>
            <w:tcW w:type="dxa" w:w="3389"/>
            <w:shd w:fill="168B92"/>
            <w:vAlign w:val="center"/>
            <w:tcMar>
              <w:top w:w="110" w:type="dxa"/>
              <w:start w:w="110" w:type="dxa"/>
              <w:bottom w:w="110" w:type="dxa"/>
              <w:end w:w="110" w:type="dxa"/>
            </w:tcMar>
          </w:tcPr>
          <w:p>
            <w:r>
              <w:rPr>
                <w:b/>
                <w:color w:val="FFFFFF"/>
                <w:sz w:val="16"/>
              </w:rPr>
              <w:t>Main job</w:t>
            </w:r>
          </w:p>
        </w:tc>
      </w:tr>
      <w:tr>
        <w:tc>
          <w:tcPr>
            <w:tcW w:type="dxa" w:w="3389"/>
            <w:shd w:fill="FFFFFF"/>
            <w:vAlign w:val="center"/>
            <w:tcMar>
              <w:top w:w="110" w:type="dxa"/>
              <w:start w:w="110" w:type="dxa"/>
              <w:bottom w:w="110" w:type="dxa"/>
              <w:end w:w="110" w:type="dxa"/>
            </w:tcMar>
          </w:tcPr>
          <w:p>
            <w:r>
              <w:rPr>
                <w:color w:val="111820"/>
                <w:sz w:val="16"/>
              </w:rPr>
              <w:t>Segment Membership</w:t>
            </w:r>
          </w:p>
        </w:tc>
        <w:tc>
          <w:tcPr>
            <w:tcW w:type="dxa" w:w="3389"/>
            <w:shd w:fill="FFFFFF"/>
            <w:vAlign w:val="center"/>
            <w:tcMar>
              <w:top w:w="110" w:type="dxa"/>
              <w:start w:w="110" w:type="dxa"/>
              <w:bottom w:w="110" w:type="dxa"/>
              <w:end w:w="110" w:type="dxa"/>
            </w:tcMar>
          </w:tcPr>
          <w:p>
            <w:r>
              <w:rPr>
                <w:color w:val="111820"/>
                <w:sz w:val="16"/>
              </w:rPr>
              <w:t>One Activate Shopper ID in one Activate Segment ID</w:t>
            </w:r>
          </w:p>
        </w:tc>
        <w:tc>
          <w:tcPr>
            <w:tcW w:type="dxa" w:w="3389"/>
            <w:shd w:fill="FFFFFF"/>
            <w:vAlign w:val="center"/>
            <w:tcMar>
              <w:top w:w="110" w:type="dxa"/>
              <w:start w:w="110" w:type="dxa"/>
              <w:bottom w:w="110" w:type="dxa"/>
              <w:end w:w="110" w:type="dxa"/>
            </w:tcMar>
          </w:tcPr>
          <w:p>
            <w:r>
              <w:rPr>
                <w:color w:val="111820"/>
                <w:sz w:val="16"/>
              </w:rPr>
              <w:t>Stores the original audience membership.</w:t>
            </w:r>
          </w:p>
        </w:tc>
      </w:tr>
      <w:tr>
        <w:tc>
          <w:tcPr>
            <w:tcW w:type="dxa" w:w="3389"/>
            <w:shd w:fill="F7F9FA"/>
            <w:vAlign w:val="center"/>
            <w:tcMar>
              <w:top w:w="110" w:type="dxa"/>
              <w:start w:w="110" w:type="dxa"/>
              <w:bottom w:w="110" w:type="dxa"/>
              <w:end w:w="110" w:type="dxa"/>
            </w:tcMar>
          </w:tcPr>
          <w:p>
            <w:r>
              <w:rPr>
                <w:color w:val="111820"/>
                <w:sz w:val="16"/>
              </w:rPr>
              <w:t>Partner Campaign</w:t>
            </w:r>
          </w:p>
        </w:tc>
        <w:tc>
          <w:tcPr>
            <w:tcW w:type="dxa" w:w="3389"/>
            <w:shd w:fill="F7F9FA"/>
            <w:vAlign w:val="center"/>
            <w:tcMar>
              <w:top w:w="110" w:type="dxa"/>
              <w:start w:w="110" w:type="dxa"/>
              <w:bottom w:w="110" w:type="dxa"/>
              <w:end w:w="110" w:type="dxa"/>
            </w:tcMar>
          </w:tcPr>
          <w:p>
            <w:r>
              <w:rPr>
                <w:color w:val="111820"/>
                <w:sz w:val="16"/>
              </w:rPr>
              <w:t>One partner campaign</w:t>
            </w:r>
          </w:p>
        </w:tc>
        <w:tc>
          <w:tcPr>
            <w:tcW w:type="dxa" w:w="3389"/>
            <w:shd w:fill="F7F9FA"/>
            <w:vAlign w:val="center"/>
            <w:tcMar>
              <w:top w:w="110" w:type="dxa"/>
              <w:start w:w="110" w:type="dxa"/>
              <w:bottom w:w="110" w:type="dxa"/>
              <w:end w:w="110" w:type="dxa"/>
            </w:tcMar>
          </w:tcPr>
          <w:p>
            <w:r>
              <w:rPr>
                <w:color w:val="111820"/>
                <w:sz w:val="16"/>
              </w:rPr>
              <w:t>Stores Partner Campaign ID, Segment ID and campaign setup.</w:t>
            </w:r>
          </w:p>
        </w:tc>
      </w:tr>
      <w:tr>
        <w:tc>
          <w:tcPr>
            <w:tcW w:type="dxa" w:w="3389"/>
            <w:shd w:fill="FFFFFF"/>
            <w:vAlign w:val="center"/>
            <w:tcMar>
              <w:top w:w="110" w:type="dxa"/>
              <w:start w:w="110" w:type="dxa"/>
              <w:bottom w:w="110" w:type="dxa"/>
              <w:end w:w="110" w:type="dxa"/>
            </w:tcMar>
          </w:tcPr>
          <w:p>
            <w:r>
              <w:rPr>
                <w:color w:val="111820"/>
                <w:sz w:val="16"/>
              </w:rPr>
              <w:t>Media Delivery</w:t>
            </w:r>
          </w:p>
        </w:tc>
        <w:tc>
          <w:tcPr>
            <w:tcW w:type="dxa" w:w="3389"/>
            <w:shd w:fill="FFFFFF"/>
            <w:vAlign w:val="center"/>
            <w:tcMar>
              <w:top w:w="110" w:type="dxa"/>
              <w:start w:w="110" w:type="dxa"/>
              <w:bottom w:w="110" w:type="dxa"/>
              <w:end w:w="110" w:type="dxa"/>
            </w:tcMar>
          </w:tcPr>
          <w:p>
            <w:r>
              <w:rPr>
                <w:color w:val="111820"/>
                <w:sz w:val="16"/>
              </w:rPr>
              <w:t>One delivery total at the level supplied by the partner</w:t>
            </w:r>
          </w:p>
        </w:tc>
        <w:tc>
          <w:tcPr>
            <w:tcW w:type="dxa" w:w="3389"/>
            <w:shd w:fill="FFFFFF"/>
            <w:vAlign w:val="center"/>
            <w:tcMar>
              <w:top w:w="110" w:type="dxa"/>
              <w:start w:w="110" w:type="dxa"/>
              <w:bottom w:w="110" w:type="dxa"/>
              <w:end w:w="110" w:type="dxa"/>
            </w:tcMar>
          </w:tcPr>
          <w:p>
            <w:r>
              <w:rPr>
                <w:color w:val="111820"/>
                <w:sz w:val="16"/>
              </w:rPr>
              <w:t>Stores aggregate impressions, clicks, reach, frequency and spend.</w:t>
            </w:r>
          </w:p>
        </w:tc>
      </w:tr>
      <w:tr>
        <w:tc>
          <w:tcPr>
            <w:tcW w:type="dxa" w:w="3389"/>
            <w:shd w:fill="F7F9FA"/>
            <w:vAlign w:val="center"/>
            <w:tcMar>
              <w:top w:w="110" w:type="dxa"/>
              <w:start w:w="110" w:type="dxa"/>
              <w:bottom w:w="110" w:type="dxa"/>
              <w:end w:w="110" w:type="dxa"/>
            </w:tcMar>
          </w:tcPr>
          <w:p>
            <w:r>
              <w:rPr>
                <w:color w:val="111820"/>
                <w:sz w:val="16"/>
              </w:rPr>
              <w:t>Media Event</w:t>
            </w:r>
          </w:p>
        </w:tc>
        <w:tc>
          <w:tcPr>
            <w:tcW w:type="dxa" w:w="3389"/>
            <w:shd w:fill="F7F9FA"/>
            <w:vAlign w:val="center"/>
            <w:tcMar>
              <w:top w:w="110" w:type="dxa"/>
              <w:start w:w="110" w:type="dxa"/>
              <w:bottom w:w="110" w:type="dxa"/>
              <w:end w:w="110" w:type="dxa"/>
            </w:tcMar>
          </w:tcPr>
          <w:p>
            <w:r>
              <w:rPr>
                <w:color w:val="111820"/>
                <w:sz w:val="16"/>
              </w:rPr>
              <w:t>One shopper media event</w:t>
            </w:r>
          </w:p>
        </w:tc>
        <w:tc>
          <w:tcPr>
            <w:tcW w:type="dxa" w:w="3389"/>
            <w:shd w:fill="F7F9FA"/>
            <w:vAlign w:val="center"/>
            <w:tcMar>
              <w:top w:w="110" w:type="dxa"/>
              <w:start w:w="110" w:type="dxa"/>
              <w:bottom w:w="110" w:type="dxa"/>
              <w:end w:w="110" w:type="dxa"/>
            </w:tcMar>
          </w:tcPr>
          <w:p>
            <w:r>
              <w:rPr>
                <w:color w:val="111820"/>
                <w:sz w:val="16"/>
              </w:rPr>
              <w:t>Stores an impression or click with Activate Shopper ID and event time.</w:t>
            </w:r>
          </w:p>
        </w:tc>
      </w:tr>
      <w:tr>
        <w:tc>
          <w:tcPr>
            <w:tcW w:type="dxa" w:w="3389"/>
            <w:shd w:fill="FFFFFF"/>
            <w:vAlign w:val="center"/>
            <w:tcMar>
              <w:top w:w="110" w:type="dxa"/>
              <w:start w:w="110" w:type="dxa"/>
              <w:bottom w:w="110" w:type="dxa"/>
              <w:end w:w="110" w:type="dxa"/>
            </w:tcMar>
          </w:tcPr>
          <w:p>
            <w:r>
              <w:rPr>
                <w:color w:val="111820"/>
                <w:sz w:val="16"/>
              </w:rPr>
              <w:t>Partner Attribution</w:t>
            </w:r>
          </w:p>
        </w:tc>
        <w:tc>
          <w:tcPr>
            <w:tcW w:type="dxa" w:w="3389"/>
            <w:shd w:fill="FFFFFF"/>
            <w:vAlign w:val="center"/>
            <w:tcMar>
              <w:top w:w="110" w:type="dxa"/>
              <w:start w:w="110" w:type="dxa"/>
              <w:bottom w:w="110" w:type="dxa"/>
              <w:end w:w="110" w:type="dxa"/>
            </w:tcMar>
          </w:tcPr>
          <w:p>
            <w:r>
              <w:rPr>
                <w:color w:val="111820"/>
                <w:sz w:val="16"/>
              </w:rPr>
              <w:t>One partner result at the supplied level</w:t>
            </w:r>
          </w:p>
        </w:tc>
        <w:tc>
          <w:tcPr>
            <w:tcW w:type="dxa" w:w="3389"/>
            <w:shd w:fill="FFFFFF"/>
            <w:vAlign w:val="center"/>
            <w:tcMar>
              <w:top w:w="110" w:type="dxa"/>
              <w:start w:w="110" w:type="dxa"/>
              <w:bottom w:w="110" w:type="dxa"/>
              <w:end w:w="110" w:type="dxa"/>
            </w:tcMar>
          </w:tcPr>
          <w:p>
            <w:r>
              <w:rPr>
                <w:color w:val="111820"/>
                <w:sz w:val="16"/>
              </w:rPr>
              <w:t>Stores the partner-calculated sales, orders, units and method fields.</w:t>
            </w:r>
          </w:p>
        </w:tc>
      </w:tr>
      <w:tr>
        <w:tc>
          <w:tcPr>
            <w:tcW w:type="dxa" w:w="3389"/>
            <w:shd w:fill="F7F9FA"/>
            <w:vAlign w:val="center"/>
            <w:tcMar>
              <w:top w:w="110" w:type="dxa"/>
              <w:start w:w="110" w:type="dxa"/>
              <w:bottom w:w="110" w:type="dxa"/>
              <w:end w:w="110" w:type="dxa"/>
            </w:tcMar>
          </w:tcPr>
          <w:p>
            <w:r>
              <w:rPr>
                <w:color w:val="111820"/>
                <w:sz w:val="16"/>
              </w:rPr>
              <w:t>TLOG Line</w:t>
            </w:r>
          </w:p>
        </w:tc>
        <w:tc>
          <w:tcPr>
            <w:tcW w:type="dxa" w:w="3389"/>
            <w:shd w:fill="F7F9FA"/>
            <w:vAlign w:val="center"/>
            <w:tcMar>
              <w:top w:w="110" w:type="dxa"/>
              <w:start w:w="110" w:type="dxa"/>
              <w:bottom w:w="110" w:type="dxa"/>
              <w:end w:w="110" w:type="dxa"/>
            </w:tcMar>
          </w:tcPr>
          <w:p>
            <w:r>
              <w:rPr>
                <w:color w:val="111820"/>
                <w:sz w:val="16"/>
              </w:rPr>
              <w:t>One product line in one transaction</w:t>
            </w:r>
          </w:p>
        </w:tc>
        <w:tc>
          <w:tcPr>
            <w:tcW w:type="dxa" w:w="3389"/>
            <w:shd w:fill="F7F9FA"/>
            <w:vAlign w:val="center"/>
            <w:tcMar>
              <w:top w:w="110" w:type="dxa"/>
              <w:start w:w="110" w:type="dxa"/>
              <w:bottom w:w="110" w:type="dxa"/>
              <w:end w:w="110" w:type="dxa"/>
            </w:tcMar>
          </w:tcPr>
          <w:p>
            <w:r>
              <w:rPr>
                <w:color w:val="111820"/>
                <w:sz w:val="16"/>
              </w:rPr>
              <w:t>Stores the complete covered purchase record.</w:t>
            </w:r>
          </w:p>
        </w:tc>
      </w:tr>
      <w:tr>
        <w:tc>
          <w:tcPr>
            <w:tcW w:type="dxa" w:w="3389"/>
            <w:shd w:fill="FFFFFF"/>
            <w:vAlign w:val="center"/>
            <w:tcMar>
              <w:top w:w="110" w:type="dxa"/>
              <w:start w:w="110" w:type="dxa"/>
              <w:bottom w:w="110" w:type="dxa"/>
              <w:end w:w="110" w:type="dxa"/>
            </w:tcMar>
          </w:tcPr>
          <w:p>
            <w:r>
              <w:rPr>
                <w:color w:val="111820"/>
                <w:sz w:val="16"/>
              </w:rPr>
              <w:t>Reference Data</w:t>
            </w:r>
          </w:p>
        </w:tc>
        <w:tc>
          <w:tcPr>
            <w:tcW w:type="dxa" w:w="3389"/>
            <w:shd w:fill="FFFFFF"/>
            <w:vAlign w:val="center"/>
            <w:tcMar>
              <w:top w:w="110" w:type="dxa"/>
              <w:start w:w="110" w:type="dxa"/>
              <w:bottom w:w="110" w:type="dxa"/>
              <w:end w:w="110" w:type="dxa"/>
            </w:tcMar>
          </w:tcPr>
          <w:p>
            <w:r>
              <w:rPr>
                <w:color w:val="111820"/>
                <w:sz w:val="16"/>
              </w:rPr>
              <w:t>One mapped business value</w:t>
            </w:r>
          </w:p>
        </w:tc>
        <w:tc>
          <w:tcPr>
            <w:tcW w:type="dxa" w:w="3389"/>
            <w:shd w:fill="FFFFFF"/>
            <w:vAlign w:val="center"/>
            <w:tcMar>
              <w:top w:w="110" w:type="dxa"/>
              <w:start w:w="110" w:type="dxa"/>
              <w:bottom w:w="110" w:type="dxa"/>
              <w:end w:w="110" w:type="dxa"/>
            </w:tcMar>
          </w:tcPr>
          <w:p>
            <w:r>
              <w:rPr>
                <w:color w:val="111820"/>
                <w:sz w:val="16"/>
              </w:rPr>
              <w:t>Maps partner banner, brand, category, product, store, channel, currency and actual country.</w:t>
            </w:r>
          </w:p>
        </w:tc>
      </w:tr>
      <w:tr>
        <w:tc>
          <w:tcPr>
            <w:tcW w:type="dxa" w:w="3389"/>
            <w:shd w:fill="F7F9FA"/>
            <w:vAlign w:val="center"/>
            <w:tcMar>
              <w:top w:w="110" w:type="dxa"/>
              <w:start w:w="110" w:type="dxa"/>
              <w:bottom w:w="110" w:type="dxa"/>
              <w:end w:w="110" w:type="dxa"/>
            </w:tcMar>
          </w:tcPr>
          <w:p>
            <w:r>
              <w:rPr>
                <w:color w:val="111820"/>
                <w:sz w:val="16"/>
              </w:rPr>
              <w:t>Eligible Purchase</w:t>
            </w:r>
          </w:p>
        </w:tc>
        <w:tc>
          <w:tcPr>
            <w:tcW w:type="dxa" w:w="3389"/>
            <w:shd w:fill="F7F9FA"/>
            <w:vAlign w:val="center"/>
            <w:tcMar>
              <w:top w:w="110" w:type="dxa"/>
              <w:start w:w="110" w:type="dxa"/>
              <w:bottom w:w="110" w:type="dxa"/>
              <w:end w:w="110" w:type="dxa"/>
            </w:tcMar>
          </w:tcPr>
          <w:p>
            <w:r>
              <w:rPr>
                <w:color w:val="111820"/>
                <w:sz w:val="16"/>
              </w:rPr>
              <w:t>One purchase line that meets the campaign rules</w:t>
            </w:r>
          </w:p>
        </w:tc>
        <w:tc>
          <w:tcPr>
            <w:tcW w:type="dxa" w:w="3389"/>
            <w:shd w:fill="F7F9FA"/>
            <w:vAlign w:val="center"/>
            <w:tcMar>
              <w:top w:w="110" w:type="dxa"/>
              <w:start w:w="110" w:type="dxa"/>
              <w:bottom w:w="110" w:type="dxa"/>
              <w:end w:w="110" w:type="dxa"/>
            </w:tcMar>
          </w:tcPr>
          <w:p>
            <w:r>
              <w:rPr>
                <w:color w:val="111820"/>
                <w:sz w:val="16"/>
              </w:rPr>
              <w:t>Keeps purchases for the correct audience, period and product scope.</w:t>
            </w:r>
          </w:p>
        </w:tc>
      </w:tr>
      <w:tr>
        <w:tc>
          <w:tcPr>
            <w:tcW w:type="dxa" w:w="3389"/>
            <w:shd w:fill="FFFFFF"/>
            <w:vAlign w:val="center"/>
            <w:tcMar>
              <w:top w:w="110" w:type="dxa"/>
              <w:start w:w="110" w:type="dxa"/>
              <w:bottom w:w="110" w:type="dxa"/>
              <w:end w:w="110" w:type="dxa"/>
            </w:tcMar>
          </w:tcPr>
          <w:p>
            <w:r>
              <w:rPr>
                <w:color w:val="111820"/>
                <w:sz w:val="16"/>
              </w:rPr>
              <w:t>Attribution Link</w:t>
            </w:r>
          </w:p>
        </w:tc>
        <w:tc>
          <w:tcPr>
            <w:tcW w:type="dxa" w:w="3389"/>
            <w:shd w:fill="FFFFFF"/>
            <w:vAlign w:val="center"/>
            <w:tcMar>
              <w:top w:w="110" w:type="dxa"/>
              <w:start w:w="110" w:type="dxa"/>
              <w:bottom w:w="110" w:type="dxa"/>
              <w:end w:w="110" w:type="dxa"/>
            </w:tcMar>
          </w:tcPr>
          <w:p>
            <w:r>
              <w:rPr>
                <w:color w:val="111820"/>
                <w:sz w:val="16"/>
              </w:rPr>
              <w:t>One eligible purchase linked to one selected media event</w:t>
            </w:r>
          </w:p>
        </w:tc>
        <w:tc>
          <w:tcPr>
            <w:tcW w:type="dxa" w:w="3389"/>
            <w:shd w:fill="FFFFFF"/>
            <w:vAlign w:val="center"/>
            <w:tcMar>
              <w:top w:w="110" w:type="dxa"/>
              <w:start w:w="110" w:type="dxa"/>
              <w:bottom w:w="110" w:type="dxa"/>
              <w:end w:w="110" w:type="dxa"/>
            </w:tcMar>
          </w:tcPr>
          <w:p>
            <w:r>
              <w:rPr>
                <w:color w:val="111820"/>
                <w:sz w:val="16"/>
              </w:rPr>
              <w:t>Stores the last qualifying touch used by Activate attribution.</w:t>
            </w:r>
          </w:p>
        </w:tc>
      </w:tr>
      <w:tr>
        <w:tc>
          <w:tcPr>
            <w:tcW w:type="dxa" w:w="3389"/>
            <w:shd w:fill="F7F9FA"/>
            <w:vAlign w:val="center"/>
            <w:tcMar>
              <w:top w:w="110" w:type="dxa"/>
              <w:start w:w="110" w:type="dxa"/>
              <w:bottom w:w="110" w:type="dxa"/>
              <w:end w:w="110" w:type="dxa"/>
            </w:tcMar>
          </w:tcPr>
          <w:p>
            <w:r>
              <w:rPr>
                <w:color w:val="111820"/>
                <w:sz w:val="16"/>
              </w:rPr>
              <w:t>Governed KPI Result</w:t>
            </w:r>
          </w:p>
        </w:tc>
        <w:tc>
          <w:tcPr>
            <w:tcW w:type="dxa" w:w="3389"/>
            <w:shd w:fill="F7F9FA"/>
            <w:vAlign w:val="center"/>
            <w:tcMar>
              <w:top w:w="110" w:type="dxa"/>
              <w:start w:w="110" w:type="dxa"/>
              <w:bottom w:w="110" w:type="dxa"/>
              <w:end w:w="110" w:type="dxa"/>
            </w:tcMar>
          </w:tcPr>
          <w:p>
            <w:r>
              <w:rPr>
                <w:color w:val="111820"/>
                <w:sz w:val="16"/>
              </w:rPr>
              <w:t>One approved KPI at an approved reporting level</w:t>
            </w:r>
          </w:p>
        </w:tc>
        <w:tc>
          <w:tcPr>
            <w:tcW w:type="dxa" w:w="3389"/>
            <w:shd w:fill="F7F9FA"/>
            <w:vAlign w:val="center"/>
            <w:tcMar>
              <w:top w:w="110" w:type="dxa"/>
              <w:start w:w="110" w:type="dxa"/>
              <w:bottom w:w="110" w:type="dxa"/>
              <w:end w:w="110" w:type="dxa"/>
            </w:tcMar>
          </w:tcPr>
          <w:p>
            <w:r>
              <w:rPr>
                <w:color w:val="111820"/>
                <w:sz w:val="16"/>
              </w:rPr>
              <w:t>Feeds Overview, Campaign Story, Explorer and exports.</w:t>
            </w:r>
          </w:p>
        </w:tc>
      </w:tr>
    </w:tbl>
    <w:p>
      <w:pPr>
        <w:pStyle w:val="Heading2"/>
      </w:pPr>
      <w:r>
        <w:t>3.9 Why the raw facts stay separate</w:t>
      </w:r>
    </w:p>
    <w:p>
      <w:pPr>
        <w:pStyle w:val="ListBullet"/>
      </w:pPr>
      <w:r>
        <w:t>One shopper can have many impressions and clicks before one purchase. A raw join would repeat the purchase value.</w:t>
      </w:r>
    </w:p>
    <w:p>
      <w:pPr>
        <w:pStyle w:val="ListBullet"/>
      </w:pPr>
      <w:r>
        <w:t>Aggregate media totals do not have a shopper or transaction key. Joining them to TLOG would repeat impressions and spend.</w:t>
      </w:r>
    </w:p>
    <w:p>
      <w:pPr>
        <w:pStyle w:val="ListBullet"/>
      </w:pPr>
      <w:r>
        <w:t>Some channels return shopper-level media events. Other channels return only totals. Separate tables support both.</w:t>
      </w:r>
    </w:p>
    <w:p>
      <w:pPr>
        <w:pStyle w:val="ListBullet"/>
      </w:pPr>
      <w:r>
        <w:t>Late files, corrections and rule changes can be processed without changing the raw source data.</w:t>
      </w:r>
    </w:p>
    <w:p>
      <w:pPr>
        <w:pStyle w:val="ListBullet"/>
      </w:pPr>
      <w:r>
        <w:t>The Attribution Link records the one media event selected for each attributed purchase.</w:t>
      </w:r>
    </w:p>
    <w:p>
      <w:pPr>
        <w:pStyle w:val="Heading1"/>
      </w:pPr>
      <w:r>
        <w:t>4. Product feature catalogue</w:t>
      </w:r>
    </w:p>
    <w:p>
      <w:r>
        <w:rPr>
          <w:sz w:val="21"/>
        </w:rPr>
        <w:t>Features are defined independently of screens, clients and Jira stories. Screens use features. Phases deliver features. Client configuration enables features.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shd w:fill="168B92"/>
            <w:vAlign w:val="center"/>
            <w:tcMar>
              <w:top w:w="100" w:type="dxa"/>
              <w:start w:w="100" w:type="dxa"/>
              <w:bottom w:w="100" w:type="dxa"/>
              <w:end w:w="100" w:type="dxa"/>
            </w:tcMar>
          </w:tcPr>
          <w:p>
            <w:r>
              <w:t>ID</w:t>
            </w:r>
          </w:p>
        </w:tc>
        <w:tc>
          <w:tcPr>
            <w:tcW w:type="dxa" w:w="2088"/>
            <w:shd w:fill="168B92"/>
            <w:vAlign w:val="center"/>
            <w:tcMar>
              <w:top w:w="100" w:type="dxa"/>
              <w:start w:w="100" w:type="dxa"/>
              <w:bottom w:w="100" w:type="dxa"/>
              <w:end w:w="100" w:type="dxa"/>
            </w:tcMar>
          </w:tcPr>
          <w:p>
            <w:r>
              <w:t>Feature</w:t>
            </w:r>
          </w:p>
        </w:tc>
        <w:tc>
          <w:tcPr>
            <w:tcW w:type="dxa" w:w="5976"/>
            <w:shd w:fill="168B92"/>
            <w:vAlign w:val="center"/>
            <w:tcMar>
              <w:top w:w="100" w:type="dxa"/>
              <w:start w:w="100" w:type="dxa"/>
              <w:bottom w:w="100" w:type="dxa"/>
              <w:end w:w="100" w:type="dxa"/>
            </w:tcMar>
          </w:tcPr>
          <w:p>
            <w:r>
              <w:t>What it includes</w:t>
            </w:r>
          </w:p>
        </w:tc>
        <w:tc>
          <w:tcPr>
            <w:tcW w:type="dxa" w:w="1656"/>
            <w:shd w:fill="168B92"/>
            <w:vAlign w:val="center"/>
            <w:tcMar>
              <w:top w:w="100" w:type="dxa"/>
              <w:start w:w="100" w:type="dxa"/>
              <w:bottom w:w="100" w:type="dxa"/>
              <w:end w:w="100" w:type="dxa"/>
            </w:tcMar>
          </w:tcPr>
          <w:p>
            <w:r>
              <w:t>Roadmap</w:t>
            </w:r>
          </w:p>
        </w:tc>
      </w:tr>
      <w:tr>
        <w:tc>
          <w:tcPr>
            <w:tcW w:type="dxa" w:w="648"/>
            <w:shd w:fill="FFFFFF"/>
            <w:vAlign w:val="center"/>
            <w:tcMar>
              <w:top w:w="100" w:type="dxa"/>
              <w:start w:w="100" w:type="dxa"/>
              <w:bottom w:w="100" w:type="dxa"/>
              <w:end w:w="100" w:type="dxa"/>
            </w:tcMar>
          </w:tcPr>
          <w:p>
            <w:r>
              <w:t>F01</w:t>
            </w:r>
          </w:p>
        </w:tc>
        <w:tc>
          <w:tcPr>
            <w:tcW w:type="dxa" w:w="2088"/>
            <w:shd w:fill="FFFFFF"/>
            <w:vAlign w:val="center"/>
            <w:tcMar>
              <w:top w:w="100" w:type="dxa"/>
              <w:start w:w="100" w:type="dxa"/>
              <w:bottom w:w="100" w:type="dxa"/>
              <w:end w:w="100" w:type="dxa"/>
            </w:tcMar>
          </w:tcPr>
          <w:p>
            <w:r>
              <w:t>Entry, access and configuration</w:t>
            </w:r>
          </w:p>
        </w:tc>
        <w:tc>
          <w:tcPr>
            <w:tcW w:type="dxa" w:w="5976"/>
            <w:shd w:fill="FFFFFF"/>
            <w:vAlign w:val="center"/>
            <w:tcMar>
              <w:top w:w="100" w:type="dxa"/>
              <w:start w:w="100" w:type="dxa"/>
              <w:bottom w:w="100" w:type="dxa"/>
              <w:end w:w="100" w:type="dxa"/>
            </w:tcMar>
          </w:tcPr>
          <w:p>
            <w:r>
              <w:t>Menu, permissions, row-level security, client/market/banner configuration and feature enablement.</w:t>
            </w:r>
          </w:p>
        </w:tc>
        <w:tc>
          <w:tcPr>
            <w:tcW w:type="dxa" w:w="1656"/>
            <w:shd w:fill="FFFFFF"/>
            <w:vAlign w:val="center"/>
            <w:tcMar>
              <w:top w:w="100" w:type="dxa"/>
              <w:start w:w="100" w:type="dxa"/>
              <w:bottom w:w="100" w:type="dxa"/>
              <w:end w:w="100" w:type="dxa"/>
            </w:tcMar>
          </w:tcPr>
          <w:p>
            <w:r>
              <w:t>All</w:t>
            </w:r>
          </w:p>
        </w:tc>
      </w:tr>
      <w:tr>
        <w:tc>
          <w:tcPr>
            <w:tcW w:type="dxa" w:w="648"/>
            <w:shd w:fill="F7F9FA"/>
            <w:vAlign w:val="center"/>
            <w:tcMar>
              <w:top w:w="100" w:type="dxa"/>
              <w:start w:w="100" w:type="dxa"/>
              <w:bottom w:w="100" w:type="dxa"/>
              <w:end w:w="100" w:type="dxa"/>
            </w:tcMar>
          </w:tcPr>
          <w:p>
            <w:r>
              <w:t>F02</w:t>
            </w:r>
          </w:p>
        </w:tc>
        <w:tc>
          <w:tcPr>
            <w:tcW w:type="dxa" w:w="2088"/>
            <w:shd w:fill="F7F9FA"/>
            <w:vAlign w:val="center"/>
            <w:tcMar>
              <w:top w:w="100" w:type="dxa"/>
              <w:start w:w="100" w:type="dxa"/>
              <w:bottom w:w="100" w:type="dxa"/>
              <w:end w:w="100" w:type="dxa"/>
            </w:tcMar>
          </w:tcPr>
          <w:p>
            <w:r>
              <w:t>Campaign portfolio and discovery</w:t>
            </w:r>
          </w:p>
        </w:tc>
        <w:tc>
          <w:tcPr>
            <w:tcW w:type="dxa" w:w="5976"/>
            <w:shd w:fill="F7F9FA"/>
            <w:vAlign w:val="center"/>
            <w:tcMar>
              <w:top w:w="100" w:type="dxa"/>
              <w:start w:w="100" w:type="dxa"/>
              <w:bottom w:w="100" w:type="dxa"/>
              <w:end w:w="100" w:type="dxa"/>
            </w:tcMar>
          </w:tcPr>
          <w:p>
            <w:r>
              <w:t>Campaign list, search, filters, statuses, timeline, recent campaigns and comparability.</w:t>
            </w:r>
          </w:p>
        </w:tc>
        <w:tc>
          <w:tcPr>
            <w:tcW w:type="dxa" w:w="1656"/>
            <w:shd w:fill="F7F9FA"/>
            <w:vAlign w:val="center"/>
            <w:tcMar>
              <w:top w:w="100" w:type="dxa"/>
              <w:start w:w="100" w:type="dxa"/>
              <w:bottom w:w="100" w:type="dxa"/>
              <w:end w:w="100" w:type="dxa"/>
            </w:tcMar>
          </w:tcPr>
          <w:p>
            <w:r>
              <w:t>Phase 1</w:t>
            </w:r>
          </w:p>
        </w:tc>
      </w:tr>
      <w:tr>
        <w:tc>
          <w:tcPr>
            <w:tcW w:type="dxa" w:w="648"/>
            <w:shd w:fill="FFFFFF"/>
            <w:vAlign w:val="center"/>
            <w:tcMar>
              <w:top w:w="100" w:type="dxa"/>
              <w:start w:w="100" w:type="dxa"/>
              <w:bottom w:w="100" w:type="dxa"/>
              <w:end w:w="100" w:type="dxa"/>
            </w:tcMar>
          </w:tcPr>
          <w:p>
            <w:r>
              <w:t>F03</w:t>
            </w:r>
          </w:p>
        </w:tc>
        <w:tc>
          <w:tcPr>
            <w:tcW w:type="dxa" w:w="2088"/>
            <w:shd w:fill="FFFFFF"/>
            <w:vAlign w:val="center"/>
            <w:tcMar>
              <w:top w:w="100" w:type="dxa"/>
              <w:start w:w="100" w:type="dxa"/>
              <w:bottom w:w="100" w:type="dxa"/>
              <w:end w:w="100" w:type="dxa"/>
            </w:tcMar>
          </w:tcPr>
          <w:p>
            <w:r>
              <w:t>Campaign and media hierarchy</w:t>
            </w:r>
          </w:p>
        </w:tc>
        <w:tc>
          <w:tcPr>
            <w:tcW w:type="dxa" w:w="5976"/>
            <w:shd w:fill="FFFFFF"/>
            <w:vAlign w:val="center"/>
            <w:tcMar>
              <w:top w:w="100" w:type="dxa"/>
              <w:start w:w="100" w:type="dxa"/>
              <w:bottom w:w="100" w:type="dxa"/>
              <w:end w:w="100" w:type="dxa"/>
            </w:tcMar>
          </w:tcPr>
          <w:p>
            <w:r>
              <w:t>Program, campaign, execution group, placement, creative and product scope.</w:t>
            </w:r>
          </w:p>
        </w:tc>
        <w:tc>
          <w:tcPr>
            <w:tcW w:type="dxa" w:w="1656"/>
            <w:shd w:fill="FFFFFF"/>
            <w:vAlign w:val="center"/>
            <w:tcMar>
              <w:top w:w="100" w:type="dxa"/>
              <w:start w:w="100" w:type="dxa"/>
              <w:bottom w:w="100" w:type="dxa"/>
              <w:end w:w="100" w:type="dxa"/>
            </w:tcMar>
          </w:tcPr>
          <w:p>
            <w:r>
              <w:t>Phase 1 foundation</w:t>
            </w:r>
          </w:p>
        </w:tc>
      </w:tr>
      <w:tr>
        <w:tc>
          <w:tcPr>
            <w:tcW w:type="dxa" w:w="648"/>
            <w:shd w:fill="F7F9FA"/>
            <w:vAlign w:val="center"/>
            <w:tcMar>
              <w:top w:w="100" w:type="dxa"/>
              <w:start w:w="100" w:type="dxa"/>
              <w:bottom w:w="100" w:type="dxa"/>
              <w:end w:w="100" w:type="dxa"/>
            </w:tcMar>
          </w:tcPr>
          <w:p>
            <w:r>
              <w:t>F04</w:t>
            </w:r>
          </w:p>
        </w:tc>
        <w:tc>
          <w:tcPr>
            <w:tcW w:type="dxa" w:w="2088"/>
            <w:shd w:fill="F7F9FA"/>
            <w:vAlign w:val="center"/>
            <w:tcMar>
              <w:top w:w="100" w:type="dxa"/>
              <w:start w:w="100" w:type="dxa"/>
              <w:bottom w:w="100" w:type="dxa"/>
              <w:end w:w="100" w:type="dxa"/>
            </w:tcMar>
          </w:tcPr>
          <w:p>
            <w:r>
              <w:t>Audience and identity traceability</w:t>
            </w:r>
          </w:p>
        </w:tc>
        <w:tc>
          <w:tcPr>
            <w:tcW w:type="dxa" w:w="5976"/>
            <w:shd w:fill="F7F9FA"/>
            <w:vAlign w:val="center"/>
            <w:tcMar>
              <w:top w:w="100" w:type="dxa"/>
              <w:start w:w="100" w:type="dxa"/>
              <w:bottom w:w="100" w:type="dxa"/>
              <w:end w:w="100" w:type="dxa"/>
            </w:tcMar>
          </w:tcPr>
          <w:p>
            <w:r>
              <w:t>Original Activate Segment ID to Activate Shopper ID membership, partner-return matching, and audience counts.</w:t>
            </w:r>
          </w:p>
        </w:tc>
        <w:tc>
          <w:tcPr>
            <w:tcW w:type="dxa" w:w="1656"/>
            <w:shd w:fill="F7F9FA"/>
            <w:vAlign w:val="center"/>
            <w:tcMar>
              <w:top w:w="100" w:type="dxa"/>
              <w:start w:w="100" w:type="dxa"/>
              <w:bottom w:w="100" w:type="dxa"/>
              <w:end w:w="100" w:type="dxa"/>
            </w:tcMar>
          </w:tcPr>
          <w:p>
            <w:r>
              <w:t>Phase 1</w:t>
            </w:r>
          </w:p>
        </w:tc>
      </w:tr>
      <w:tr>
        <w:tc>
          <w:tcPr>
            <w:tcW w:type="dxa" w:w="648"/>
            <w:shd w:fill="FFFFFF"/>
            <w:vAlign w:val="center"/>
            <w:tcMar>
              <w:top w:w="100" w:type="dxa"/>
              <w:start w:w="100" w:type="dxa"/>
              <w:bottom w:w="100" w:type="dxa"/>
              <w:end w:w="100" w:type="dxa"/>
            </w:tcMar>
          </w:tcPr>
          <w:p>
            <w:r>
              <w:t>F05</w:t>
            </w:r>
          </w:p>
        </w:tc>
        <w:tc>
          <w:tcPr>
            <w:tcW w:type="dxa" w:w="2088"/>
            <w:shd w:fill="FFFFFF"/>
            <w:vAlign w:val="center"/>
            <w:tcMar>
              <w:top w:w="100" w:type="dxa"/>
              <w:start w:w="100" w:type="dxa"/>
              <w:bottom w:w="100" w:type="dxa"/>
              <w:end w:w="100" w:type="dxa"/>
            </w:tcMar>
          </w:tcPr>
          <w:p>
            <w:r>
              <w:t>Media delivery measurement</w:t>
            </w:r>
          </w:p>
        </w:tc>
        <w:tc>
          <w:tcPr>
            <w:tcW w:type="dxa" w:w="5976"/>
            <w:shd w:fill="FFFFFF"/>
            <w:vAlign w:val="center"/>
            <w:tcMar>
              <w:top w:w="100" w:type="dxa"/>
              <w:start w:w="100" w:type="dxa"/>
              <w:bottom w:w="100" w:type="dxa"/>
              <w:end w:w="100" w:type="dxa"/>
            </w:tcMar>
          </w:tcPr>
          <w:p>
            <w:r>
              <w:t>Impressions, clicks, CTR, CPC, CPM, spend, reach, frequency, viewability, fraud and pacing.</w:t>
            </w:r>
          </w:p>
        </w:tc>
        <w:tc>
          <w:tcPr>
            <w:tcW w:type="dxa" w:w="1656"/>
            <w:shd w:fill="FFFFFF"/>
            <w:vAlign w:val="center"/>
            <w:tcMar>
              <w:top w:w="100" w:type="dxa"/>
              <w:start w:w="100" w:type="dxa"/>
              <w:bottom w:w="100" w:type="dxa"/>
              <w:end w:w="100" w:type="dxa"/>
            </w:tcMar>
          </w:tcPr>
          <w:p>
            <w:r>
              <w:t>Phase 1 conditional; Phase 2 expansion</w:t>
            </w:r>
          </w:p>
        </w:tc>
      </w:tr>
      <w:tr>
        <w:tc>
          <w:tcPr>
            <w:tcW w:type="dxa" w:w="648"/>
            <w:shd w:fill="F7F9FA"/>
            <w:vAlign w:val="center"/>
            <w:tcMar>
              <w:top w:w="100" w:type="dxa"/>
              <w:start w:w="100" w:type="dxa"/>
              <w:bottom w:w="100" w:type="dxa"/>
              <w:end w:w="100" w:type="dxa"/>
            </w:tcMar>
          </w:tcPr>
          <w:p>
            <w:r>
              <w:t>F06</w:t>
            </w:r>
          </w:p>
        </w:tc>
        <w:tc>
          <w:tcPr>
            <w:tcW w:type="dxa" w:w="2088"/>
            <w:shd w:fill="F7F9FA"/>
            <w:vAlign w:val="center"/>
            <w:tcMar>
              <w:top w:w="100" w:type="dxa"/>
              <w:start w:w="100" w:type="dxa"/>
              <w:bottom w:w="100" w:type="dxa"/>
              <w:end w:w="100" w:type="dxa"/>
            </w:tcMar>
          </w:tcPr>
          <w:p>
            <w:r>
              <w:t>Descriptive shopper outcomes</w:t>
            </w:r>
          </w:p>
        </w:tc>
        <w:tc>
          <w:tcPr>
            <w:tcW w:type="dxa" w:w="5976"/>
            <w:shd w:fill="F7F9FA"/>
            <w:vAlign w:val="center"/>
            <w:tcMar>
              <w:top w:w="100" w:type="dxa"/>
              <w:start w:w="100" w:type="dxa"/>
              <w:bottom w:w="100" w:type="dxa"/>
              <w:end w:w="100" w:type="dxa"/>
            </w:tcMar>
          </w:tcPr>
          <w:p>
            <w:r>
              <w:t>Sales, buyers, units, trips, value metrics, online/in-store/omnichannel and recruitment.</w:t>
            </w:r>
          </w:p>
        </w:tc>
        <w:tc>
          <w:tcPr>
            <w:tcW w:type="dxa" w:w="1656"/>
            <w:shd w:fill="F7F9FA"/>
            <w:vAlign w:val="center"/>
            <w:tcMar>
              <w:top w:w="100" w:type="dxa"/>
              <w:start w:w="100" w:type="dxa"/>
              <w:bottom w:w="100" w:type="dxa"/>
              <w:end w:w="100" w:type="dxa"/>
            </w:tcMar>
          </w:tcPr>
          <w:p>
            <w:r>
              <w:t>Phase 1 foundation</w:t>
            </w:r>
          </w:p>
        </w:tc>
      </w:tr>
      <w:tr>
        <w:tc>
          <w:tcPr>
            <w:tcW w:type="dxa" w:w="648"/>
            <w:shd w:fill="FFFFFF"/>
            <w:vAlign w:val="center"/>
            <w:tcMar>
              <w:top w:w="100" w:type="dxa"/>
              <w:start w:w="100" w:type="dxa"/>
              <w:bottom w:w="100" w:type="dxa"/>
              <w:end w:w="100" w:type="dxa"/>
            </w:tcMar>
          </w:tcPr>
          <w:p>
            <w:r>
              <w:t>F07</w:t>
            </w:r>
          </w:p>
        </w:tc>
        <w:tc>
          <w:tcPr>
            <w:tcW w:type="dxa" w:w="2088"/>
            <w:shd w:fill="FFFFFF"/>
            <w:vAlign w:val="center"/>
            <w:tcMar>
              <w:top w:w="100" w:type="dxa"/>
              <w:start w:w="100" w:type="dxa"/>
              <w:bottom w:w="100" w:type="dxa"/>
              <w:end w:w="100" w:type="dxa"/>
            </w:tcMar>
          </w:tcPr>
          <w:p>
            <w:r>
              <w:t>Basket and purchase composition</w:t>
            </w:r>
          </w:p>
        </w:tc>
        <w:tc>
          <w:tcPr>
            <w:tcW w:type="dxa" w:w="5976"/>
            <w:shd w:fill="FFFFFF"/>
            <w:vAlign w:val="center"/>
            <w:tcMar>
              <w:top w:w="100" w:type="dxa"/>
              <w:start w:w="100" w:type="dxa"/>
              <w:bottom w:w="100" w:type="dxa"/>
              <w:end w:w="100" w:type="dxa"/>
            </w:tcMar>
          </w:tcPr>
          <w:p>
            <w:r>
              <w:t>Basket value, units, breadth, products bought together and cross-category associations.</w:t>
            </w:r>
          </w:p>
        </w:tc>
        <w:tc>
          <w:tcPr>
            <w:tcW w:type="dxa" w:w="1656"/>
            <w:shd w:fill="FFFFFF"/>
            <w:vAlign w:val="center"/>
            <w:tcMar>
              <w:top w:w="100" w:type="dxa"/>
              <w:start w:w="100" w:type="dxa"/>
              <w:bottom w:w="100" w:type="dxa"/>
              <w:end w:w="100" w:type="dxa"/>
            </w:tcMar>
          </w:tcPr>
          <w:p>
            <w:r>
              <w:t>Phase 2</w:t>
            </w:r>
          </w:p>
        </w:tc>
      </w:tr>
      <w:tr>
        <w:tc>
          <w:tcPr>
            <w:tcW w:type="dxa" w:w="648"/>
            <w:shd w:fill="F7F9FA"/>
            <w:vAlign w:val="center"/>
            <w:tcMar>
              <w:top w:w="100" w:type="dxa"/>
              <w:start w:w="100" w:type="dxa"/>
              <w:bottom w:w="100" w:type="dxa"/>
              <w:end w:w="100" w:type="dxa"/>
            </w:tcMar>
          </w:tcPr>
          <w:p>
            <w:r>
              <w:t>F08</w:t>
            </w:r>
          </w:p>
        </w:tc>
        <w:tc>
          <w:tcPr>
            <w:tcW w:type="dxa" w:w="2088"/>
            <w:shd w:fill="F7F9FA"/>
            <w:vAlign w:val="center"/>
            <w:tcMar>
              <w:top w:w="100" w:type="dxa"/>
              <w:start w:w="100" w:type="dxa"/>
              <w:bottom w:w="100" w:type="dxa"/>
              <w:end w:w="100" w:type="dxa"/>
            </w:tcMar>
          </w:tcPr>
          <w:p>
            <w:r>
              <w:t>Attribution</w:t>
            </w:r>
          </w:p>
        </w:tc>
        <w:tc>
          <w:tcPr>
            <w:tcW w:type="dxa" w:w="5976"/>
            <w:shd w:fill="F7F9FA"/>
            <w:vAlign w:val="center"/>
            <w:tcMar>
              <w:top w:w="100" w:type="dxa"/>
              <w:start w:w="100" w:type="dxa"/>
              <w:bottom w:w="100" w:type="dxa"/>
              <w:end w:w="100" w:type="dxa"/>
            </w:tcMar>
          </w:tcPr>
          <w:p>
            <w:r>
              <w:t>View/click rules, windows, touch, deduplication, attributed outcomes, ROAS and reconciliation.</w:t>
            </w:r>
          </w:p>
        </w:tc>
        <w:tc>
          <w:tcPr>
            <w:tcW w:type="dxa" w:w="1656"/>
            <w:shd w:fill="F7F9FA"/>
            <w:vAlign w:val="center"/>
            <w:tcMar>
              <w:top w:w="100" w:type="dxa"/>
              <w:start w:w="100" w:type="dxa"/>
              <w:bottom w:w="100" w:type="dxa"/>
              <w:end w:w="100" w:type="dxa"/>
            </w:tcMar>
          </w:tcPr>
          <w:p>
            <w:r>
              <w:t>Phase 1 conditional; Phase 2 completion</w:t>
            </w:r>
          </w:p>
        </w:tc>
      </w:tr>
      <w:tr>
        <w:tc>
          <w:tcPr>
            <w:tcW w:type="dxa" w:w="648"/>
            <w:shd w:fill="FFFFFF"/>
            <w:vAlign w:val="center"/>
            <w:tcMar>
              <w:top w:w="100" w:type="dxa"/>
              <w:start w:w="100" w:type="dxa"/>
              <w:bottom w:w="100" w:type="dxa"/>
              <w:end w:w="100" w:type="dxa"/>
            </w:tcMar>
          </w:tcPr>
          <w:p>
            <w:r>
              <w:t>F09</w:t>
            </w:r>
          </w:p>
        </w:tc>
        <w:tc>
          <w:tcPr>
            <w:tcW w:type="dxa" w:w="2088"/>
            <w:shd w:fill="FFFFFF"/>
            <w:vAlign w:val="center"/>
            <w:tcMar>
              <w:top w:w="100" w:type="dxa"/>
              <w:start w:w="100" w:type="dxa"/>
              <w:bottom w:w="100" w:type="dxa"/>
              <w:end w:w="100" w:type="dxa"/>
            </w:tcMar>
          </w:tcPr>
          <w:p>
            <w:r>
              <w:t>Product, brand and category halo</w:t>
            </w:r>
          </w:p>
        </w:tc>
        <w:tc>
          <w:tcPr>
            <w:tcW w:type="dxa" w:w="5976"/>
            <w:shd w:fill="FFFFFF"/>
            <w:vAlign w:val="center"/>
            <w:tcMar>
              <w:top w:w="100" w:type="dxa"/>
              <w:start w:w="100" w:type="dxa"/>
              <w:bottom w:w="100" w:type="dxa"/>
              <w:end w:w="100" w:type="dxa"/>
            </w:tcMar>
          </w:tcPr>
          <w:p>
            <w:r>
              <w:t>Direct-product, brand-halo, category-halo and cross-category scopes.</w:t>
            </w:r>
          </w:p>
        </w:tc>
        <w:tc>
          <w:tcPr>
            <w:tcW w:type="dxa" w:w="1656"/>
            <w:shd w:fill="FFFFFF"/>
            <w:vAlign w:val="center"/>
            <w:tcMar>
              <w:top w:w="100" w:type="dxa"/>
              <w:start w:w="100" w:type="dxa"/>
              <w:bottom w:w="100" w:type="dxa"/>
              <w:end w:w="100" w:type="dxa"/>
            </w:tcMar>
          </w:tcPr>
          <w:p>
            <w:r>
              <w:t>Phase 2 descriptive/attributed; Phase 3 incremental</w:t>
            </w:r>
          </w:p>
        </w:tc>
      </w:tr>
      <w:tr>
        <w:tc>
          <w:tcPr>
            <w:tcW w:type="dxa" w:w="648"/>
            <w:shd w:fill="F7F9FA"/>
            <w:vAlign w:val="center"/>
            <w:tcMar>
              <w:top w:w="100" w:type="dxa"/>
              <w:start w:w="100" w:type="dxa"/>
              <w:bottom w:w="100" w:type="dxa"/>
              <w:end w:w="100" w:type="dxa"/>
            </w:tcMar>
          </w:tcPr>
          <w:p>
            <w:r>
              <w:t>F10</w:t>
            </w:r>
          </w:p>
        </w:tc>
        <w:tc>
          <w:tcPr>
            <w:tcW w:type="dxa" w:w="2088"/>
            <w:shd w:fill="F7F9FA"/>
            <w:vAlign w:val="center"/>
            <w:tcMar>
              <w:top w:w="100" w:type="dxa"/>
              <w:start w:w="100" w:type="dxa"/>
              <w:bottom w:w="100" w:type="dxa"/>
              <w:end w:w="100" w:type="dxa"/>
            </w:tcMar>
          </w:tcPr>
          <w:p>
            <w:r>
              <w:t>Financial performance</w:t>
            </w:r>
          </w:p>
        </w:tc>
        <w:tc>
          <w:tcPr>
            <w:tcW w:type="dxa" w:w="5976"/>
            <w:shd w:fill="F7F9FA"/>
            <w:vAlign w:val="center"/>
            <w:tcMar>
              <w:top w:w="100" w:type="dxa"/>
              <w:start w:w="100" w:type="dxa"/>
              <w:bottom w:w="100" w:type="dxa"/>
              <w:end w:w="100" w:type="dxa"/>
            </w:tcMar>
          </w:tcPr>
          <w:p>
            <w:r>
              <w:t>Revenue, margin, spend, fees, discount funding, P&amp;L, decomposition and incremental profit.</w:t>
            </w:r>
          </w:p>
        </w:tc>
        <w:tc>
          <w:tcPr>
            <w:tcW w:type="dxa" w:w="1656"/>
            <w:shd w:fill="F7F9FA"/>
            <w:vAlign w:val="center"/>
            <w:tcMar>
              <w:top w:w="100" w:type="dxa"/>
              <w:start w:w="100" w:type="dxa"/>
              <w:bottom w:w="100" w:type="dxa"/>
              <w:end w:w="100" w:type="dxa"/>
            </w:tcMar>
          </w:tcPr>
          <w:p>
            <w:r>
              <w:t>Phase 1 optional; Phase 2/3 expansion</w:t>
            </w:r>
          </w:p>
        </w:tc>
      </w:tr>
      <w:tr>
        <w:tc>
          <w:tcPr>
            <w:tcW w:type="dxa" w:w="648"/>
            <w:shd w:fill="FFFFFF"/>
            <w:vAlign w:val="center"/>
            <w:tcMar>
              <w:top w:w="100" w:type="dxa"/>
              <w:start w:w="100" w:type="dxa"/>
              <w:bottom w:w="100" w:type="dxa"/>
              <w:end w:w="100" w:type="dxa"/>
            </w:tcMar>
          </w:tcPr>
          <w:p>
            <w:r>
              <w:t>F11</w:t>
            </w:r>
          </w:p>
        </w:tc>
        <w:tc>
          <w:tcPr>
            <w:tcW w:type="dxa" w:w="2088"/>
            <w:shd w:fill="FFFFFF"/>
            <w:vAlign w:val="center"/>
            <w:tcMar>
              <w:top w:w="100" w:type="dxa"/>
              <w:start w:w="100" w:type="dxa"/>
              <w:bottom w:w="100" w:type="dxa"/>
              <w:end w:w="100" w:type="dxa"/>
            </w:tcMar>
          </w:tcPr>
          <w:p>
            <w:r>
              <w:t>Baseline and comparative measurement</w:t>
            </w:r>
          </w:p>
        </w:tc>
        <w:tc>
          <w:tcPr>
            <w:tcW w:type="dxa" w:w="5976"/>
            <w:shd w:fill="FFFFFF"/>
            <w:vAlign w:val="center"/>
            <w:tcMar>
              <w:top w:w="100" w:type="dxa"/>
              <w:start w:w="100" w:type="dxa"/>
              <w:bottom w:w="100" w:type="dxa"/>
              <w:end w:w="100" w:type="dxa"/>
            </w:tcMar>
          </w:tcPr>
          <w:p>
            <w:r>
              <w:t>Pre-period, targets, comparable campaigns, category norms and market benchmarks.</w:t>
            </w:r>
          </w:p>
        </w:tc>
        <w:tc>
          <w:tcPr>
            <w:tcW w:type="dxa" w:w="1656"/>
            <w:shd w:fill="FFFFFF"/>
            <w:vAlign w:val="center"/>
            <w:tcMar>
              <w:top w:w="100" w:type="dxa"/>
              <w:start w:w="100" w:type="dxa"/>
              <w:bottom w:w="100" w:type="dxa"/>
              <w:end w:w="100" w:type="dxa"/>
            </w:tcMar>
          </w:tcPr>
          <w:p>
            <w:r>
              <w:t>Phase 2; causal use Phase 3</w:t>
            </w:r>
          </w:p>
        </w:tc>
      </w:tr>
      <w:tr>
        <w:tc>
          <w:tcPr>
            <w:tcW w:type="dxa" w:w="648"/>
            <w:shd w:fill="F7F9FA"/>
            <w:vAlign w:val="center"/>
            <w:tcMar>
              <w:top w:w="100" w:type="dxa"/>
              <w:start w:w="100" w:type="dxa"/>
              <w:bottom w:w="100" w:type="dxa"/>
              <w:end w:w="100" w:type="dxa"/>
            </w:tcMar>
          </w:tcPr>
          <w:p>
            <w:r>
              <w:t>F12</w:t>
            </w:r>
          </w:p>
        </w:tc>
        <w:tc>
          <w:tcPr>
            <w:tcW w:type="dxa" w:w="2088"/>
            <w:shd w:fill="F7F9FA"/>
            <w:vAlign w:val="center"/>
            <w:tcMar>
              <w:top w:w="100" w:type="dxa"/>
              <w:start w:w="100" w:type="dxa"/>
              <w:bottom w:w="100" w:type="dxa"/>
              <w:end w:w="100" w:type="dxa"/>
            </w:tcMar>
          </w:tcPr>
          <w:p>
            <w:r>
              <w:t>Creative performance</w:t>
            </w:r>
          </w:p>
        </w:tc>
        <w:tc>
          <w:tcPr>
            <w:tcW w:type="dxa" w:w="5976"/>
            <w:shd w:fill="F7F9FA"/>
            <w:vAlign w:val="center"/>
            <w:tcMar>
              <w:top w:w="100" w:type="dxa"/>
              <w:start w:w="100" w:type="dxa"/>
              <w:bottom w:w="100" w:type="dxa"/>
              <w:end w:w="100" w:type="dxa"/>
            </w:tcMar>
          </w:tcPr>
          <w:p>
            <w:r>
              <w:t>Creative ID/version/format, delivery, CTR, attributed outcomes and comparison.</w:t>
            </w:r>
          </w:p>
        </w:tc>
        <w:tc>
          <w:tcPr>
            <w:tcW w:type="dxa" w:w="1656"/>
            <w:shd w:fill="F7F9FA"/>
            <w:vAlign w:val="center"/>
            <w:tcMar>
              <w:top w:w="100" w:type="dxa"/>
              <w:start w:w="100" w:type="dxa"/>
              <w:bottom w:w="100" w:type="dxa"/>
              <w:end w:w="100" w:type="dxa"/>
            </w:tcMar>
          </w:tcPr>
          <w:p>
            <w:r>
              <w:t>Phase 2</w:t>
            </w:r>
          </w:p>
        </w:tc>
      </w:tr>
      <w:tr>
        <w:tc>
          <w:tcPr>
            <w:tcW w:type="dxa" w:w="648"/>
            <w:shd w:fill="FFFFFF"/>
            <w:vAlign w:val="center"/>
            <w:tcMar>
              <w:top w:w="100" w:type="dxa"/>
              <w:start w:w="100" w:type="dxa"/>
              <w:bottom w:w="100" w:type="dxa"/>
              <w:end w:w="100" w:type="dxa"/>
            </w:tcMar>
          </w:tcPr>
          <w:p>
            <w:r>
              <w:t>F13</w:t>
            </w:r>
          </w:p>
        </w:tc>
        <w:tc>
          <w:tcPr>
            <w:tcW w:type="dxa" w:w="2088"/>
            <w:shd w:fill="FFFFFF"/>
            <w:vAlign w:val="center"/>
            <w:tcMar>
              <w:top w:w="100" w:type="dxa"/>
              <w:start w:w="100" w:type="dxa"/>
              <w:bottom w:w="100" w:type="dxa"/>
              <w:end w:w="100" w:type="dxa"/>
            </w:tcMar>
          </w:tcPr>
          <w:p>
            <w:r>
              <w:t>Cross-channel measurement</w:t>
            </w:r>
          </w:p>
        </w:tc>
        <w:tc>
          <w:tcPr>
            <w:tcW w:type="dxa" w:w="5976"/>
            <w:shd w:fill="FFFFFF"/>
            <w:vAlign w:val="center"/>
            <w:tcMar>
              <w:top w:w="100" w:type="dxa"/>
              <w:start w:w="100" w:type="dxa"/>
              <w:bottom w:w="100" w:type="dxa"/>
              <w:end w:w="100" w:type="dxa"/>
            </w:tcMar>
          </w:tcPr>
          <w:p>
            <w:r>
              <w:t>Unique and duplicated reach, overlap, frequency, sequence, attribution and contribution.</w:t>
            </w:r>
          </w:p>
        </w:tc>
        <w:tc>
          <w:tcPr>
            <w:tcW w:type="dxa" w:w="1656"/>
            <w:shd w:fill="FFFFFF"/>
            <w:vAlign w:val="center"/>
            <w:tcMar>
              <w:top w:w="100" w:type="dxa"/>
              <w:start w:w="100" w:type="dxa"/>
              <w:bottom w:w="100" w:type="dxa"/>
              <w:end w:w="100" w:type="dxa"/>
            </w:tcMar>
          </w:tcPr>
          <w:p>
            <w:r>
              <w:t>Phase 2 descriptive; Phase 3 causal</w:t>
            </w:r>
          </w:p>
        </w:tc>
      </w:tr>
      <w:tr>
        <w:tc>
          <w:tcPr>
            <w:tcW w:type="dxa" w:w="648"/>
            <w:shd w:fill="F7F9FA"/>
            <w:vAlign w:val="center"/>
            <w:tcMar>
              <w:top w:w="100" w:type="dxa"/>
              <w:start w:w="100" w:type="dxa"/>
              <w:bottom w:w="100" w:type="dxa"/>
              <w:end w:w="100" w:type="dxa"/>
            </w:tcMar>
          </w:tcPr>
          <w:p>
            <w:r>
              <w:t>F14</w:t>
            </w:r>
          </w:p>
        </w:tc>
        <w:tc>
          <w:tcPr>
            <w:tcW w:type="dxa" w:w="2088"/>
            <w:shd w:fill="F7F9FA"/>
            <w:vAlign w:val="center"/>
            <w:tcMar>
              <w:top w:w="100" w:type="dxa"/>
              <w:start w:w="100" w:type="dxa"/>
              <w:bottom w:w="100" w:type="dxa"/>
              <w:end w:w="100" w:type="dxa"/>
            </w:tcMar>
          </w:tcPr>
          <w:p>
            <w:r>
              <w:t>Incrementality</w:t>
            </w:r>
          </w:p>
        </w:tc>
        <w:tc>
          <w:tcPr>
            <w:tcW w:type="dxa" w:w="5976"/>
            <w:shd w:fill="F7F9FA"/>
            <w:vAlign w:val="center"/>
            <w:tcMar>
              <w:top w:w="100" w:type="dxa"/>
              <w:start w:w="100" w:type="dxa"/>
              <w:bottom w:w="100" w:type="dxa"/>
              <w:end w:w="100" w:type="dxa"/>
            </w:tcMar>
          </w:tcPr>
          <w:p>
            <w:r>
              <w:t>Treatment/control, contamination, lift, incremental outcomes, iROAS, uncertainty and approval.</w:t>
            </w:r>
          </w:p>
        </w:tc>
        <w:tc>
          <w:tcPr>
            <w:tcW w:type="dxa" w:w="1656"/>
            <w:shd w:fill="F7F9FA"/>
            <w:vAlign w:val="center"/>
            <w:tcMar>
              <w:top w:w="100" w:type="dxa"/>
              <w:start w:w="100" w:type="dxa"/>
              <w:bottom w:w="100" w:type="dxa"/>
              <w:end w:w="100" w:type="dxa"/>
            </w:tcMar>
          </w:tcPr>
          <w:p>
            <w:r>
              <w:t>Phase 3</w:t>
            </w:r>
          </w:p>
        </w:tc>
      </w:tr>
      <w:tr>
        <w:tc>
          <w:tcPr>
            <w:tcW w:type="dxa" w:w="648"/>
            <w:shd w:fill="FFFFFF"/>
            <w:vAlign w:val="center"/>
            <w:tcMar>
              <w:top w:w="100" w:type="dxa"/>
              <w:start w:w="100" w:type="dxa"/>
              <w:bottom w:w="100" w:type="dxa"/>
              <w:end w:w="100" w:type="dxa"/>
            </w:tcMar>
          </w:tcPr>
          <w:p>
            <w:r>
              <w:t>F15</w:t>
            </w:r>
          </w:p>
        </w:tc>
        <w:tc>
          <w:tcPr>
            <w:tcW w:type="dxa" w:w="2088"/>
            <w:shd w:fill="FFFFFF"/>
            <w:vAlign w:val="center"/>
            <w:tcMar>
              <w:top w:w="100" w:type="dxa"/>
              <w:start w:w="100" w:type="dxa"/>
              <w:bottom w:w="100" w:type="dxa"/>
              <w:end w:w="100" w:type="dxa"/>
            </w:tcMar>
          </w:tcPr>
          <w:p>
            <w:r>
              <w:t>Consequence and category effects</w:t>
            </w:r>
          </w:p>
        </w:tc>
        <w:tc>
          <w:tcPr>
            <w:tcW w:type="dxa" w:w="5976"/>
            <w:shd w:fill="FFFFFF"/>
            <w:vAlign w:val="center"/>
            <w:tcMar>
              <w:top w:w="100" w:type="dxa"/>
              <w:start w:w="100" w:type="dxa"/>
              <w:bottom w:w="100" w:type="dxa"/>
              <w:end w:w="100" w:type="dxa"/>
            </w:tcMar>
          </w:tcPr>
          <w:p>
            <w:r>
              <w:t>Cannibalization, pull-forward, trade-up/down, net category/portfolio effect and persistence.</w:t>
            </w:r>
          </w:p>
        </w:tc>
        <w:tc>
          <w:tcPr>
            <w:tcW w:type="dxa" w:w="1656"/>
            <w:shd w:fill="FFFFFF"/>
            <w:vAlign w:val="center"/>
            <w:tcMar>
              <w:top w:w="100" w:type="dxa"/>
              <w:start w:w="100" w:type="dxa"/>
              <w:bottom w:w="100" w:type="dxa"/>
              <w:end w:w="100" w:type="dxa"/>
            </w:tcMar>
          </w:tcPr>
          <w:p>
            <w:r>
              <w:t>Phase 3</w:t>
            </w:r>
          </w:p>
        </w:tc>
      </w:tr>
      <w:tr>
        <w:tc>
          <w:tcPr>
            <w:tcW w:type="dxa" w:w="648"/>
            <w:shd w:fill="F7F9FA"/>
            <w:vAlign w:val="center"/>
            <w:tcMar>
              <w:top w:w="100" w:type="dxa"/>
              <w:start w:w="100" w:type="dxa"/>
              <w:bottom w:w="100" w:type="dxa"/>
              <w:end w:w="100" w:type="dxa"/>
            </w:tcMar>
          </w:tcPr>
          <w:p>
            <w:r>
              <w:t>F16</w:t>
            </w:r>
          </w:p>
        </w:tc>
        <w:tc>
          <w:tcPr>
            <w:tcW w:type="dxa" w:w="2088"/>
            <w:shd w:fill="F7F9FA"/>
            <w:vAlign w:val="center"/>
            <w:tcMar>
              <w:top w:w="100" w:type="dxa"/>
              <w:start w:w="100" w:type="dxa"/>
              <w:bottom w:w="100" w:type="dxa"/>
              <w:end w:w="100" w:type="dxa"/>
            </w:tcMar>
          </w:tcPr>
          <w:p>
            <w:r>
              <w:t>Market Data Integration and Intelligence</w:t>
            </w:r>
          </w:p>
        </w:tc>
        <w:tc>
          <w:tcPr>
            <w:tcW w:type="dxa" w:w="5976"/>
            <w:shd w:fill="F7F9FA"/>
            <w:vAlign w:val="center"/>
            <w:tcMar>
              <w:top w:w="100" w:type="dxa"/>
              <w:start w:w="100" w:type="dxa"/>
              <w:bottom w:w="100" w:type="dxa"/>
              <w:end w:w="100" w:type="dxa"/>
            </w:tcMar>
          </w:tcPr>
          <w:p>
            <w:r>
              <w:t>Market context, benchmarks, rest-of-market outcomes, share, competitive context and cross-retailer comparison.</w:t>
            </w:r>
          </w:p>
        </w:tc>
        <w:tc>
          <w:tcPr>
            <w:tcW w:type="dxa" w:w="1656"/>
            <w:shd w:fill="F7F9FA"/>
            <w:vAlign w:val="center"/>
            <w:tcMar>
              <w:top w:w="100" w:type="dxa"/>
              <w:start w:w="100" w:type="dxa"/>
              <w:bottom w:w="100" w:type="dxa"/>
              <w:end w:w="100" w:type="dxa"/>
            </w:tcMar>
          </w:tcPr>
          <w:p>
            <w:r>
              <w:t>Phase 2 foundation; Phase 3 causal; future intelligence</w:t>
            </w:r>
          </w:p>
        </w:tc>
      </w:tr>
      <w:tr>
        <w:tc>
          <w:tcPr>
            <w:tcW w:type="dxa" w:w="648"/>
            <w:shd w:fill="FFFFFF"/>
            <w:vAlign w:val="center"/>
            <w:tcMar>
              <w:top w:w="100" w:type="dxa"/>
              <w:start w:w="100" w:type="dxa"/>
              <w:bottom w:w="100" w:type="dxa"/>
              <w:end w:w="100" w:type="dxa"/>
            </w:tcMar>
          </w:tcPr>
          <w:p>
            <w:r>
              <w:t>F17</w:t>
            </w:r>
          </w:p>
        </w:tc>
        <w:tc>
          <w:tcPr>
            <w:tcW w:type="dxa" w:w="2088"/>
            <w:shd w:fill="FFFFFF"/>
            <w:vAlign w:val="center"/>
            <w:tcMar>
              <w:top w:w="100" w:type="dxa"/>
              <w:start w:w="100" w:type="dxa"/>
              <w:bottom w:w="100" w:type="dxa"/>
              <w:end w:w="100" w:type="dxa"/>
            </w:tcMar>
          </w:tcPr>
          <w:p>
            <w:r>
              <w:t>Delivery and data diagnostics</w:t>
            </w:r>
          </w:p>
        </w:tc>
        <w:tc>
          <w:tcPr>
            <w:tcW w:type="dxa" w:w="5976"/>
            <w:shd w:fill="FFFFFF"/>
            <w:vAlign w:val="center"/>
            <w:tcMar>
              <w:top w:w="100" w:type="dxa"/>
              <w:start w:w="100" w:type="dxa"/>
              <w:bottom w:w="100" w:type="dxa"/>
              <w:end w:w="100" w:type="dxa"/>
            </w:tcMar>
          </w:tcPr>
          <w:p>
            <w:r>
              <w:t>Feed health, match rates, mappings, duplicates, late data, revisions and reconciliation.</w:t>
            </w:r>
          </w:p>
        </w:tc>
        <w:tc>
          <w:tcPr>
            <w:tcW w:type="dxa" w:w="1656"/>
            <w:shd w:fill="FFFFFF"/>
            <w:vAlign w:val="center"/>
            <w:tcMar>
              <w:top w:w="100" w:type="dxa"/>
              <w:start w:w="100" w:type="dxa"/>
              <w:bottom w:w="100" w:type="dxa"/>
              <w:end w:w="100" w:type="dxa"/>
            </w:tcMar>
          </w:tcPr>
          <w:p>
            <w:r>
              <w:t>Phase 1 readiness; Phase 2 diagnostics</w:t>
            </w:r>
          </w:p>
        </w:tc>
      </w:tr>
      <w:tr>
        <w:tc>
          <w:tcPr>
            <w:tcW w:type="dxa" w:w="648"/>
            <w:shd w:fill="F7F9FA"/>
            <w:vAlign w:val="center"/>
            <w:tcMar>
              <w:top w:w="100" w:type="dxa"/>
              <w:start w:w="100" w:type="dxa"/>
              <w:bottom w:w="100" w:type="dxa"/>
              <w:end w:w="100" w:type="dxa"/>
            </w:tcMar>
          </w:tcPr>
          <w:p>
            <w:r>
              <w:t>F18</w:t>
            </w:r>
          </w:p>
        </w:tc>
        <w:tc>
          <w:tcPr>
            <w:tcW w:type="dxa" w:w="2088"/>
            <w:shd w:fill="F7F9FA"/>
            <w:vAlign w:val="center"/>
            <w:tcMar>
              <w:top w:w="100" w:type="dxa"/>
              <w:start w:w="100" w:type="dxa"/>
              <w:bottom w:w="100" w:type="dxa"/>
              <w:end w:w="100" w:type="dxa"/>
            </w:tcMar>
          </w:tcPr>
          <w:p>
            <w:r>
              <w:t>Inventory, search and yield opportunities</w:t>
            </w:r>
          </w:p>
        </w:tc>
        <w:tc>
          <w:tcPr>
            <w:tcW w:type="dxa" w:w="5976"/>
            <w:shd w:fill="F7F9FA"/>
            <w:vAlign w:val="center"/>
            <w:tcMar>
              <w:top w:w="100" w:type="dxa"/>
              <w:start w:w="100" w:type="dxa"/>
              <w:bottom w:w="100" w:type="dxa"/>
              <w:end w:w="100" w:type="dxa"/>
            </w:tcMar>
          </w:tcPr>
          <w:p>
            <w:r>
              <w:t>Fill, unfilled inventory, search demand, unmonetized terms and yield.</w:t>
            </w:r>
          </w:p>
        </w:tc>
        <w:tc>
          <w:tcPr>
            <w:tcW w:type="dxa" w:w="1656"/>
            <w:shd w:fill="F7F9FA"/>
            <w:vAlign w:val="center"/>
            <w:tcMar>
              <w:top w:w="100" w:type="dxa"/>
              <w:start w:w="100" w:type="dxa"/>
              <w:bottom w:w="100" w:type="dxa"/>
              <w:end w:w="100" w:type="dxa"/>
            </w:tcMar>
          </w:tcPr>
          <w:p>
            <w:r>
              <w:t>Future</w:t>
            </w:r>
          </w:p>
        </w:tc>
      </w:tr>
      <w:tr>
        <w:tc>
          <w:tcPr>
            <w:tcW w:type="dxa" w:w="648"/>
            <w:shd w:fill="FFFFFF"/>
            <w:vAlign w:val="center"/>
            <w:tcMar>
              <w:top w:w="100" w:type="dxa"/>
              <w:start w:w="100" w:type="dxa"/>
              <w:bottom w:w="100" w:type="dxa"/>
              <w:end w:w="100" w:type="dxa"/>
            </w:tcMar>
          </w:tcPr>
          <w:p>
            <w:r>
              <w:t>F19</w:t>
            </w:r>
          </w:p>
        </w:tc>
        <w:tc>
          <w:tcPr>
            <w:tcW w:type="dxa" w:w="2088"/>
            <w:shd w:fill="FFFFFF"/>
            <w:vAlign w:val="center"/>
            <w:tcMar>
              <w:top w:w="100" w:type="dxa"/>
              <w:start w:w="100" w:type="dxa"/>
              <w:bottom w:w="100" w:type="dxa"/>
              <w:end w:w="100" w:type="dxa"/>
            </w:tcMar>
          </w:tcPr>
          <w:p>
            <w:r>
              <w:t>Result governance and trust</w:t>
            </w:r>
          </w:p>
        </w:tc>
        <w:tc>
          <w:tcPr>
            <w:tcW w:type="dxa" w:w="5976"/>
            <w:shd w:fill="FFFFFF"/>
            <w:vAlign w:val="center"/>
            <w:tcMar>
              <w:top w:w="100" w:type="dxa"/>
              <w:start w:w="100" w:type="dxa"/>
              <w:bottom w:w="100" w:type="dxa"/>
              <w:end w:w="100" w:type="dxa"/>
            </w:tcMar>
          </w:tcPr>
          <w:p>
            <w:r>
              <w:t>KPI Catalogue, status, approvals, versions, corrections, privacy and reproducibility.</w:t>
            </w:r>
          </w:p>
        </w:tc>
        <w:tc>
          <w:tcPr>
            <w:tcW w:type="dxa" w:w="1656"/>
            <w:shd w:fill="FFFFFF"/>
            <w:vAlign w:val="center"/>
            <w:tcMar>
              <w:top w:w="100" w:type="dxa"/>
              <w:start w:w="100" w:type="dxa"/>
              <w:bottom w:w="100" w:type="dxa"/>
              <w:end w:w="100" w:type="dxa"/>
            </w:tcMar>
          </w:tcPr>
          <w:p>
            <w:r>
              <w:t>All</w:t>
            </w:r>
          </w:p>
        </w:tc>
      </w:tr>
      <w:tr>
        <w:tc>
          <w:tcPr>
            <w:tcW w:type="dxa" w:w="648"/>
            <w:shd w:fill="F7F9FA"/>
            <w:vAlign w:val="center"/>
            <w:tcMar>
              <w:top w:w="100" w:type="dxa"/>
              <w:start w:w="100" w:type="dxa"/>
              <w:bottom w:w="100" w:type="dxa"/>
              <w:end w:w="100" w:type="dxa"/>
            </w:tcMar>
          </w:tcPr>
          <w:p>
            <w:r>
              <w:t>F20</w:t>
            </w:r>
          </w:p>
        </w:tc>
        <w:tc>
          <w:tcPr>
            <w:tcW w:type="dxa" w:w="2088"/>
            <w:shd w:fill="F7F9FA"/>
            <w:vAlign w:val="center"/>
            <w:tcMar>
              <w:top w:w="100" w:type="dxa"/>
              <w:start w:w="100" w:type="dxa"/>
              <w:bottom w:w="100" w:type="dxa"/>
              <w:end w:w="100" w:type="dxa"/>
            </w:tcMar>
          </w:tcPr>
          <w:p>
            <w:r>
              <w:t>Sharing, export and API access</w:t>
            </w:r>
          </w:p>
        </w:tc>
        <w:tc>
          <w:tcPr>
            <w:tcW w:type="dxa" w:w="5976"/>
            <w:shd w:fill="F7F9FA"/>
            <w:vAlign w:val="center"/>
            <w:tcMar>
              <w:top w:w="100" w:type="dxa"/>
              <w:start w:w="100" w:type="dxa"/>
              <w:bottom w:w="100" w:type="dxa"/>
              <w:end w:w="100" w:type="dxa"/>
            </w:tcMar>
          </w:tcPr>
          <w:p>
            <w:r>
              <w:t>Approved shared views, access checks, exports and future governed APIs.</w:t>
            </w:r>
          </w:p>
        </w:tc>
        <w:tc>
          <w:tcPr>
            <w:tcW w:type="dxa" w:w="1656"/>
            <w:shd w:fill="F7F9FA"/>
            <w:vAlign w:val="center"/>
            <w:tcMar>
              <w:top w:w="100" w:type="dxa"/>
              <w:start w:w="100" w:type="dxa"/>
              <w:bottom w:w="100" w:type="dxa"/>
              <w:end w:w="100" w:type="dxa"/>
            </w:tcMar>
          </w:tcPr>
          <w:p>
            <w:r>
              <w:t>Phase 1 foundation</w:t>
            </w:r>
          </w:p>
        </w:tc>
      </w:tr>
      <w:tr>
        <w:tc>
          <w:tcPr>
            <w:tcW w:type="dxa" w:w="648"/>
            <w:shd w:fill="FFFFFF"/>
            <w:vAlign w:val="center"/>
            <w:tcMar>
              <w:top w:w="100" w:type="dxa"/>
              <w:start w:w="100" w:type="dxa"/>
              <w:bottom w:w="100" w:type="dxa"/>
              <w:end w:w="100" w:type="dxa"/>
            </w:tcMar>
          </w:tcPr>
          <w:p>
            <w:r>
              <w:t>F21</w:t>
            </w:r>
          </w:p>
        </w:tc>
        <w:tc>
          <w:tcPr>
            <w:tcW w:type="dxa" w:w="2088"/>
            <w:shd w:fill="FFFFFF"/>
            <w:vAlign w:val="center"/>
            <w:tcMar>
              <w:top w:w="100" w:type="dxa"/>
              <w:start w:w="100" w:type="dxa"/>
              <w:bottom w:w="100" w:type="dxa"/>
              <w:end w:w="100" w:type="dxa"/>
            </w:tcMar>
          </w:tcPr>
          <w:p>
            <w:r>
              <w:t>Decision support</w:t>
            </w:r>
          </w:p>
        </w:tc>
        <w:tc>
          <w:tcPr>
            <w:tcW w:type="dxa" w:w="5976"/>
            <w:shd w:fill="FFFFFF"/>
            <w:vAlign w:val="center"/>
            <w:tcMar>
              <w:top w:w="100" w:type="dxa"/>
              <w:start w:w="100" w:type="dxa"/>
              <w:bottom w:w="100" w:type="dxa"/>
              <w:end w:w="100" w:type="dxa"/>
            </w:tcMar>
          </w:tcPr>
          <w:p>
            <w:r>
              <w:t>Driver explanations, learnings, forecasts and future audience/channel/budget recommendations.</w:t>
            </w:r>
          </w:p>
        </w:tc>
        <w:tc>
          <w:tcPr>
            <w:tcW w:type="dxa" w:w="1656"/>
            <w:shd w:fill="FFFFFF"/>
            <w:vAlign w:val="center"/>
            <w:tcMar>
              <w:top w:w="100" w:type="dxa"/>
              <w:start w:w="100" w:type="dxa"/>
              <w:bottom w:w="100" w:type="dxa"/>
              <w:end w:w="100" w:type="dxa"/>
            </w:tcMar>
          </w:tcPr>
          <w:p>
            <w:r>
              <w:t>Future</w:t>
            </w:r>
          </w:p>
        </w:tc>
      </w:tr>
      <w:tr>
        <w:tc>
          <w:tcPr>
            <w:tcW w:type="dxa" w:w="2541"/>
            <w:shd w:fill="F7F9FA"/>
            <w:vAlign w:val="center"/>
            <w:tcMar>
              <w:top w:w="100" w:type="dxa"/>
              <w:start w:w="100" w:type="dxa"/>
              <w:bottom w:w="100" w:type="dxa"/>
              <w:end w:w="100" w:type="dxa"/>
            </w:tcMar>
          </w:tcPr>
          <w:p>
            <w:r>
              <w:t>F22</w:t>
            </w:r>
          </w:p>
        </w:tc>
        <w:tc>
          <w:tcPr>
            <w:tcW w:type="dxa" w:w="2541"/>
            <w:shd w:fill="F7F9FA"/>
            <w:vAlign w:val="center"/>
            <w:tcMar>
              <w:top w:w="100" w:type="dxa"/>
              <w:start w:w="100" w:type="dxa"/>
              <w:bottom w:w="100" w:type="dxa"/>
              <w:end w:w="100" w:type="dxa"/>
            </w:tcMar>
          </w:tcPr>
          <w:p>
            <w:r>
              <w:t>Integrated Commerce Measurement</w:t>
            </w:r>
          </w:p>
        </w:tc>
        <w:tc>
          <w:tcPr>
            <w:tcW w:type="dxa" w:w="2541"/>
            <w:shd w:fill="F7F9FA"/>
            <w:vAlign w:val="center"/>
            <w:tcMar>
              <w:top w:w="100" w:type="dxa"/>
              <w:start w:w="100" w:type="dxa"/>
              <w:bottom w:w="100" w:type="dxa"/>
              <w:end w:w="100" w:type="dxa"/>
            </w:tcMar>
          </w:tcPr>
          <w:p>
            <w:r>
              <w:t>A common measurement environment for Retail Media, Personalized Offers, promotions, financial outcomes and NIQ market context.</w:t>
            </w:r>
          </w:p>
        </w:tc>
        <w:tc>
          <w:tcPr>
            <w:tcW w:type="dxa" w:w="2541"/>
            <w:shd w:fill="F7F9FA"/>
            <w:vAlign w:val="center"/>
            <w:tcMar>
              <w:top w:w="100" w:type="dxa"/>
              <w:start w:w="100" w:type="dxa"/>
              <w:bottom w:w="100" w:type="dxa"/>
              <w:end w:w="100" w:type="dxa"/>
            </w:tcMar>
          </w:tcPr>
          <w:p>
            <w:r>
              <w:t>Future strategic vision</w:t>
            </w:r>
          </w:p>
        </w:tc>
      </w:tr>
    </w:tbl>
    <w:p/>
    <w:p>
      <w:pPr>
        <w:pStyle w:val="Heading2"/>
      </w:pPr>
      <w:r>
        <w:t>4.1 Confirmed feature decisions</w:t>
      </w:r>
    </w:p>
    <w:p>
      <w:pPr>
        <w:pStyle w:val="ListBullet"/>
      </w:pPr>
      <w:r>
        <w:t>Creative performance is a roadmap feature. Creative production is out of scope.</w:t>
      </w:r>
    </w:p>
    <w:p>
      <w:pPr>
        <w:pStyle w:val="ListBullet"/>
      </w:pPr>
      <w:r>
        <w:t>Descriptive and attributed halo belong in Phase 2. Incremental halo belongs in Phase 3.</w:t>
      </w:r>
    </w:p>
    <w:p>
      <w:pPr>
        <w:pStyle w:val="ListBullet"/>
      </w:pPr>
      <w:r>
        <w:t>Cannibalization, pull-forward, trade-up/down, net category effect and net portfolio effect belong in Phase 3.</w:t>
      </w:r>
    </w:p>
    <w:p>
      <w:pPr>
        <w:pStyle w:val="ListBullet"/>
      </w:pPr>
      <w:r>
        <w:t>Financial performance is configurable. Descriptive P&amp;L may be shown when all inputs exist. Incremental profit requires a causal method.</w:t>
      </w:r>
    </w:p>
    <w:p>
      <w:pPr>
        <w:pStyle w:val="ListBullet"/>
      </w:pPr>
      <w:r>
        <w:t>Cross-channel measurement is a strategic capability.</w:t>
      </w:r>
    </w:p>
    <w:p>
      <w:pPr>
        <w:pStyle w:val="ListBullet"/>
      </w:pPr>
      <w:r>
        <w:t>Rest-of-market measurement and market benchmarks are part of the generic roadmap.</w:t>
      </w:r>
    </w:p>
    <w:p>
      <w:pPr>
        <w:pStyle w:val="ListBullet"/>
      </w:pPr>
      <w:r>
        <w:t>The product keeps three primary experiences unless a future workflow clearly needs a specialist workspace.</w:t>
      </w:r>
    </w:p>
    <w:p>
      <w:r>
        <w:rPr>
          <w:sz w:val="21"/>
        </w:rPr>
      </w:r>
    </w:p>
    <w:p>
      <w:pPr>
        <w:pStyle w:val="Heading1"/>
      </w:pPr>
      <w:r>
        <w:t>5. Detailed feature methodology, rules and authority</w:t>
      </w:r>
    </w:p>
    <w:p>
      <w:r>
        <w:rPr>
          <w:sz w:val="21"/>
        </w:rPr>
        <w:t>Section 4 is the quick feature index. This section explains the rules that must remain true as the product is designed and delivered. Detailed KPI formulas stay in the KPI Catalogue, physical schemas stay in the Data Contract, and delivery acceptance criteria stay in the build requirements and Jira.</w:t>
      </w:r>
    </w:p>
    <w:p>
      <w:pPr>
        <w:pStyle w:val="Heading2"/>
      </w:pPr>
      <w:r>
        <w:t>5.1 Audience and population integrity</w:t>
      </w:r>
    </w:p>
    <w:p>
      <w:pPr>
        <w:pStyle w:val="ListBullet"/>
      </w:pPr>
      <w:r>
        <w:t>Retail Media stores the original Activate Segment ID to Activate Shopper ID membership used by the campaign. A later change to a static or dynamic segment must not replace that original membership.</w:t>
      </w:r>
    </w:p>
    <w:p>
      <w:pPr>
        <w:pStyle w:val="ListBullet"/>
      </w:pPr>
      <w:r>
        <w:t>Keep Selected, Exported, Identified, Partner Matched, Treatment Assigned, Exposed, Measurable and Purchasing populations separate.</w:t>
      </w:r>
    </w:p>
    <w:p>
      <w:pPr>
        <w:pStyle w:val="ListBullet"/>
      </w:pPr>
      <w:r>
        <w:t>Every KPI states its population and denominator.</w:t>
      </w:r>
    </w:p>
    <w:p>
      <w:pPr>
        <w:pStyle w:val="Heading2"/>
      </w:pPr>
      <w:r>
        <w:t>5.2 Attribution methodology</w:t>
      </w:r>
    </w:p>
    <w:p>
      <w:pPr>
        <w:pStyle w:val="ListBullet"/>
      </w:pPr>
      <w:r>
        <w:t>Define trigger, view-through and click-through treatment, attribution window, touch selection, de-duplication and result maturity.</w:t>
      </w:r>
    </w:p>
    <w:p>
      <w:pPr>
        <w:pStyle w:val="ListBullet"/>
      </w:pPr>
      <w:r>
        <w:t>Define purchase channel, advertised-product scope, halo scope, multiple exposures, multiple purchases, returns and cancellations.</w:t>
      </w:r>
    </w:p>
    <w:p>
      <w:pPr>
        <w:pStyle w:val="ListBullet"/>
      </w:pPr>
      <w:r>
        <w:t>Define gross or net sales and the media-cost scope used for ROAS.</w:t>
      </w:r>
    </w:p>
    <w:p>
      <w:pPr>
        <w:pStyle w:val="ListBullet"/>
      </w:pPr>
      <w:r>
        <w:t>Keep Partner-reported attribution and Activate attribution separate. Attributed results show association, not causation.</w:t>
      </w:r>
    </w:p>
    <w:p>
      <w:pPr>
        <w:pStyle w:val="Heading2"/>
      </w:pPr>
      <w:r>
        <w:t>5.3 Incrementality methodology</w:t>
      </w:r>
    </w:p>
    <w:p>
      <w:pPr>
        <w:pStyle w:val="ListBullet"/>
      </w:pPr>
      <w:r>
        <w:t>Define eligible population, treatment and control assignment, unit of analysis, pre-period, campaign period and post-period before measurement.</w:t>
      </w:r>
    </w:p>
    <w:p>
      <w:pPr>
        <w:pStyle w:val="ListBullet"/>
      </w:pPr>
      <w:r>
        <w:t>Treatment assignment and actual exposure are different. A simple exposed-versus-unexposed comparison is not incrementality.</w:t>
      </w:r>
    </w:p>
    <w:p>
      <w:pPr>
        <w:pStyle w:val="ListBullet"/>
      </w:pPr>
      <w:r>
        <w:t>Treatment-assigned shoppers who are not exposed remain in the assigned group unless the approved method states otherwise.</w:t>
      </w:r>
    </w:p>
    <w:p>
      <w:pPr>
        <w:pStyle w:val="ListBullet"/>
      </w:pPr>
      <w:r>
        <w:t>Approved designs may include randomized control, partner-held control, Activate-held control, matched market, ghost ad or approved modelling. They are not interchangeable.</w:t>
      </w:r>
    </w:p>
    <w:p>
      <w:pPr>
        <w:pStyle w:val="ListBullet"/>
      </w:pPr>
      <w:r>
        <w:t>Disclose contamination, non-compliance, balance, coverage, minimum detectable effect where applicable, uncertainty and method version.</w:t>
      </w:r>
    </w:p>
    <w:p>
      <w:pPr>
        <w:pStyle w:val="ListBullet"/>
      </w:pPr>
      <w:r>
        <w:t>Data Science approval is required before a causal result is published. If the method fails, show Insufficient data or Data issue rather than a causal point estimate.</w:t>
      </w:r>
    </w:p>
    <w:p>
      <w:pPr>
        <w:pStyle w:val="Heading3"/>
      </w:pPr>
      <w:r>
        <w:t>5.3.1 Control group policy</w:t>
      </w:r>
    </w:p>
    <w:p>
      <w:pPr/>
      <w:r>
        <w:rPr>
          <w:sz w:val="21"/>
        </w:rPr>
        <w:t>The measurement design is chosen before the campaign runs. The design records the campaign, all linked Activate Segment IDs, original audience membership, product scope, outcome, pre-period, campaign period, conversion window, method version and approval status.</w:t>
      </w:r>
    </w:p>
    <w:p>
      <w:pPr/>
      <w:r>
        <w:rPr>
          <w:sz w:val="21"/>
        </w:rPr>
        <w:t>Aggregate-only channels use an Activate-held random control. Activate stores treatment and control assignments before activation. The partner receives treatment shoppers only. The method measures the effect of selection for activation. It does not claim that every treatment shopper saw an ad.</w:t>
      </w:r>
    </w:p>
    <w:p>
      <w:pPr/>
      <w:r>
        <w:rPr>
          <w:sz w:val="21"/>
        </w:rPr>
        <w:t>Shopper-level channels use a post-campaign matched control. Activate receives targeted shopper IDs, checks that each shopper belonged to the original audience, removes shoppers affected by relevant parallel campaigns, and selects comparable controls using only approved pre-campaign information.</w:t>
      </w:r>
    </w:p>
    <w:p>
      <w:pPr/>
      <w:r>
        <w:rPr>
          <w:sz w:val="21"/>
        </w:rPr>
        <w:t>The product must never calculate a causal result by comparing targeted shoppers with every shopper who was not targeted. The two groups may differ before the campaign.</w:t>
      </w:r>
    </w:p>
    <w:p>
      <w:pPr>
        <w:pStyle w:val="Heading3"/>
      </w:pPr>
      <w:r>
        <w:t>5.3.2 Quality and failure rules</w:t>
      </w:r>
    </w:p>
    <w:p>
      <w:pPr/>
      <w:r>
        <w:rPr>
          <w:sz w:val="21"/>
        </w:rPr>
        <w:t>Before publishing a causal result, the service checks the control design, contamination, pre-period balance, matching coverage where relevant, parallel-campaign exclusions, outcome completeness and the approved quality thresholds.</w:t>
      </w:r>
    </w:p>
    <w:p>
      <w:pPr/>
      <w:r>
        <w:rPr>
          <w:sz w:val="21"/>
        </w:rPr>
        <w:t>If the control cannot be created or the quality checks fail, the service shows Insufficient data or Data issue. It does not show an incremental-sales, lift or iROAS estimate.</w:t>
      </w:r>
    </w:p>
    <w:p>
      <w:pPr/>
      <w:r>
        <w:rPr>
          <w:sz w:val="21"/>
        </w:rPr>
        <w:t>Every causal result shows the method, population counts, period, product scope, assumptions, uncertainty, quality-gate result and method version.</w:t>
      </w:r>
    </w:p>
    <w:p>
      <w:pPr>
        <w:pStyle w:val="Heading2"/>
      </w:pPr>
      <w:r>
        <w:t>5.4 Financial and product-scope rules</w:t>
      </w:r>
    </w:p>
    <w:p>
      <w:pPr>
        <w:pStyle w:val="ListBullet"/>
      </w:pPr>
      <w:r>
        <w:t>Direct advertised-product, brand-halo, category-halo and cross-category outcomes remain separate.</w:t>
      </w:r>
    </w:p>
    <w:p>
      <w:pPr>
        <w:pStyle w:val="ListBullet"/>
      </w:pPr>
      <w:r>
        <w:t>Descriptive P&amp;L uses approved revenue, margin, spend, fee, discount, funding, currency and tax inputs. Missing inputs make the result unavailable.</w:t>
      </w:r>
    </w:p>
    <w:p>
      <w:pPr>
        <w:pStyle w:val="ListBullet"/>
      </w:pPr>
      <w:r>
        <w:t>Descriptive P&amp;L is not incremental profit. Incremental margin, profit and iROAS require an approved causal result.</w:t>
      </w:r>
    </w:p>
    <w:p>
      <w:pPr>
        <w:pStyle w:val="Heading2"/>
      </w:pPr>
      <w:r>
        <w:t>5.5 Creative, basket and cross-channel rules</w:t>
      </w:r>
    </w:p>
    <w:p>
      <w:pPr>
        <w:pStyle w:val="ListBullet"/>
      </w:pPr>
      <w:r>
        <w:t>Creative reporting requires a stable creative ID and version plus placement and product mappings.</w:t>
      </w:r>
    </w:p>
    <w:p>
      <w:pPr>
        <w:pStyle w:val="ListBullet"/>
      </w:pPr>
      <w:r>
        <w:t>Basket analysis defines the eligible basket, product associations, returns and privacy thresholds. Association is not causation.</w:t>
      </w:r>
    </w:p>
    <w:p>
      <w:pPr>
        <w:pStyle w:val="ListBullet"/>
      </w:pPr>
      <w:r>
        <w:t>Cross-channel results show channel-specific values first and prevent duplicate reach, buyers, sales or ROAS from being added without an approved de-duplication rule.</w:t>
      </w:r>
    </w:p>
    <w:p>
      <w:pPr>
        <w:pStyle w:val="Heading2"/>
      </w:pPr>
      <w:r>
        <w:t>5.6 Market Data Integration and Intelligence</w:t>
      </w:r>
    </w:p>
    <w:p>
      <w:pPr>
        <w:pStyle w:val="ListBullet"/>
      </w:pPr>
      <w:r>
        <w:t>Separate executing-retailer sales, outside-retailer sales and total measured-market sales.</w:t>
      </w:r>
    </w:p>
    <w:p>
      <w:pPr>
        <w:pStyle w:val="ListBullet"/>
      </w:pPr>
      <w:r>
        <w:t>Align taxonomy, geography, period, currency, sales basis, coverage and data version before comparison.</w:t>
      </w:r>
    </w:p>
    <w:p>
      <w:pPr>
        <w:pStyle w:val="ListBullet"/>
      </w:pPr>
      <w:r>
        <w:t>Show source, coverage, weighting or projection method, latency, rights and version with the market result.</w:t>
      </w:r>
    </w:p>
    <w:p>
      <w:pPr>
        <w:pStyle w:val="ListBullet"/>
      </w:pPr>
      <w:r>
        <w:t>Market context is descriptive. It is not campaign impact unless an approved causal method supports that claim.</w:t>
      </w:r>
    </w:p>
    <w:p>
      <w:pPr>
        <w:pStyle w:val="ListBullet"/>
      </w:pPr>
      <w:r>
        <w:t>Phase 2 adds descriptive market context and benchmarks. Phase 3 may add rest-of-market and market-level causal outcomes.</w:t>
      </w:r>
    </w:p>
    <w:p>
      <w:pPr>
        <w:pStyle w:val="Heading2"/>
      </w:pPr>
      <w:r>
        <w:t>5.7 Integrated Commerce Measurement</w:t>
      </w:r>
    </w:p>
    <w:p>
      <w:pPr>
        <w:pStyle w:val="ListBullet"/>
      </w:pPr>
      <w:r>
        <w:t>Measure Retail Media, Personalized Offers and promotions separately before creating a combined view.</w:t>
      </w:r>
    </w:p>
    <w:p>
      <w:pPr>
        <w:pStyle w:val="ListBullet"/>
      </w:pPr>
      <w:r>
        <w:t>Personalized Offers may use shopper-level receipt, activation and redemption. Broad promotions may only provide product, price, store and time context. Do not treat them as equivalent exposures.</w:t>
      </w:r>
    </w:p>
    <w:p>
      <w:pPr>
        <w:pStyle w:val="ListBullet"/>
      </w:pPr>
      <w:r>
        <w:t>Preserve media spend, discount cost, supplier funding, retailer funding, margin and other costs separately.</w:t>
      </w:r>
    </w:p>
    <w:p>
      <w:pPr>
        <w:pStyle w:val="ListBullet"/>
      </w:pPr>
      <w:r>
        <w:t>Future combined measurement may compare Media only, Offer only, Media plus Offer, and Neither when a valid design exists.</w:t>
      </w:r>
    </w:p>
    <w:p>
      <w:pPr>
        <w:pStyle w:val="ListBullet"/>
      </w:pPr>
      <w:r>
        <w:t>Do not add attributed or incremental outcomes when the same shopper or purchase may be counted more than once.</w:t>
      </w:r>
    </w:p>
    <w:p>
      <w:pPr>
        <w:pStyle w:val="ListBullet"/>
      </w:pPr>
      <w:r>
        <w:t>The integrated view must clearly distinguish standalone effect, combined effect and interaction effect.</w:t>
      </w:r>
    </w:p>
    <w:p>
      <w:pPr>
        <w:pStyle w:val="Heading2"/>
      </w:pPr>
      <w:r>
        <w:t>5.8 Governance and authority</w:t>
      </w:r>
    </w:p>
    <w:p>
      <w:pPr>
        <w:pStyle w:val="ListBullet"/>
      </w:pPr>
      <w:r>
        <w:t>The Product Bible owns product vision, policy and feature behavior.</w:t>
      </w:r>
    </w:p>
    <w:p>
      <w:pPr>
        <w:pStyle w:val="ListBullet"/>
      </w:pPr>
      <w:r>
        <w:t>The KPI Catalogue owns KPI definitions, formulas, scope, grain, inputs, formats and availability rules.</w:t>
      </w:r>
    </w:p>
    <w:p>
      <w:pPr>
        <w:pStyle w:val="ListBullet"/>
      </w:pPr>
      <w:r>
        <w:t>The Data Contract owns entities, identifiers, schemas, mappings, revisions and quality thresholds.</w:t>
      </w:r>
    </w:p>
    <w:p>
      <w:pPr>
        <w:pStyle w:val="ListBullet"/>
      </w:pPr>
      <w:r>
        <w:t>The Design Specification owns screens, interactions, states and feature placement.</w:t>
      </w:r>
    </w:p>
    <w:p>
      <w:pPr>
        <w:pStyle w:val="ListBullet"/>
      </w:pPr>
      <w:r>
        <w:t>Data Science owns approved causal methodology, diagnostics and uncertainty implementation.</w:t>
      </w:r>
    </w:p>
    <w:p>
      <w:pPr>
        <w:pStyle w:val="ListBullet"/>
      </w:pPr>
      <w:r>
        <w:t>The designated business or governance approver owns result approval and sharing eligibility.</w:t>
      </w:r>
    </w:p>
    <w:p>
      <w:pPr>
        <w:pStyle w:val="ListBullet"/>
      </w:pPr>
      <w:r>
        <w:t>One published result version is used across Overview, Campaign Story, Explorer, exports and APIs. Published results are never silently overwritten.</w:t>
      </w:r>
    </w:p>
    <w:p>
      <w:pPr>
        <w:pStyle w:val="Heading2"/>
      </w:pPr>
      <w:r>
        <w:t>5.9 Access, sharing and decision support</w:t>
      </w:r>
    </w:p>
    <w:p>
      <w:pPr>
        <w:pStyle w:val="ListBullet"/>
      </w:pPr>
      <w:r>
        <w:t>Access is checked at menu, route, result, export and shared-link level.</w:t>
      </w:r>
    </w:p>
    <w:p>
      <w:pPr>
        <w:pStyle w:val="ListBullet"/>
      </w:pPr>
      <w:r>
        <w:t>External outputs remain aggregate and never include shopper identifiers.</w:t>
      </w:r>
    </w:p>
    <w:p>
      <w:pPr>
        <w:pStyle w:val="ListBullet"/>
      </w:pPr>
      <w:r>
        <w:t>Automated insights and recommendations disclose their evidence and method and never overwrite the approved result.</w:t>
      </w:r>
    </w:p>
    <w:p>
      <w:pPr>
        <w:pStyle w:val="Heading1"/>
      </w:pPr>
      <w:r>
        <w:t>6. Product experience</w:t>
      </w:r>
    </w:p>
    <w:tbl>
      <w:tblPr>
        <w:tblStyle w:val="TableGrid"/>
        <w:tblW w:type="auto" w:w="0"/>
        <w:tblLook w:firstColumn="1" w:firstRow="1" w:lastColumn="0" w:lastRow="0" w:noHBand="0" w:noVBand="1" w:val="04A0"/>
      </w:tblPr>
      <w:tblGrid>
        <w:gridCol w:w="10166"/>
      </w:tblGrid>
      <w:tr>
        <w:tc>
          <w:tcPr>
            <w:tcW w:type="dxa" w:w="10166"/>
            <w:shd w:fill="EAF2F3"/>
            <w:vAlign w:val="center"/>
            <w:tcMar>
              <w:top w:w="150" w:type="dxa"/>
              <w:start w:w="150" w:type="dxa"/>
              <w:bottom w:w="150" w:type="dxa"/>
              <w:end w:w="150" w:type="dxa"/>
            </w:tcMar>
          </w:tcPr>
          <w:p>
            <w:r>
              <w:t>Experience strategy</w:t>
              <w:br/>
              <w:t>The product keeps three primary experiences. A feature is placed where it best supports the user's question. A new feature does not automatically create a new report.</w:t>
            </w:r>
          </w:p>
        </w:tc>
      </w:tr>
    </w:tbl>
    <w:p/>
    <w:p>
      <w:pPr>
        <w:pStyle w:val="Heading2"/>
      </w:pPr>
      <w:r>
        <w:t>6.1 Retail Media Overview</w:t>
      </w:r>
    </w:p>
    <w:p>
      <w:r>
        <w:rPr>
          <w:sz w:val="21"/>
        </w:rPr>
        <w:t>The Overview answers: Where should I focus, and what is driving portfolio performance?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8B92"/>
            <w:vAlign w:val="center"/>
            <w:tcMar>
              <w:top w:w="100" w:type="dxa"/>
              <w:start w:w="100" w:type="dxa"/>
              <w:bottom w:w="100" w:type="dxa"/>
              <w:end w:w="100" w:type="dxa"/>
            </w:tcMar>
          </w:tcPr>
          <w:p>
            <w:r>
              <w:t>Module</w:t>
            </w:r>
          </w:p>
        </w:tc>
        <w:tc>
          <w:tcPr>
            <w:tcW w:type="dxa" w:w="3389"/>
            <w:shd w:fill="168B92"/>
            <w:vAlign w:val="center"/>
            <w:tcMar>
              <w:top w:w="100" w:type="dxa"/>
              <w:start w:w="100" w:type="dxa"/>
              <w:bottom w:w="100" w:type="dxa"/>
              <w:end w:w="100" w:type="dxa"/>
            </w:tcMar>
          </w:tcPr>
          <w:p>
            <w:r>
              <w:t>Purpose</w:t>
            </w:r>
          </w:p>
        </w:tc>
        <w:tc>
          <w:tcPr>
            <w:tcW w:type="dxa" w:w="3389"/>
            <w:shd w:fill="168B92"/>
            <w:vAlign w:val="center"/>
            <w:tcMar>
              <w:top w:w="100" w:type="dxa"/>
              <w:start w:w="100" w:type="dxa"/>
              <w:bottom w:w="100" w:type="dxa"/>
              <w:end w:w="100" w:type="dxa"/>
            </w:tcMar>
          </w:tcPr>
          <w:p>
            <w:r>
              <w:t>Feature IDs</w:t>
            </w:r>
          </w:p>
        </w:tc>
      </w:tr>
      <w:tr>
        <w:tc>
          <w:tcPr>
            <w:tcW w:type="dxa" w:w="3389"/>
            <w:shd w:fill="FFFFFF"/>
            <w:vAlign w:val="center"/>
            <w:tcMar>
              <w:top w:w="100" w:type="dxa"/>
              <w:start w:w="100" w:type="dxa"/>
              <w:bottom w:w="100" w:type="dxa"/>
              <w:end w:w="100" w:type="dxa"/>
            </w:tcMar>
          </w:tcPr>
          <w:p>
            <w:r>
              <w:t>Campaign portfolio</w:t>
            </w:r>
          </w:p>
        </w:tc>
        <w:tc>
          <w:tcPr>
            <w:tcW w:type="dxa" w:w="3389"/>
            <w:shd w:fill="FFFFFF"/>
            <w:vAlign w:val="center"/>
            <w:tcMar>
              <w:top w:w="100" w:type="dxa"/>
              <w:start w:w="100" w:type="dxa"/>
              <w:bottom w:w="100" w:type="dxa"/>
              <w:end w:w="100" w:type="dxa"/>
            </w:tcMar>
          </w:tcPr>
          <w:p>
            <w:r>
              <w:t>Find active, recent, ready and attention-needed campaigns.</w:t>
            </w:r>
          </w:p>
        </w:tc>
        <w:tc>
          <w:tcPr>
            <w:tcW w:type="dxa" w:w="3389"/>
            <w:shd w:fill="FFFFFF"/>
            <w:vAlign w:val="center"/>
            <w:tcMar>
              <w:top w:w="100" w:type="dxa"/>
              <w:start w:w="100" w:type="dxa"/>
              <w:bottom w:w="100" w:type="dxa"/>
              <w:end w:w="100" w:type="dxa"/>
            </w:tcMar>
          </w:tcPr>
          <w:p>
            <w:r>
              <w:t>F01, F02, F19</w:t>
            </w:r>
          </w:p>
        </w:tc>
      </w:tr>
      <w:tr>
        <w:tc>
          <w:tcPr>
            <w:tcW w:type="dxa" w:w="3389"/>
            <w:shd w:fill="F7F9FA"/>
            <w:vAlign w:val="center"/>
            <w:tcMar>
              <w:top w:w="100" w:type="dxa"/>
              <w:start w:w="100" w:type="dxa"/>
              <w:bottom w:w="100" w:type="dxa"/>
              <w:end w:w="100" w:type="dxa"/>
            </w:tcMar>
          </w:tcPr>
          <w:p>
            <w:r>
              <w:t>Core scorecard</w:t>
            </w:r>
          </w:p>
        </w:tc>
        <w:tc>
          <w:tcPr>
            <w:tcW w:type="dxa" w:w="3389"/>
            <w:shd w:fill="F7F9FA"/>
            <w:vAlign w:val="center"/>
            <w:tcMar>
              <w:top w:w="100" w:type="dxa"/>
              <w:start w:w="100" w:type="dxa"/>
              <w:bottom w:w="100" w:type="dxa"/>
              <w:end w:w="100" w:type="dxa"/>
            </w:tcMar>
          </w:tcPr>
          <w:p>
            <w:r>
              <w:t>Show comparable approved KPIs for the selected campaign set.</w:t>
            </w:r>
          </w:p>
        </w:tc>
        <w:tc>
          <w:tcPr>
            <w:tcW w:type="dxa" w:w="3389"/>
            <w:shd w:fill="F7F9FA"/>
            <w:vAlign w:val="center"/>
            <w:tcMar>
              <w:top w:w="100" w:type="dxa"/>
              <w:start w:w="100" w:type="dxa"/>
              <w:bottom w:w="100" w:type="dxa"/>
              <w:end w:w="100" w:type="dxa"/>
            </w:tcMar>
          </w:tcPr>
          <w:p>
            <w:r>
              <w:t>F05, F06, F08</w:t>
            </w:r>
          </w:p>
        </w:tc>
      </w:tr>
      <w:tr>
        <w:tc>
          <w:tcPr>
            <w:tcW w:type="dxa" w:w="3389"/>
            <w:shd w:fill="FFFFFF"/>
            <w:vAlign w:val="center"/>
            <w:tcMar>
              <w:top w:w="100" w:type="dxa"/>
              <w:start w:w="100" w:type="dxa"/>
              <w:bottom w:w="100" w:type="dxa"/>
              <w:end w:w="100" w:type="dxa"/>
            </w:tcMar>
          </w:tcPr>
          <w:p>
            <w:r>
              <w:t>Financial performance</w:t>
            </w:r>
          </w:p>
        </w:tc>
        <w:tc>
          <w:tcPr>
            <w:tcW w:type="dxa" w:w="3389"/>
            <w:shd w:fill="FFFFFF"/>
            <w:vAlign w:val="center"/>
            <w:tcMar>
              <w:top w:w="100" w:type="dxa"/>
              <w:start w:w="100" w:type="dxa"/>
              <w:bottom w:w="100" w:type="dxa"/>
              <w:end w:w="100" w:type="dxa"/>
            </w:tcMar>
          </w:tcPr>
          <w:p>
            <w:r>
              <w:t>Show optional sales, margin, spend, P&amp;L and value decomposition.</w:t>
            </w:r>
          </w:p>
        </w:tc>
        <w:tc>
          <w:tcPr>
            <w:tcW w:type="dxa" w:w="3389"/>
            <w:shd w:fill="FFFFFF"/>
            <w:vAlign w:val="center"/>
            <w:tcMar>
              <w:top w:w="100" w:type="dxa"/>
              <w:start w:w="100" w:type="dxa"/>
              <w:bottom w:w="100" w:type="dxa"/>
              <w:end w:w="100" w:type="dxa"/>
            </w:tcMar>
          </w:tcPr>
          <w:p>
            <w:r>
              <w:t>F10</w:t>
            </w:r>
          </w:p>
        </w:tc>
      </w:tr>
      <w:tr>
        <w:tc>
          <w:tcPr>
            <w:tcW w:type="dxa" w:w="3389"/>
            <w:shd w:fill="F7F9FA"/>
            <w:vAlign w:val="center"/>
            <w:tcMar>
              <w:top w:w="100" w:type="dxa"/>
              <w:start w:w="100" w:type="dxa"/>
              <w:bottom w:w="100" w:type="dxa"/>
              <w:end w:w="100" w:type="dxa"/>
            </w:tcMar>
          </w:tcPr>
          <w:p>
            <w:r>
              <w:t>Delivery and data health</w:t>
            </w:r>
          </w:p>
        </w:tc>
        <w:tc>
          <w:tcPr>
            <w:tcW w:type="dxa" w:w="3389"/>
            <w:shd w:fill="F7F9FA"/>
            <w:vAlign w:val="center"/>
            <w:tcMar>
              <w:top w:w="100" w:type="dxa"/>
              <w:start w:w="100" w:type="dxa"/>
              <w:bottom w:w="100" w:type="dxa"/>
              <w:end w:w="100" w:type="dxa"/>
            </w:tcMar>
          </w:tcPr>
          <w:p>
            <w:r>
              <w:t>Show pacing, reconciliation, feed health and match issues.</w:t>
            </w:r>
          </w:p>
        </w:tc>
        <w:tc>
          <w:tcPr>
            <w:tcW w:type="dxa" w:w="3389"/>
            <w:shd w:fill="F7F9FA"/>
            <w:vAlign w:val="center"/>
            <w:tcMar>
              <w:top w:w="100" w:type="dxa"/>
              <w:start w:w="100" w:type="dxa"/>
              <w:bottom w:w="100" w:type="dxa"/>
              <w:end w:w="100" w:type="dxa"/>
            </w:tcMar>
          </w:tcPr>
          <w:p>
            <w:r>
              <w:t>F17</w:t>
            </w:r>
          </w:p>
        </w:tc>
      </w:tr>
      <w:tr>
        <w:tc>
          <w:tcPr>
            <w:tcW w:type="dxa" w:w="3389"/>
            <w:shd w:fill="FFFFFF"/>
            <w:vAlign w:val="center"/>
            <w:tcMar>
              <w:top w:w="100" w:type="dxa"/>
              <w:start w:w="100" w:type="dxa"/>
              <w:bottom w:w="100" w:type="dxa"/>
              <w:end w:w="100" w:type="dxa"/>
            </w:tcMar>
          </w:tcPr>
          <w:p>
            <w:r>
              <w:t>Cross-channel summary</w:t>
            </w:r>
          </w:p>
        </w:tc>
        <w:tc>
          <w:tcPr>
            <w:tcW w:type="dxa" w:w="3389"/>
            <w:shd w:fill="FFFFFF"/>
            <w:vAlign w:val="center"/>
            <w:tcMar>
              <w:top w:w="100" w:type="dxa"/>
              <w:start w:w="100" w:type="dxa"/>
              <w:bottom w:w="100" w:type="dxa"/>
              <w:end w:w="100" w:type="dxa"/>
            </w:tcMar>
          </w:tcPr>
          <w:p>
            <w:r>
              <w:t>Show channel results and deduplicated reach when supported.</w:t>
            </w:r>
          </w:p>
        </w:tc>
        <w:tc>
          <w:tcPr>
            <w:tcW w:type="dxa" w:w="3389"/>
            <w:shd w:fill="FFFFFF"/>
            <w:vAlign w:val="center"/>
            <w:tcMar>
              <w:top w:w="100" w:type="dxa"/>
              <w:start w:w="100" w:type="dxa"/>
              <w:bottom w:w="100" w:type="dxa"/>
              <w:end w:w="100" w:type="dxa"/>
            </w:tcMar>
          </w:tcPr>
          <w:p>
            <w:r>
              <w:t>F13</w:t>
            </w:r>
          </w:p>
        </w:tc>
      </w:tr>
      <w:tr>
        <w:tc>
          <w:tcPr>
            <w:tcW w:type="dxa" w:w="3389"/>
            <w:shd w:fill="F7F9FA"/>
            <w:vAlign w:val="center"/>
            <w:tcMar>
              <w:top w:w="100" w:type="dxa"/>
              <w:start w:w="100" w:type="dxa"/>
              <w:bottom w:w="100" w:type="dxa"/>
              <w:end w:w="100" w:type="dxa"/>
            </w:tcMar>
          </w:tcPr>
          <w:p>
            <w:r>
              <w:t>Benchmarks and market context</w:t>
            </w:r>
          </w:p>
        </w:tc>
        <w:tc>
          <w:tcPr>
            <w:tcW w:type="dxa" w:w="3389"/>
            <w:shd w:fill="F7F9FA"/>
            <w:vAlign w:val="center"/>
            <w:tcMar>
              <w:top w:w="100" w:type="dxa"/>
              <w:start w:w="100" w:type="dxa"/>
              <w:bottom w:w="100" w:type="dxa"/>
              <w:end w:w="100" w:type="dxa"/>
            </w:tcMar>
          </w:tcPr>
          <w:p>
            <w:r>
              <w:t>Show approved norms and future rest-of-market context.</w:t>
            </w:r>
          </w:p>
        </w:tc>
        <w:tc>
          <w:tcPr>
            <w:tcW w:type="dxa" w:w="3389"/>
            <w:shd w:fill="F7F9FA"/>
            <w:vAlign w:val="center"/>
            <w:tcMar>
              <w:top w:w="100" w:type="dxa"/>
              <w:start w:w="100" w:type="dxa"/>
              <w:bottom w:w="100" w:type="dxa"/>
              <w:end w:w="100" w:type="dxa"/>
            </w:tcMar>
          </w:tcPr>
          <w:p>
            <w:r>
              <w:t>F11, F16</w:t>
            </w:r>
          </w:p>
        </w:tc>
      </w:tr>
      <w:tr>
        <w:tc>
          <w:tcPr>
            <w:tcW w:type="dxa" w:w="3389"/>
            <w:shd w:fill="FFFFFF"/>
            <w:vAlign w:val="center"/>
            <w:tcMar>
              <w:top w:w="100" w:type="dxa"/>
              <w:start w:w="100" w:type="dxa"/>
              <w:bottom w:w="100" w:type="dxa"/>
              <w:end w:w="100" w:type="dxa"/>
            </w:tcMar>
          </w:tcPr>
          <w:p>
            <w:r>
              <w:t>Opportunity indicators</w:t>
            </w:r>
          </w:p>
        </w:tc>
        <w:tc>
          <w:tcPr>
            <w:tcW w:type="dxa" w:w="3389"/>
            <w:shd w:fill="FFFFFF"/>
            <w:vAlign w:val="center"/>
            <w:tcMar>
              <w:top w:w="100" w:type="dxa"/>
              <w:start w:w="100" w:type="dxa"/>
              <w:bottom w:w="100" w:type="dxa"/>
              <w:end w:w="100" w:type="dxa"/>
            </w:tcMar>
          </w:tcPr>
          <w:p>
            <w:r>
              <w:t>Show future search-demand, inventory and yield opportunities.</w:t>
            </w:r>
          </w:p>
        </w:tc>
        <w:tc>
          <w:tcPr>
            <w:tcW w:type="dxa" w:w="3389"/>
            <w:shd w:fill="FFFFFF"/>
            <w:vAlign w:val="center"/>
            <w:tcMar>
              <w:top w:w="100" w:type="dxa"/>
              <w:start w:w="100" w:type="dxa"/>
              <w:bottom w:w="100" w:type="dxa"/>
              <w:end w:w="100" w:type="dxa"/>
            </w:tcMar>
          </w:tcPr>
          <w:p>
            <w:r>
              <w:t>F18</w:t>
            </w:r>
          </w:p>
        </w:tc>
      </w:tr>
    </w:tbl>
    <w:p/>
    <w:p>
      <w:pPr>
        <w:pStyle w:val="ListBullet"/>
      </w:pPr>
      <w:r>
        <w:t>Filters update every module together.</w:t>
      </w:r>
    </w:p>
    <w:p>
      <w:pPr>
        <w:pStyle w:val="ListBullet"/>
      </w:pPr>
      <w:r>
        <w:t>Portfolio totals are shown only when KPIs are compatible and additive.</w:t>
      </w:r>
    </w:p>
    <w:p>
      <w:pPr>
        <w:pStyle w:val="ListBullet"/>
      </w:pPr>
      <w:r>
        <w:t>Shopper-based measures are not summed across campaigns without an approved deduplication rule.</w:t>
      </w:r>
    </w:p>
    <w:p>
      <w:pPr>
        <w:pStyle w:val="ListBullet"/>
      </w:pPr>
      <w:r>
        <w:t>Unavailable modules explain why they are not enabled.</w:t>
      </w:r>
    </w:p>
    <w:p>
      <w:pPr>
        <w:pStyle w:val="Heading2"/>
      </w:pPr>
      <w:r>
        <w:t>6.2 Campaign Story</w:t>
      </w:r>
    </w:p>
    <w:p>
      <w:r>
        <w:rPr>
          <w:sz w:val="21"/>
        </w:rPr>
        <w:t>The Campaign Story answers: What happened in this campaign, what evidence supports it, and what can we conclude?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8B92"/>
            <w:vAlign w:val="center"/>
            <w:tcMar>
              <w:top w:w="100" w:type="dxa"/>
              <w:start w:w="100" w:type="dxa"/>
              <w:bottom w:w="100" w:type="dxa"/>
              <w:end w:w="100" w:type="dxa"/>
            </w:tcMar>
          </w:tcPr>
          <w:p>
            <w:r>
              <w:t>Story section</w:t>
            </w:r>
          </w:p>
        </w:tc>
        <w:tc>
          <w:tcPr>
            <w:tcW w:type="dxa" w:w="3389"/>
            <w:shd w:fill="168B92"/>
            <w:vAlign w:val="center"/>
            <w:tcMar>
              <w:top w:w="100" w:type="dxa"/>
              <w:start w:w="100" w:type="dxa"/>
              <w:bottom w:w="100" w:type="dxa"/>
              <w:end w:w="100" w:type="dxa"/>
            </w:tcMar>
          </w:tcPr>
          <w:p>
            <w:r>
              <w:t>Question</w:t>
            </w:r>
          </w:p>
        </w:tc>
        <w:tc>
          <w:tcPr>
            <w:tcW w:type="dxa" w:w="3389"/>
            <w:shd w:fill="168B92"/>
            <w:vAlign w:val="center"/>
            <w:tcMar>
              <w:top w:w="100" w:type="dxa"/>
              <w:start w:w="100" w:type="dxa"/>
              <w:bottom w:w="100" w:type="dxa"/>
              <w:end w:w="100" w:type="dxa"/>
            </w:tcMar>
          </w:tcPr>
          <w:p>
            <w:r>
              <w:t>Phase</w:t>
            </w:r>
          </w:p>
        </w:tc>
      </w:tr>
      <w:tr>
        <w:tc>
          <w:tcPr>
            <w:tcW w:type="dxa" w:w="3389"/>
            <w:shd w:fill="FFFFFF"/>
            <w:vAlign w:val="center"/>
            <w:tcMar>
              <w:top w:w="100" w:type="dxa"/>
              <w:start w:w="100" w:type="dxa"/>
              <w:bottom w:w="100" w:type="dxa"/>
              <w:end w:w="100" w:type="dxa"/>
            </w:tcMar>
          </w:tcPr>
          <w:p>
            <w:r>
              <w:t>Campaign setup</w:t>
            </w:r>
          </w:p>
        </w:tc>
        <w:tc>
          <w:tcPr>
            <w:tcW w:type="dxa" w:w="3389"/>
            <w:shd w:fill="FFFFFF"/>
            <w:vAlign w:val="center"/>
            <w:tcMar>
              <w:top w:w="100" w:type="dxa"/>
              <w:start w:w="100" w:type="dxa"/>
              <w:bottom w:w="100" w:type="dxa"/>
              <w:end w:w="100" w:type="dxa"/>
            </w:tcMar>
          </w:tcPr>
          <w:p>
            <w:r>
              <w:t>What was planned and measured?</w:t>
            </w:r>
          </w:p>
        </w:tc>
        <w:tc>
          <w:tcPr>
            <w:tcW w:type="dxa" w:w="3389"/>
            <w:shd w:fill="FFFFFF"/>
            <w:vAlign w:val="center"/>
            <w:tcMar>
              <w:top w:w="100" w:type="dxa"/>
              <w:start w:w="100" w:type="dxa"/>
              <w:bottom w:w="100" w:type="dxa"/>
              <w:end w:w="100" w:type="dxa"/>
            </w:tcMar>
          </w:tcPr>
          <w:p>
            <w:r>
              <w:t>Phase 1</w:t>
            </w:r>
          </w:p>
        </w:tc>
      </w:tr>
      <w:tr>
        <w:tc>
          <w:tcPr>
            <w:tcW w:type="dxa" w:w="3389"/>
            <w:shd w:fill="F7F9FA"/>
            <w:vAlign w:val="center"/>
            <w:tcMar>
              <w:top w:w="100" w:type="dxa"/>
              <w:start w:w="100" w:type="dxa"/>
              <w:bottom w:w="100" w:type="dxa"/>
              <w:end w:w="100" w:type="dxa"/>
            </w:tcMar>
          </w:tcPr>
          <w:p>
            <w:r>
              <w:t>Audience and reach</w:t>
            </w:r>
          </w:p>
        </w:tc>
        <w:tc>
          <w:tcPr>
            <w:tcW w:type="dxa" w:w="3389"/>
            <w:shd w:fill="F7F9FA"/>
            <w:vAlign w:val="center"/>
            <w:tcMar>
              <w:top w:w="100" w:type="dxa"/>
              <w:start w:w="100" w:type="dxa"/>
              <w:bottom w:w="100" w:type="dxa"/>
              <w:end w:w="100" w:type="dxa"/>
            </w:tcMar>
          </w:tcPr>
          <w:p>
            <w:r>
              <w:t>Who was selected, matched and reached?</w:t>
            </w:r>
          </w:p>
        </w:tc>
        <w:tc>
          <w:tcPr>
            <w:tcW w:type="dxa" w:w="3389"/>
            <w:shd w:fill="F7F9FA"/>
            <w:vAlign w:val="center"/>
            <w:tcMar>
              <w:top w:w="100" w:type="dxa"/>
              <w:start w:w="100" w:type="dxa"/>
              <w:bottom w:w="100" w:type="dxa"/>
              <w:end w:w="100" w:type="dxa"/>
            </w:tcMar>
          </w:tcPr>
          <w:p>
            <w:r>
              <w:t>Phase 1 conditional</w:t>
            </w:r>
          </w:p>
        </w:tc>
      </w:tr>
      <w:tr>
        <w:tc>
          <w:tcPr>
            <w:tcW w:type="dxa" w:w="3389"/>
            <w:shd w:fill="FFFFFF"/>
            <w:vAlign w:val="center"/>
            <w:tcMar>
              <w:top w:w="100" w:type="dxa"/>
              <w:start w:w="100" w:type="dxa"/>
              <w:bottom w:w="100" w:type="dxa"/>
              <w:end w:w="100" w:type="dxa"/>
            </w:tcMar>
          </w:tcPr>
          <w:p>
            <w:r>
              <w:t>Media delivery</w:t>
            </w:r>
          </w:p>
        </w:tc>
        <w:tc>
          <w:tcPr>
            <w:tcW w:type="dxa" w:w="3389"/>
            <w:shd w:fill="FFFFFF"/>
            <w:vAlign w:val="center"/>
            <w:tcMar>
              <w:top w:w="100" w:type="dxa"/>
              <w:start w:w="100" w:type="dxa"/>
              <w:bottom w:w="100" w:type="dxa"/>
              <w:end w:w="100" w:type="dxa"/>
            </w:tcMar>
          </w:tcPr>
          <w:p>
            <w:r>
              <w:t>What did the media deliver?</w:t>
            </w:r>
          </w:p>
        </w:tc>
        <w:tc>
          <w:tcPr>
            <w:tcW w:type="dxa" w:w="3389"/>
            <w:shd w:fill="FFFFFF"/>
            <w:vAlign w:val="center"/>
            <w:tcMar>
              <w:top w:w="100" w:type="dxa"/>
              <w:start w:w="100" w:type="dxa"/>
              <w:bottom w:w="100" w:type="dxa"/>
              <w:end w:w="100" w:type="dxa"/>
            </w:tcMar>
          </w:tcPr>
          <w:p>
            <w:r>
              <w:t>Phase 1 conditional</w:t>
            </w:r>
          </w:p>
        </w:tc>
      </w:tr>
      <w:tr>
        <w:tc>
          <w:tcPr>
            <w:tcW w:type="dxa" w:w="3389"/>
            <w:shd w:fill="F7F9FA"/>
            <w:vAlign w:val="center"/>
            <w:tcMar>
              <w:top w:w="100" w:type="dxa"/>
              <w:start w:w="100" w:type="dxa"/>
              <w:bottom w:w="100" w:type="dxa"/>
              <w:end w:w="100" w:type="dxa"/>
            </w:tcMar>
          </w:tcPr>
          <w:p>
            <w:r>
              <w:t>Campaign progress</w:t>
            </w:r>
          </w:p>
        </w:tc>
        <w:tc>
          <w:tcPr>
            <w:tcW w:type="dxa" w:w="3389"/>
            <w:shd w:fill="F7F9FA"/>
            <w:vAlign w:val="center"/>
            <w:tcMar>
              <w:top w:w="100" w:type="dxa"/>
              <w:start w:w="100" w:type="dxa"/>
              <w:bottom w:w="100" w:type="dxa"/>
              <w:end w:w="100" w:type="dxa"/>
            </w:tcMar>
          </w:tcPr>
          <w:p>
            <w:r>
              <w:t>How did delivery and data change over time?</w:t>
            </w:r>
          </w:p>
        </w:tc>
        <w:tc>
          <w:tcPr>
            <w:tcW w:type="dxa" w:w="3389"/>
            <w:shd w:fill="F7F9FA"/>
            <w:vAlign w:val="center"/>
            <w:tcMar>
              <w:top w:w="100" w:type="dxa"/>
              <w:start w:w="100" w:type="dxa"/>
              <w:bottom w:w="100" w:type="dxa"/>
              <w:end w:w="100" w:type="dxa"/>
            </w:tcMar>
          </w:tcPr>
          <w:p>
            <w:r>
              <w:t>Phase 1/2</w:t>
            </w:r>
          </w:p>
        </w:tc>
      </w:tr>
      <w:tr>
        <w:tc>
          <w:tcPr>
            <w:tcW w:type="dxa" w:w="3389"/>
            <w:shd w:fill="FFFFFF"/>
            <w:vAlign w:val="center"/>
            <w:tcMar>
              <w:top w:w="100" w:type="dxa"/>
              <w:start w:w="100" w:type="dxa"/>
              <w:bottom w:w="100" w:type="dxa"/>
              <w:end w:w="100" w:type="dxa"/>
            </w:tcMar>
          </w:tcPr>
          <w:p>
            <w:r>
              <w:t>Purchase outcomes</w:t>
            </w:r>
          </w:p>
        </w:tc>
        <w:tc>
          <w:tcPr>
            <w:tcW w:type="dxa" w:w="3389"/>
            <w:shd w:fill="FFFFFF"/>
            <w:vAlign w:val="center"/>
            <w:tcMar>
              <w:top w:w="100" w:type="dxa"/>
              <w:start w:w="100" w:type="dxa"/>
              <w:bottom w:w="100" w:type="dxa"/>
              <w:end w:w="100" w:type="dxa"/>
            </w:tcMar>
          </w:tcPr>
          <w:p>
            <w:r>
              <w:t>What did the selected audience buy?</w:t>
            </w:r>
          </w:p>
        </w:tc>
        <w:tc>
          <w:tcPr>
            <w:tcW w:type="dxa" w:w="3389"/>
            <w:shd w:fill="FFFFFF"/>
            <w:vAlign w:val="center"/>
            <w:tcMar>
              <w:top w:w="100" w:type="dxa"/>
              <w:start w:w="100" w:type="dxa"/>
              <w:bottom w:w="100" w:type="dxa"/>
              <w:end w:w="100" w:type="dxa"/>
            </w:tcMar>
          </w:tcPr>
          <w:p>
            <w:r>
              <w:t>Phase 1</w:t>
            </w:r>
          </w:p>
        </w:tc>
      </w:tr>
      <w:tr>
        <w:tc>
          <w:tcPr>
            <w:tcW w:type="dxa" w:w="3389"/>
            <w:shd w:fill="F7F9FA"/>
            <w:vAlign w:val="center"/>
            <w:tcMar>
              <w:top w:w="100" w:type="dxa"/>
              <w:start w:w="100" w:type="dxa"/>
              <w:bottom w:w="100" w:type="dxa"/>
              <w:end w:w="100" w:type="dxa"/>
            </w:tcMar>
          </w:tcPr>
          <w:p>
            <w:r>
              <w:t>Basket and halo</w:t>
            </w:r>
          </w:p>
        </w:tc>
        <w:tc>
          <w:tcPr>
            <w:tcW w:type="dxa" w:w="3389"/>
            <w:shd w:fill="F7F9FA"/>
            <w:vAlign w:val="center"/>
            <w:tcMar>
              <w:top w:w="100" w:type="dxa"/>
              <w:start w:w="100" w:type="dxa"/>
              <w:bottom w:w="100" w:type="dxa"/>
              <w:end w:w="100" w:type="dxa"/>
            </w:tcMar>
          </w:tcPr>
          <w:p>
            <w:r>
              <w:t>What else was purchased and under which product scope?</w:t>
            </w:r>
          </w:p>
        </w:tc>
        <w:tc>
          <w:tcPr>
            <w:tcW w:type="dxa" w:w="3389"/>
            <w:shd w:fill="F7F9FA"/>
            <w:vAlign w:val="center"/>
            <w:tcMar>
              <w:top w:w="100" w:type="dxa"/>
              <w:start w:w="100" w:type="dxa"/>
              <w:bottom w:w="100" w:type="dxa"/>
              <w:end w:w="100" w:type="dxa"/>
            </w:tcMar>
          </w:tcPr>
          <w:p>
            <w:r>
              <w:t>Phase 2</w:t>
            </w:r>
          </w:p>
        </w:tc>
      </w:tr>
      <w:tr>
        <w:tc>
          <w:tcPr>
            <w:tcW w:type="dxa" w:w="3389"/>
            <w:shd w:fill="FFFFFF"/>
            <w:vAlign w:val="center"/>
            <w:tcMar>
              <w:top w:w="100" w:type="dxa"/>
              <w:start w:w="100" w:type="dxa"/>
              <w:bottom w:w="100" w:type="dxa"/>
              <w:end w:w="100" w:type="dxa"/>
            </w:tcMar>
          </w:tcPr>
          <w:p>
            <w:r>
              <w:t>Creative performance</w:t>
            </w:r>
          </w:p>
        </w:tc>
        <w:tc>
          <w:tcPr>
            <w:tcW w:type="dxa" w:w="3389"/>
            <w:shd w:fill="FFFFFF"/>
            <w:vAlign w:val="center"/>
            <w:tcMar>
              <w:top w:w="100" w:type="dxa"/>
              <w:start w:w="100" w:type="dxa"/>
              <w:bottom w:w="100" w:type="dxa"/>
              <w:end w:w="100" w:type="dxa"/>
            </w:tcMar>
          </w:tcPr>
          <w:p>
            <w:r>
              <w:t>Which creative versions performed differently?</w:t>
            </w:r>
          </w:p>
        </w:tc>
        <w:tc>
          <w:tcPr>
            <w:tcW w:type="dxa" w:w="3389"/>
            <w:shd w:fill="FFFFFF"/>
            <w:vAlign w:val="center"/>
            <w:tcMar>
              <w:top w:w="100" w:type="dxa"/>
              <w:start w:w="100" w:type="dxa"/>
              <w:bottom w:w="100" w:type="dxa"/>
              <w:end w:w="100" w:type="dxa"/>
            </w:tcMar>
          </w:tcPr>
          <w:p>
            <w:r>
              <w:t>Phase 2</w:t>
            </w:r>
          </w:p>
        </w:tc>
      </w:tr>
      <w:tr>
        <w:tc>
          <w:tcPr>
            <w:tcW w:type="dxa" w:w="3389"/>
            <w:shd w:fill="F7F9FA"/>
            <w:vAlign w:val="center"/>
            <w:tcMar>
              <w:top w:w="100" w:type="dxa"/>
              <w:start w:w="100" w:type="dxa"/>
              <w:bottom w:w="100" w:type="dxa"/>
              <w:end w:w="100" w:type="dxa"/>
            </w:tcMar>
          </w:tcPr>
          <w:p>
            <w:r>
              <w:t>Attributed outcomes</w:t>
            </w:r>
          </w:p>
        </w:tc>
        <w:tc>
          <w:tcPr>
            <w:tcW w:type="dxa" w:w="3389"/>
            <w:shd w:fill="F7F9FA"/>
            <w:vAlign w:val="center"/>
            <w:tcMar>
              <w:top w:w="100" w:type="dxa"/>
              <w:start w:w="100" w:type="dxa"/>
              <w:bottom w:w="100" w:type="dxa"/>
              <w:end w:w="100" w:type="dxa"/>
            </w:tcMar>
          </w:tcPr>
          <w:p>
            <w:r>
              <w:t>What followed qualifying media events?</w:t>
            </w:r>
          </w:p>
        </w:tc>
        <w:tc>
          <w:tcPr>
            <w:tcW w:type="dxa" w:w="3389"/>
            <w:shd w:fill="F7F9FA"/>
            <w:vAlign w:val="center"/>
            <w:tcMar>
              <w:top w:w="100" w:type="dxa"/>
              <w:start w:w="100" w:type="dxa"/>
              <w:bottom w:w="100" w:type="dxa"/>
              <w:end w:w="100" w:type="dxa"/>
            </w:tcMar>
          </w:tcPr>
          <w:p>
            <w:r>
              <w:t>Phase 1 conditional / Phase 2</w:t>
            </w:r>
          </w:p>
        </w:tc>
      </w:tr>
      <w:tr>
        <w:tc>
          <w:tcPr>
            <w:tcW w:type="dxa" w:w="3389"/>
            <w:shd w:fill="FFFFFF"/>
            <w:vAlign w:val="center"/>
            <w:tcMar>
              <w:top w:w="100" w:type="dxa"/>
              <w:start w:w="100" w:type="dxa"/>
              <w:bottom w:w="100" w:type="dxa"/>
              <w:end w:w="100" w:type="dxa"/>
            </w:tcMar>
          </w:tcPr>
          <w:p>
            <w:r>
              <w:t>Incremental impact</w:t>
            </w:r>
          </w:p>
        </w:tc>
        <w:tc>
          <w:tcPr>
            <w:tcW w:type="dxa" w:w="3389"/>
            <w:shd w:fill="FFFFFF"/>
            <w:vAlign w:val="center"/>
            <w:tcMar>
              <w:top w:w="100" w:type="dxa"/>
              <w:start w:w="100" w:type="dxa"/>
              <w:bottom w:w="100" w:type="dxa"/>
              <w:end w:w="100" w:type="dxa"/>
            </w:tcMar>
          </w:tcPr>
          <w:p>
            <w:r>
              <w:t>What would not have happened without the campaign?</w:t>
            </w:r>
          </w:p>
        </w:tc>
        <w:tc>
          <w:tcPr>
            <w:tcW w:type="dxa" w:w="3389"/>
            <w:shd w:fill="FFFFFF"/>
            <w:vAlign w:val="center"/>
            <w:tcMar>
              <w:top w:w="100" w:type="dxa"/>
              <w:start w:w="100" w:type="dxa"/>
              <w:bottom w:w="100" w:type="dxa"/>
              <w:end w:w="100" w:type="dxa"/>
            </w:tcMar>
          </w:tcPr>
          <w:p>
            <w:r>
              <w:t>Phase 3</w:t>
            </w:r>
          </w:p>
        </w:tc>
      </w:tr>
      <w:tr>
        <w:tc>
          <w:tcPr>
            <w:tcW w:type="dxa" w:w="3389"/>
            <w:shd w:fill="F7F9FA"/>
            <w:vAlign w:val="center"/>
            <w:tcMar>
              <w:top w:w="100" w:type="dxa"/>
              <w:start w:w="100" w:type="dxa"/>
              <w:bottom w:w="100" w:type="dxa"/>
              <w:end w:w="100" w:type="dxa"/>
            </w:tcMar>
          </w:tcPr>
          <w:p>
            <w:r>
              <w:t>Consequence effects</w:t>
            </w:r>
          </w:p>
        </w:tc>
        <w:tc>
          <w:tcPr>
            <w:tcW w:type="dxa" w:w="3389"/>
            <w:shd w:fill="F7F9FA"/>
            <w:vAlign w:val="center"/>
            <w:tcMar>
              <w:top w:w="100" w:type="dxa"/>
              <w:start w:w="100" w:type="dxa"/>
              <w:bottom w:w="100" w:type="dxa"/>
              <w:end w:w="100" w:type="dxa"/>
            </w:tcMar>
          </w:tcPr>
          <w:p>
            <w:r>
              <w:t>Was value offset by cannibalization or pull-forward?</w:t>
            </w:r>
          </w:p>
        </w:tc>
        <w:tc>
          <w:tcPr>
            <w:tcW w:type="dxa" w:w="3389"/>
            <w:shd w:fill="F7F9FA"/>
            <w:vAlign w:val="center"/>
            <w:tcMar>
              <w:top w:w="100" w:type="dxa"/>
              <w:start w:w="100" w:type="dxa"/>
              <w:bottom w:w="100" w:type="dxa"/>
              <w:end w:w="100" w:type="dxa"/>
            </w:tcMar>
          </w:tcPr>
          <w:p>
            <w:r>
              <w:t>Phase 3</w:t>
            </w:r>
          </w:p>
        </w:tc>
      </w:tr>
      <w:tr>
        <w:tc>
          <w:tcPr>
            <w:tcW w:type="dxa" w:w="3389"/>
            <w:shd w:fill="FFFFFF"/>
            <w:vAlign w:val="center"/>
            <w:tcMar>
              <w:top w:w="100" w:type="dxa"/>
              <w:start w:w="100" w:type="dxa"/>
              <w:bottom w:w="100" w:type="dxa"/>
              <w:end w:w="100" w:type="dxa"/>
            </w:tcMar>
          </w:tcPr>
          <w:p>
            <w:r>
              <w:t>Cross-channel contribution</w:t>
            </w:r>
          </w:p>
        </w:tc>
        <w:tc>
          <w:tcPr>
            <w:tcW w:type="dxa" w:w="3389"/>
            <w:shd w:fill="FFFFFF"/>
            <w:vAlign w:val="center"/>
            <w:tcMar>
              <w:top w:w="100" w:type="dxa"/>
              <w:start w:w="100" w:type="dxa"/>
              <w:bottom w:w="100" w:type="dxa"/>
              <w:end w:w="100" w:type="dxa"/>
            </w:tcMar>
          </w:tcPr>
          <w:p>
            <w:r>
              <w:t>How did channels overlap and contribute?</w:t>
            </w:r>
          </w:p>
        </w:tc>
        <w:tc>
          <w:tcPr>
            <w:tcW w:type="dxa" w:w="3389"/>
            <w:shd w:fill="FFFFFF"/>
            <w:vAlign w:val="center"/>
            <w:tcMar>
              <w:top w:w="100" w:type="dxa"/>
              <w:start w:w="100" w:type="dxa"/>
              <w:bottom w:w="100" w:type="dxa"/>
              <w:end w:w="100" w:type="dxa"/>
            </w:tcMar>
          </w:tcPr>
          <w:p>
            <w:r>
              <w:t>Phase 2/3</w:t>
            </w:r>
          </w:p>
        </w:tc>
      </w:tr>
      <w:tr>
        <w:tc>
          <w:tcPr>
            <w:tcW w:type="dxa" w:w="3389"/>
            <w:shd w:fill="F7F9FA"/>
            <w:vAlign w:val="center"/>
            <w:tcMar>
              <w:top w:w="100" w:type="dxa"/>
              <w:start w:w="100" w:type="dxa"/>
              <w:bottom w:w="100" w:type="dxa"/>
              <w:end w:w="100" w:type="dxa"/>
            </w:tcMar>
          </w:tcPr>
          <w:p>
            <w:r>
              <w:t>Market and longer-term outcomes</w:t>
            </w:r>
          </w:p>
        </w:tc>
        <w:tc>
          <w:tcPr>
            <w:tcW w:type="dxa" w:w="3389"/>
            <w:shd w:fill="F7F9FA"/>
            <w:vAlign w:val="center"/>
            <w:tcMar>
              <w:top w:w="100" w:type="dxa"/>
              <w:start w:w="100" w:type="dxa"/>
              <w:bottom w:w="100" w:type="dxa"/>
              <w:end w:w="100" w:type="dxa"/>
            </w:tcMar>
          </w:tcPr>
          <w:p>
            <w:r>
              <w:t>What happened beyond the retailer or after the campaign?</w:t>
            </w:r>
          </w:p>
        </w:tc>
        <w:tc>
          <w:tcPr>
            <w:tcW w:type="dxa" w:w="3389"/>
            <w:shd w:fill="F7F9FA"/>
            <w:vAlign w:val="center"/>
            <w:tcMar>
              <w:top w:w="100" w:type="dxa"/>
              <w:start w:w="100" w:type="dxa"/>
              <w:bottom w:w="100" w:type="dxa"/>
              <w:end w:w="100" w:type="dxa"/>
            </w:tcMar>
          </w:tcPr>
          <w:p>
            <w:r>
              <w:t>Phase 3/future</w:t>
            </w:r>
          </w:p>
        </w:tc>
      </w:tr>
    </w:tbl>
    <w:p/>
    <w:p>
      <w:pPr>
        <w:pStyle w:val="Heading2"/>
      </w:pPr>
      <w:r>
        <w:t>6.3 Performance Explorer</w:t>
      </w:r>
    </w:p>
    <w:p>
      <w:r>
        <w:rPr>
          <w:sz w:val="21"/>
        </w:rPr>
        <w:t>The Explorer answers: How can I inspect an approved result at greater detail?</w:t>
      </w:r>
    </w:p>
    <w:p>
      <w:pPr>
        <w:pStyle w:val="ListBullet"/>
      </w:pPr>
      <w:r>
        <w:t>Users choose only approved dimensions, hierarchy orders and KPI columns.</w:t>
      </w:r>
    </w:p>
    <w:p>
      <w:pPr>
        <w:pStyle w:val="ListBullet"/>
      </w:pPr>
      <w:r>
        <w:t>The Explorer checks valid KPI, dimension, population, scope and result-type combinations before showing data.</w:t>
      </w:r>
    </w:p>
    <w:p>
      <w:pPr>
        <w:pStyle w:val="ListBullet"/>
      </w:pPr>
      <w:r>
        <w:t>Potential dimensions include campaign hierarchy, audience, product, brand, category, channel, placement, creative, country, banner, basket association, benchmark cohort and consequence type.</w:t>
      </w:r>
    </w:p>
    <w:p>
      <w:pPr>
        <w:pStyle w:val="ListBullet"/>
      </w:pPr>
      <w:r>
        <w:t>Every result can expose source, grain, population, period, product/halo/cost scope, method, status and result version.</w:t>
      </w:r>
    </w:p>
    <w:p>
      <w:pPr>
        <w:pStyle w:val="ListBullet"/>
      </w:pPr>
      <w:r>
        <w:t>Drill-down stops at the lowest supported grain and explains the limit.</w:t>
      </w:r>
    </w:p>
    <w:p>
      <w:pPr>
        <w:pStyle w:val="Heading2"/>
      </w:pPr>
      <w:r>
        <w:t>6.4 Future Commerce Performance Overview</w:t>
      </w:r>
    </w:p>
    <w:p>
      <w:r>
        <w:rPr>
          <w:sz w:val="21"/>
        </w:rPr>
        <w:t>Commerce Performance Overview is the recommended name for the future cross-product experience. It is clear and business-friendly: the name describes the view users open to understand commerce performance across multiple activities. The broader product vision is called Integrated Commerce Measurement.</w:t>
      </w:r>
    </w:p>
    <w:p>
      <w:r>
        <w:rPr>
          <w:sz w:val="21"/>
        </w:rPr>
        <w:t>Retail Media remains the first product experience. Commerce Performance Overview is a future layer that brings together approved results from Retail Media, Personalized Offers, promotions and market intelligence without replacing their individual workflows.</w:t>
      </w:r>
    </w:p>
    <w:p>
      <w:pPr>
        <w:pStyle w:val="ListBullet"/>
      </w:pPr>
      <w:r>
        <w:t>Show Retail Media, Personalized Offers and promotion performance side by side before any combined total.</w:t>
      </w:r>
    </w:p>
    <w:p>
      <w:pPr>
        <w:pStyle w:val="ListBullet"/>
      </w:pPr>
      <w:r>
        <w:t>Show audience or treatment overlap and the sequence of interventions where permitted.</w:t>
      </w:r>
    </w:p>
    <w:p>
      <w:pPr>
        <w:pStyle w:val="ListBullet"/>
      </w:pPr>
      <w:r>
        <w:t>Show media spend, offer cost, promotional funding, margin and combined commercial value using compatible scopes.</w:t>
      </w:r>
    </w:p>
    <w:p>
      <w:pPr>
        <w:pStyle w:val="ListBullet"/>
      </w:pPr>
      <w:r>
        <w:t>Show standalone, combined and interaction effects only when the approved methodology supports them.</w:t>
      </w:r>
    </w:p>
    <w:p>
      <w:pPr>
        <w:pStyle w:val="ListBullet"/>
      </w:pPr>
      <w:r>
        <w:t>Include NIQ market and category context so users can separate program performance from wider market movement.</w:t>
      </w:r>
    </w:p>
    <w:p>
      <w:pPr>
        <w:pStyle w:val="ListBullet"/>
      </w:pPr>
      <w:r>
        <w:t>Link back to the detailed Retail Media Campaign Story, Personalized Offers result and promotion context.</w:t>
      </w:r>
    </w:p>
    <w:p>
      <w:pPr>
        <w:pStyle w:val="Heading2"/>
      </w:pPr>
      <w:r>
        <w:t>6.5 When a specialist workspace is justified</w:t>
      </w:r>
    </w:p>
    <w:p>
      <w:r>
        <w:rPr>
          <w:sz w:val="21"/>
        </w:rPr>
        <w:t>A specialist workspace is added only when the workflow cannot be handled well by the three core experiences. Possible future examples are Measurement Diagnostics, Methodology or Study Setup, and advanced Creative Analysis. These are options, not committed screens.</w:t>
      </w:r>
    </w:p>
    <w:p>
      <w:r>
        <w:rPr>
          <w:sz w:val="21"/>
        </w:rPr>
      </w:r>
    </w:p>
    <w:p>
      <w:pPr>
        <w:pStyle w:val="Heading1"/>
      </w:pPr>
      <w:r>
        <w:t>7.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8B92"/>
            <w:vAlign w:val="center"/>
            <w:tcMar>
              <w:top w:w="100" w:type="dxa"/>
              <w:start w:w="100" w:type="dxa"/>
              <w:bottom w:w="100" w:type="dxa"/>
              <w:end w:w="100" w:type="dxa"/>
            </w:tcMar>
          </w:tcPr>
          <w:p>
            <w:r>
              <w:t>Phase</w:t>
            </w:r>
          </w:p>
        </w:tc>
        <w:tc>
          <w:tcPr>
            <w:tcW w:type="dxa" w:w="3389"/>
            <w:shd w:fill="168B92"/>
            <w:vAlign w:val="center"/>
            <w:tcMar>
              <w:top w:w="100" w:type="dxa"/>
              <w:start w:w="100" w:type="dxa"/>
              <w:bottom w:w="100" w:type="dxa"/>
              <w:end w:w="100" w:type="dxa"/>
            </w:tcMar>
          </w:tcPr>
          <w:p>
            <w:r>
              <w:t>Product outcome</w:t>
            </w:r>
          </w:p>
        </w:tc>
        <w:tc>
          <w:tcPr>
            <w:tcW w:type="dxa" w:w="3389"/>
            <w:shd w:fill="168B92"/>
            <w:vAlign w:val="center"/>
            <w:tcMar>
              <w:top w:w="100" w:type="dxa"/>
              <w:start w:w="100" w:type="dxa"/>
              <w:bottom w:w="100" w:type="dxa"/>
              <w:end w:w="100" w:type="dxa"/>
            </w:tcMar>
          </w:tcPr>
          <w:p>
            <w:r>
              <w:t>Main feature delivery</w:t>
            </w:r>
          </w:p>
        </w:tc>
      </w:tr>
      <w:tr>
        <w:tc>
          <w:tcPr>
            <w:tcW w:type="dxa" w:w="3389"/>
            <w:shd w:fill="FFFFFF"/>
            <w:vAlign w:val="center"/>
            <w:tcMar>
              <w:top w:w="100" w:type="dxa"/>
              <w:start w:w="100" w:type="dxa"/>
              <w:bottom w:w="100" w:type="dxa"/>
              <w:end w:w="100" w:type="dxa"/>
            </w:tcMar>
          </w:tcPr>
          <w:p>
            <w:r>
              <w:t>Phase 1</w:t>
            </w:r>
          </w:p>
        </w:tc>
        <w:tc>
          <w:tcPr>
            <w:tcW w:type="dxa" w:w="3389"/>
            <w:shd w:fill="FFFFFF"/>
            <w:vAlign w:val="center"/>
            <w:tcMar>
              <w:top w:w="100" w:type="dxa"/>
              <w:start w:w="100" w:type="dxa"/>
              <w:bottom w:w="100" w:type="dxa"/>
              <w:end w:w="100" w:type="dxa"/>
            </w:tcMar>
          </w:tcPr>
          <w:p>
            <w:r>
              <w:t>Trustworthy facts and the first closed-loop experience</w:t>
            </w:r>
          </w:p>
        </w:tc>
        <w:tc>
          <w:tcPr>
            <w:tcW w:type="dxa" w:w="3389"/>
            <w:shd w:fill="FFFFFF"/>
            <w:vAlign w:val="center"/>
            <w:tcMar>
              <w:top w:w="100" w:type="dxa"/>
              <w:start w:w="100" w:type="dxa"/>
              <w:bottom w:w="100" w:type="dxa"/>
              <w:end w:w="100" w:type="dxa"/>
            </w:tcMar>
          </w:tcPr>
          <w:p>
            <w:r>
              <w:t>Overview, Campaign Story, controlled Explorer, descriptive outcomes, conditional delivery/attribution, optional financial cards, readiness, versions, access and sharing.</w:t>
            </w:r>
          </w:p>
        </w:tc>
      </w:tr>
      <w:tr>
        <w:tc>
          <w:tcPr>
            <w:tcW w:type="dxa" w:w="3389"/>
            <w:shd w:fill="F7F9FA"/>
            <w:vAlign w:val="center"/>
            <w:tcMar>
              <w:top w:w="100" w:type="dxa"/>
              <w:start w:w="100" w:type="dxa"/>
              <w:bottom w:w="100" w:type="dxa"/>
              <w:end w:w="100" w:type="dxa"/>
            </w:tcMar>
          </w:tcPr>
          <w:p>
            <w:r>
              <w:t>Phase 2</w:t>
            </w:r>
          </w:p>
        </w:tc>
        <w:tc>
          <w:tcPr>
            <w:tcW w:type="dxa" w:w="3389"/>
            <w:shd w:fill="F7F9FA"/>
            <w:vAlign w:val="center"/>
            <w:tcMar>
              <w:top w:w="100" w:type="dxa"/>
              <w:start w:w="100" w:type="dxa"/>
              <w:bottom w:w="100" w:type="dxa"/>
              <w:end w:w="100" w:type="dxa"/>
            </w:tcMar>
          </w:tcPr>
          <w:p>
            <w:r>
              <w:t>Broader descriptive and attributed intelligence</w:t>
            </w:r>
          </w:p>
        </w:tc>
        <w:tc>
          <w:tcPr>
            <w:tcW w:type="dxa" w:w="3389"/>
            <w:shd w:fill="F7F9FA"/>
            <w:vAlign w:val="center"/>
            <w:tcMar>
              <w:top w:w="100" w:type="dxa"/>
              <w:start w:w="100" w:type="dxa"/>
              <w:bottom w:w="100" w:type="dxa"/>
              <w:end w:w="100" w:type="dxa"/>
            </w:tcMar>
          </w:tcPr>
          <w:p>
            <w:r>
              <w:t>More channels, aggregate/mixed modes, creative reporting, basket analysis, descriptive/attributed halo, diagnostics, benchmarks and richer cross-channel views.</w:t>
            </w:r>
          </w:p>
        </w:tc>
      </w:tr>
      <w:tr>
        <w:tc>
          <w:tcPr>
            <w:tcW w:type="dxa" w:w="3389"/>
            <w:shd w:fill="FFFFFF"/>
            <w:vAlign w:val="center"/>
            <w:tcMar>
              <w:top w:w="100" w:type="dxa"/>
              <w:start w:w="100" w:type="dxa"/>
              <w:bottom w:w="100" w:type="dxa"/>
              <w:end w:w="100" w:type="dxa"/>
            </w:tcMar>
          </w:tcPr>
          <w:p>
            <w:r>
              <w:t>Phase 3</w:t>
            </w:r>
          </w:p>
        </w:tc>
        <w:tc>
          <w:tcPr>
            <w:tcW w:type="dxa" w:w="3389"/>
            <w:shd w:fill="FFFFFF"/>
            <w:vAlign w:val="center"/>
            <w:tcMar>
              <w:top w:w="100" w:type="dxa"/>
              <w:start w:w="100" w:type="dxa"/>
              <w:bottom w:w="100" w:type="dxa"/>
              <w:end w:w="100" w:type="dxa"/>
            </w:tcMar>
          </w:tcPr>
          <w:p>
            <w:r>
              <w:t>Causal and consequence measurement</w:t>
            </w:r>
          </w:p>
        </w:tc>
        <w:tc>
          <w:tcPr>
            <w:tcW w:type="dxa" w:w="3389"/>
            <w:shd w:fill="FFFFFF"/>
            <w:vAlign w:val="center"/>
            <w:tcMar>
              <w:top w:w="100" w:type="dxa"/>
              <w:start w:w="100" w:type="dxa"/>
              <w:bottom w:w="100" w:type="dxa"/>
              <w:end w:w="100" w:type="dxa"/>
            </w:tcMar>
          </w:tcPr>
          <w:p>
            <w:r>
              <w:t>Incrementality, iROAS, incremental margin/profit, incremental halo, cannibalization, pull-forward, net category/portfolio effects and causal channel contribution.</w:t>
            </w:r>
          </w:p>
        </w:tc>
      </w:tr>
      <w:tr>
        <w:tc>
          <w:tcPr>
            <w:tcW w:type="dxa" w:w="3389"/>
            <w:shd w:fill="F7F9FA"/>
            <w:vAlign w:val="center"/>
            <w:tcMar>
              <w:top w:w="100" w:type="dxa"/>
              <w:start w:w="100" w:type="dxa"/>
              <w:bottom w:w="100" w:type="dxa"/>
              <w:end w:w="100" w:type="dxa"/>
            </w:tcMar>
          </w:tcPr>
          <w:p>
            <w:r>
              <w:t>Future</w:t>
            </w:r>
          </w:p>
        </w:tc>
        <w:tc>
          <w:tcPr>
            <w:tcW w:type="dxa" w:w="3389"/>
            <w:shd w:fill="F7F9FA"/>
            <w:vAlign w:val="center"/>
            <w:tcMar>
              <w:top w:w="100" w:type="dxa"/>
              <w:start w:w="100" w:type="dxa"/>
              <w:bottom w:w="100" w:type="dxa"/>
              <w:end w:w="100" w:type="dxa"/>
            </w:tcMar>
          </w:tcPr>
          <w:p>
            <w:r>
              <w:t>Cross-retailer intelligence and decision support</w:t>
            </w:r>
          </w:p>
        </w:tc>
        <w:tc>
          <w:tcPr>
            <w:tcW w:type="dxa" w:w="3389"/>
            <w:shd w:fill="F7F9FA"/>
            <w:vAlign w:val="center"/>
            <w:tcMar>
              <w:top w:w="100" w:type="dxa"/>
              <w:start w:w="100" w:type="dxa"/>
              <w:bottom w:w="100" w:type="dxa"/>
              <w:end w:w="100" w:type="dxa"/>
            </w:tcMar>
          </w:tcPr>
          <w:p>
            <w:r>
              <w:t>Rest-of-market measurement, cross-RMN standards, market benchmarks, automated insights, forecasting and recommendations.</w:t>
            </w:r>
          </w:p>
        </w:tc>
      </w:tr>
    </w:tbl>
    <w:p/>
    <w:p>
      <w:pPr>
        <w:pStyle w:val="Heading2"/>
      </w:pPr>
      <w:r>
        <w:t>7.1 Phase 1 boundary</w:t>
      </w:r>
    </w:p>
    <w:p>
      <w:pPr>
        <w:pStyle w:val="ListBullet"/>
      </w:pPr>
      <w:r>
        <w:t>Descriptive measurement is the required baseline.</w:t>
      </w:r>
    </w:p>
    <w:p>
      <w:pPr>
        <w:pStyle w:val="ListBullet"/>
      </w:pPr>
      <w:r>
        <w:t>Delivery, exposure and attribution are conditional on confirmed data and rules.</w:t>
      </w:r>
    </w:p>
    <w:p>
      <w:pPr>
        <w:pStyle w:val="ListBullet"/>
      </w:pPr>
      <w:r>
        <w:t>No incremental or causal result is shown.</w:t>
      </w:r>
    </w:p>
    <w:p>
      <w:pPr>
        <w:pStyle w:val="ListBullet"/>
      </w:pPr>
      <w:r>
        <w:t>Incremental sections remain unavailable with a clear explanation.</w:t>
      </w:r>
    </w:p>
    <w:p>
      <w:pPr>
        <w:pStyle w:val="ListBullet"/>
      </w:pPr>
      <w:r>
        <w:t>The final Phase 1 KPI list will be confirmed after the KPI catalogue and client reports are traced.</w:t>
      </w:r>
    </w:p>
    <w:p>
      <w:pPr/>
      <w:r>
        <w:rPr>
          <w:sz w:val="21"/>
        </w:rPr>
        <w:t>Phase 1 may retain the audience, campaign and cohort records needed for a future control method when the required inputs are available. Phase 1 does not publish an incremental or causal result.</w:t>
      </w:r>
    </w:p>
    <w:p>
      <w:pPr/>
      <w:r>
        <w:rPr>
          <w:sz w:val="21"/>
        </w:rPr>
        <w:t>Random holdout selection for aggregate-only channels and matched-control preparation for shopper-level channels require separate sizing, Data Science approval and partner data contracts. They are not implied by the Phase 1 reporting release.</w:t>
      </w:r>
    </w:p>
    <w:p>
      <w:pPr>
        <w:pStyle w:val="Heading2"/>
      </w:pPr>
      <w:r>
        <w:t>7.2 Phase 2 additions</w:t>
      </w:r>
    </w:p>
    <w:p>
      <w:pPr>
        <w:pStyle w:val="ListBullet"/>
      </w:pPr>
      <w:r>
        <w:t>Additional onsite, offsite and in-store channels.</w:t>
      </w:r>
    </w:p>
    <w:p>
      <w:pPr>
        <w:pStyle w:val="ListBullet"/>
      </w:pPr>
      <w:r>
        <w:t>Aggregate-only and mixed-data reporting.</w:t>
      </w:r>
    </w:p>
    <w:p>
      <w:pPr>
        <w:pStyle w:val="ListBullet"/>
      </w:pPr>
      <w:r>
        <w:t>Creative-version reporting.</w:t>
      </w:r>
    </w:p>
    <w:p>
      <w:pPr>
        <w:pStyle w:val="ListBullet"/>
      </w:pPr>
      <w:r>
        <w:t>Basket analysis and purchase composition.</w:t>
      </w:r>
    </w:p>
    <w:p>
      <w:pPr>
        <w:pStyle w:val="ListBullet"/>
      </w:pPr>
      <w:r>
        <w:t>Direct-product, brand-halo and category-halo outcomes.</w:t>
      </w:r>
    </w:p>
    <w:p>
      <w:pPr>
        <w:pStyle w:val="ListBullet"/>
      </w:pPr>
      <w:r>
        <w:t>Delivery pacing, reconciliation, feed health and match-rate diagnostics.</w:t>
      </w:r>
    </w:p>
    <w:p>
      <w:pPr>
        <w:pStyle w:val="ListBullet"/>
      </w:pPr>
      <w:r>
        <w:t>Approved campaign/category norms and benchmarks.</w:t>
      </w:r>
    </w:p>
    <w:p>
      <w:pPr>
        <w:pStyle w:val="ListBullet"/>
      </w:pPr>
      <w:r>
        <w:t>Descriptive cross-channel overlap, frequency and sequence.</w:t>
      </w:r>
    </w:p>
    <w:p>
      <w:pPr>
        <w:pStyle w:val="ListBullet"/>
      </w:pPr>
      <w:r>
        <w:t>Viewability and fraud measures from approved sources.</w:t>
      </w:r>
    </w:p>
    <w:p>
      <w:pPr>
        <w:pStyle w:val="Heading2"/>
      </w:pPr>
      <w:r>
        <w:t>7.3 Phase 3 additions</w:t>
      </w:r>
    </w:p>
    <w:p>
      <w:pPr>
        <w:pStyle w:val="ListBullet"/>
      </w:pPr>
      <w:r>
        <w:t>Approved control or comparison designs with uncertainty and Data Science approval.</w:t>
      </w:r>
    </w:p>
    <w:p>
      <w:pPr>
        <w:pStyle w:val="ListBullet"/>
      </w:pPr>
      <w:r>
        <w:t>Incremental sales, buyers, units, trips, margin, profit and iROAS.</w:t>
      </w:r>
    </w:p>
    <w:p>
      <w:pPr>
        <w:pStyle w:val="ListBullet"/>
      </w:pPr>
      <w:r>
        <w:t>Incremental direct-product, brand-halo and category-halo outcomes.</w:t>
      </w:r>
    </w:p>
    <w:p>
      <w:pPr>
        <w:pStyle w:val="ListBullet"/>
      </w:pPr>
      <w:r>
        <w:t>Cannibalization, pull-forward, trade-up/down, net category and portfolio effects.</w:t>
      </w:r>
    </w:p>
    <w:p>
      <w:pPr>
        <w:pStyle w:val="ListBullet"/>
      </w:pPr>
      <w:r>
        <w:t>Cross-channel incremental contribution.</w:t>
      </w:r>
    </w:p>
    <w:p>
      <w:pPr>
        <w:pStyle w:val="ListBullet"/>
      </w:pPr>
      <w:r>
        <w:t>Rest-of-market measurement and cross-retailer benchmarks when data rights and methods are approved.</w:t>
      </w:r>
    </w:p>
    <w:p>
      <w:r>
        <w:rPr>
          <w:sz w:val="21"/>
        </w:rPr>
      </w:r>
    </w:p>
    <w:p>
      <w:pPr>
        <w:pStyle w:val="Heading2"/>
      </w:pPr>
      <w:r>
        <w:t>7.4 Future integrated commerce destination</w:t>
      </w:r>
    </w:p>
    <w:p>
      <w:pPr>
        <w:pStyle w:val="ListBullet"/>
      </w:pPr>
      <w:r>
        <w:t>Introduce Commerce Performance Overview as the cross-product decision experience.</w:t>
      </w:r>
    </w:p>
    <w:p>
      <w:pPr>
        <w:pStyle w:val="ListBullet"/>
      </w:pPr>
      <w:r>
        <w:t>Combine approved Retail Media, Personalized Offers, promotion and market results without double counting.</w:t>
      </w:r>
    </w:p>
    <w:p>
      <w:pPr>
        <w:pStyle w:val="ListBullet"/>
      </w:pPr>
      <w:r>
        <w:t>Add forecasting and recommendations based on governed cross-product measurement history.</w:t>
      </w:r>
    </w:p>
    <w:p>
      <w:pPr>
        <w:pStyle w:val="ListBullet"/>
      </w:pPr>
      <w:r>
        <w:t>Keep activation, offer execution, media buying and promotion management in their owning products.</w:t>
      </w:r>
    </w:p>
    <w:p>
      <w:pPr>
        <w:pStyle w:val="Heading1"/>
      </w:pPr>
      <w:r>
        <w:t>8. Governance and result trust</w:t>
      </w:r>
    </w:p>
    <w:p>
      <w:pPr>
        <w:pStyle w:val="Heading2"/>
      </w:pPr>
      <w:r>
        <w:t>8.1 One governed result</w:t>
      </w:r>
    </w:p>
    <w:p>
      <w:r>
        <w:rPr>
          <w:sz w:val="21"/>
        </w:rPr>
        <w:t>Every KPI result stores the value and the context needed to reproduce and explain it: KPI definition, numerator and denominator where relevant, population, grain, reporting period, product and halo scope, cost and sales basis, source data versions, reference-data version, calculation version, method version, readiness, lifecycle state and result version.</w:t>
      </w:r>
    </w:p>
    <w:p>
      <w:pPr>
        <w:pStyle w:val="Heading2"/>
      </w:pPr>
      <w:r>
        <w:t>8.2 Access and privacy</w:t>
      </w:r>
    </w:p>
    <w:p>
      <w:pPr>
        <w:pStyle w:val="ListBullet"/>
      </w:pPr>
      <w:r>
        <w:t>Retailer users see only approved retailer scope.</w:t>
      </w:r>
    </w:p>
    <w:p>
      <w:pPr>
        <w:pStyle w:val="ListBullet"/>
      </w:pPr>
      <w:r>
        <w:t>Advertisers see only authorized campaigns and aggregate results.</w:t>
      </w:r>
    </w:p>
    <w:p>
      <w:pPr>
        <w:pStyle w:val="ListBullet"/>
      </w:pPr>
      <w:r>
        <w:t>Agencies see only authorized advertiser and campaign combinations.</w:t>
      </w:r>
    </w:p>
    <w:p>
      <w:pPr>
        <w:pStyle w:val="ListBullet"/>
      </w:pPr>
      <w:r>
        <w:t>Shopper-level joins stay inside Activate.</w:t>
      </w:r>
    </w:p>
    <w:p>
      <w:pPr>
        <w:pStyle w:val="ListBullet"/>
      </w:pPr>
      <w:r>
        <w:t>Shared links recheck current access.</w:t>
      </w:r>
    </w:p>
    <w:p>
      <w:pPr>
        <w:pStyle w:val="ListBullet"/>
      </w:pPr>
      <w:r>
        <w:t>Small-cell suppression, retention, deletion, purpose limitation and client isolation follow approved policy.</w:t>
      </w:r>
    </w:p>
    <w:p>
      <w:pPr>
        <w:pStyle w:val="Heading2"/>
      </w:pPr>
      <w:r>
        <w:t>8.3 Corrections and history</w:t>
      </w:r>
    </w:p>
    <w:p>
      <w:pPr>
        <w:pStyle w:val="ListBullet"/>
      </w:pPr>
      <w:r>
        <w:t>Published results are never silently overwritten.</w:t>
      </w:r>
    </w:p>
    <w:p>
      <w:pPr>
        <w:pStyle w:val="ListBullet"/>
      </w:pPr>
      <w:r>
        <w:t>Late data, corrected mappings or method changes create a new result version when they change a published result.</w:t>
      </w:r>
    </w:p>
    <w:p>
      <w:pPr>
        <w:pStyle w:val="ListBullet"/>
      </w:pPr>
      <w:r>
        <w:t>The correction reason, date and approver are recorded.</w:t>
      </w:r>
    </w:p>
    <w:p>
      <w:pPr>
        <w:pStyle w:val="ListBullet"/>
      </w:pPr>
      <w:r>
        <w:t>Authorized users can retrieve superseded versions.</w:t>
      </w:r>
    </w:p>
    <w:p>
      <w:pPr>
        <w:pStyle w:val="Heading2"/>
      </w:pPr>
      <w:r>
        <w:t>8.4 KPI authority</w:t>
      </w:r>
    </w:p>
    <w:p>
      <w:r>
        <w:rPr>
          <w:sz w:val="21"/>
        </w:rPr>
        <w:t>The KPI Catalogue is the source for business definitions, formulas, format, result type, scope, required inputs and availability rules. The Product Bible defines the capability and policy. The Data Contract defines entities and inputs. The Design Specification defines the user experience. Jira defines delivery slices.</w:t>
      </w:r>
    </w:p>
    <w:p>
      <w:pPr>
        <w:pStyle w:val="Heading1"/>
      </w:pPr>
      <w:r>
        <w:t>9. Data and integration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Input family</w:t>
            </w:r>
          </w:p>
        </w:tc>
        <w:tc>
          <w:tcPr>
            <w:tcW w:type="dxa" w:w="5083"/>
            <w:shd w:fill="168B92"/>
            <w:vAlign w:val="center"/>
            <w:tcMar>
              <w:top w:w="100" w:type="dxa"/>
              <w:start w:w="100" w:type="dxa"/>
              <w:bottom w:w="100" w:type="dxa"/>
              <w:end w:w="100" w:type="dxa"/>
            </w:tcMar>
          </w:tcPr>
          <w:p>
            <w:r>
              <w:t>Minimum logical content</w:t>
            </w:r>
          </w:p>
        </w:tc>
      </w:tr>
      <w:tr>
        <w:tc>
          <w:tcPr>
            <w:tcW w:type="dxa" w:w="5083"/>
            <w:shd w:fill="FFFFFF"/>
            <w:vAlign w:val="center"/>
            <w:tcMar>
              <w:top w:w="100" w:type="dxa"/>
              <w:start w:w="100" w:type="dxa"/>
              <w:bottom w:w="100" w:type="dxa"/>
              <w:end w:w="100" w:type="dxa"/>
            </w:tcMar>
          </w:tcPr>
          <w:p>
            <w:r>
              <w:t>Audience membership file</w:t>
            </w:r>
          </w:p>
        </w:tc>
        <w:tc>
          <w:tcPr>
            <w:tcW w:type="dxa" w:w="5083"/>
            <w:shd w:fill="FFFFFF"/>
            <w:vAlign w:val="center"/>
            <w:tcMar>
              <w:top w:w="100" w:type="dxa"/>
              <w:start w:w="100" w:type="dxa"/>
              <w:bottom w:w="100" w:type="dxa"/>
              <w:end w:w="100" w:type="dxa"/>
            </w:tcMar>
          </w:tcPr>
          <w:p>
            <w:r>
              <w:t>Activate Segment ID and Activate Shopper ID. This is the original shopper list used by the campaign.</w:t>
            </w:r>
          </w:p>
        </w:tc>
      </w:tr>
      <w:tr>
        <w:tc>
          <w:tcPr>
            <w:tcW w:type="dxa" w:w="5083"/>
            <w:shd w:fill="F7F9FA"/>
            <w:vAlign w:val="center"/>
            <w:tcMar>
              <w:top w:w="100" w:type="dxa"/>
              <w:start w:w="100" w:type="dxa"/>
              <w:bottom w:w="100" w:type="dxa"/>
              <w:end w:w="100" w:type="dxa"/>
            </w:tcMar>
          </w:tcPr>
          <w:p>
            <w:r>
              <w:t>Campaign hierarchy</w:t>
            </w:r>
          </w:p>
        </w:tc>
        <w:tc>
          <w:tcPr>
            <w:tcW w:type="dxa" w:w="5083"/>
            <w:shd w:fill="F7F9FA"/>
            <w:vAlign w:val="center"/>
            <w:tcMar>
              <w:top w:w="100" w:type="dxa"/>
              <w:start w:w="100" w:type="dxa"/>
              <w:bottom w:w="100" w:type="dxa"/>
              <w:end w:w="100" w:type="dxa"/>
            </w:tcMar>
          </w:tcPr>
          <w:p>
            <w:r>
              <w:t>Partner Campaign ID, Activate Segment ID, dates, status, advertiser/supplier, channel, execution group, placement, creative, banner value, brand, category, budget and cost scope where supplied.</w:t>
            </w:r>
          </w:p>
        </w:tc>
      </w:tr>
      <w:tr>
        <w:tc>
          <w:tcPr>
            <w:tcW w:type="dxa" w:w="5083"/>
            <w:shd w:fill="FFFFFF"/>
            <w:vAlign w:val="center"/>
            <w:tcMar>
              <w:top w:w="100" w:type="dxa"/>
              <w:start w:w="100" w:type="dxa"/>
              <w:bottom w:w="100" w:type="dxa"/>
              <w:end w:w="100" w:type="dxa"/>
            </w:tcMar>
          </w:tcPr>
          <w:p>
            <w:r>
              <w:t>Media totals and events</w:t>
            </w:r>
          </w:p>
        </w:tc>
        <w:tc>
          <w:tcPr>
            <w:tcW w:type="dxa" w:w="5083"/>
            <w:shd w:fill="FFFFFF"/>
            <w:vAlign w:val="center"/>
            <w:tcMar>
              <w:top w:w="100" w:type="dxa"/>
              <w:start w:w="100" w:type="dxa"/>
              <w:bottom w:w="100" w:type="dxa"/>
              <w:end w:w="100" w:type="dxa"/>
            </w:tcMar>
          </w:tcPr>
          <w:p>
            <w:r>
              <w:t>Aggregate delivery totals at the supplied level. Shopper-level events include Partner Campaign ID, Activate Segment ID, Activate Shopper ID, event type and event time where available.</w:t>
            </w:r>
          </w:p>
        </w:tc>
      </w:tr>
      <w:tr>
        <w:tc>
          <w:tcPr>
            <w:tcW w:type="dxa" w:w="5083"/>
            <w:shd w:fill="F7F9FA"/>
            <w:vAlign w:val="center"/>
            <w:tcMar>
              <w:top w:w="100" w:type="dxa"/>
              <w:start w:w="100" w:type="dxa"/>
              <w:bottom w:w="100" w:type="dxa"/>
              <w:end w:w="100" w:type="dxa"/>
            </w:tcMar>
          </w:tcPr>
          <w:p>
            <w:r>
              <w:t>Transactions</w:t>
            </w:r>
          </w:p>
        </w:tc>
        <w:tc>
          <w:tcPr>
            <w:tcW w:type="dxa" w:w="5083"/>
            <w:shd w:fill="F7F9FA"/>
            <w:vAlign w:val="center"/>
            <w:tcMar>
              <w:top w:w="100" w:type="dxa"/>
              <w:start w:w="100" w:type="dxa"/>
              <w:bottom w:w="100" w:type="dxa"/>
              <w:end w:w="100" w:type="dxa"/>
            </w:tcMar>
          </w:tcPr>
          <w:p>
            <w:r>
              <w:t>Transaction/basket and line IDs, shopper where identified, store/channel, date, product, units, sales, returns and approved margin/discount fields.</w:t>
            </w:r>
          </w:p>
        </w:tc>
      </w:tr>
      <w:tr>
        <w:tc>
          <w:tcPr>
            <w:tcW w:type="dxa" w:w="5083"/>
            <w:shd w:fill="FFFFFF"/>
            <w:vAlign w:val="center"/>
            <w:tcMar>
              <w:top w:w="100" w:type="dxa"/>
              <w:start w:w="100" w:type="dxa"/>
              <w:bottom w:w="100" w:type="dxa"/>
              <w:end w:w="100" w:type="dxa"/>
            </w:tcMar>
          </w:tcPr>
          <w:p>
            <w:r>
              <w:t>Reference data</w:t>
            </w:r>
          </w:p>
        </w:tc>
        <w:tc>
          <w:tcPr>
            <w:tcW w:type="dxa" w:w="5083"/>
            <w:shd w:fill="FFFFFF"/>
            <w:vAlign w:val="center"/>
            <w:tcMar>
              <w:top w:w="100" w:type="dxa"/>
              <w:start w:w="100" w:type="dxa"/>
              <w:bottom w:w="100" w:type="dxa"/>
              <w:end w:w="100" w:type="dxa"/>
            </w:tcMar>
          </w:tcPr>
          <w:p>
            <w:r>
              <w:t>Partner-country-to-Activate-Banner mapping, actual country, product, brand, category, store, channel and currency mappings.</w:t>
            </w:r>
          </w:p>
        </w:tc>
      </w:tr>
      <w:tr>
        <w:tc>
          <w:tcPr>
            <w:tcW w:type="dxa" w:w="5083"/>
            <w:shd w:fill="F7F9FA"/>
            <w:vAlign w:val="center"/>
            <w:tcMar>
              <w:top w:w="100" w:type="dxa"/>
              <w:start w:w="100" w:type="dxa"/>
              <w:bottom w:w="100" w:type="dxa"/>
              <w:end w:w="100" w:type="dxa"/>
            </w:tcMar>
          </w:tcPr>
          <w:p>
            <w:r>
              <w:t>Partner attribution</w:t>
            </w:r>
          </w:p>
        </w:tc>
        <w:tc>
          <w:tcPr>
            <w:tcW w:type="dxa" w:w="5083"/>
            <w:shd w:fill="F7F9FA"/>
            <w:vAlign w:val="center"/>
            <w:tcMar>
              <w:top w:w="100" w:type="dxa"/>
              <w:start w:w="100" w:type="dxa"/>
              <w:bottom w:w="100" w:type="dxa"/>
              <w:end w:w="100" w:type="dxa"/>
            </w:tcMar>
          </w:tcPr>
          <w:p>
            <w:r>
              <w:t>Partner outcome, trigger/window/model, product/halo scope, sales basis, cost scope and source version.</w:t>
            </w:r>
          </w:p>
        </w:tc>
      </w:tr>
      <w:tr>
        <w:tc>
          <w:tcPr>
            <w:tcW w:type="dxa" w:w="5083"/>
            <w:shd w:fill="FFFFFF"/>
            <w:vAlign w:val="center"/>
            <w:tcMar>
              <w:top w:w="100" w:type="dxa"/>
              <w:start w:w="100" w:type="dxa"/>
              <w:bottom w:w="100" w:type="dxa"/>
              <w:end w:w="100" w:type="dxa"/>
            </w:tcMar>
          </w:tcPr>
          <w:p>
            <w:r>
              <w:t>Feed operations</w:t>
            </w:r>
          </w:p>
        </w:tc>
        <w:tc>
          <w:tcPr>
            <w:tcW w:type="dxa" w:w="5083"/>
            <w:shd w:fill="FFFFFF"/>
            <w:vAlign w:val="center"/>
            <w:tcMar>
              <w:top w:w="100" w:type="dxa"/>
              <w:start w:w="100" w:type="dxa"/>
              <w:bottom w:w="100" w:type="dxa"/>
              <w:end w:w="100" w:type="dxa"/>
            </w:tcMar>
          </w:tcPr>
          <w:p>
            <w:r>
              <w:t>File name or ID, received time, covered period, expected records, checksum, completion status, correction/replacement status and duplicate key.</w:t>
            </w:r>
          </w:p>
        </w:tc>
      </w:tr>
      <w:tr>
        <w:tc>
          <w:tcPr>
            <w:tcW w:type="dxa" w:w="5083"/>
            <w:shd w:fill="F7F9FA"/>
            <w:vAlign w:val="center"/>
            <w:tcMar>
              <w:top w:w="100" w:type="dxa"/>
              <w:start w:w="100" w:type="dxa"/>
              <w:bottom w:w="100" w:type="dxa"/>
              <w:end w:w="100" w:type="dxa"/>
            </w:tcMar>
          </w:tcPr>
          <w:p>
            <w:r>
              <w:t>NIQ market data</w:t>
            </w:r>
          </w:p>
        </w:tc>
        <w:tc>
          <w:tcPr>
            <w:tcW w:type="dxa" w:w="5083"/>
            <w:shd w:fill="F7F9FA"/>
            <w:vAlign w:val="center"/>
            <w:tcMar>
              <w:top w:w="100" w:type="dxa"/>
              <w:start w:w="100" w:type="dxa"/>
              <w:bottom w:w="100" w:type="dxa"/>
              <w:end w:w="100" w:type="dxa"/>
            </w:tcMar>
          </w:tcPr>
          <w:p>
            <w:r>
              <w:t>Coverage, geography, product/category taxonomy, brand ownership, time grain, currency/sales basis, weighting or projection, latency, revisions, rights and version.</w:t>
            </w:r>
          </w:p>
        </w:tc>
      </w:tr>
      <w:tr>
        <w:tc>
          <w:tcPr>
            <w:tcW w:type="dxa" w:w="5083"/>
            <w:shd w:fill="F7F9FA"/>
            <w:vAlign w:val="center"/>
            <w:tcMar>
              <w:top w:w="100" w:type="dxa"/>
              <w:start w:w="100" w:type="dxa"/>
              <w:bottom w:w="100" w:type="dxa"/>
              <w:end w:w="100" w:type="dxa"/>
            </w:tcMar>
          </w:tcPr>
          <w:p>
            <w:r>
              <w:t>Future offers and promotions</w:t>
            </w:r>
          </w:p>
        </w:tc>
        <w:tc>
          <w:tcPr>
            <w:tcW w:type="dxa" w:w="5083"/>
            <w:shd w:fill="F7F9FA"/>
            <w:vAlign w:val="center"/>
            <w:tcMar>
              <w:top w:w="100" w:type="dxa"/>
              <w:start w:w="100" w:type="dxa"/>
              <w:bottom w:w="100" w:type="dxa"/>
              <w:end w:w="100" w:type="dxa"/>
            </w:tcMar>
          </w:tcPr>
          <w:p>
            <w:r>
              <w:t>Offer or promotion ID, type, eligible population or geography, products, stores/banners, dates, price or discount, funding, activation/redemption where available, and version.</w:t>
            </w:r>
          </w:p>
        </w:tc>
      </w:tr>
    </w:tbl>
    <w:p/>
    <w:p>
      <w:pPr>
        <w:pStyle w:val="Heading2"/>
      </w:pPr>
      <w:r>
        <w:t>9.1 Confirmed Phase 1 identity and file rules</w:t>
      </w:r>
    </w:p>
    <w:p>
      <w:pPr>
        <w:pStyle w:val="ListBullet"/>
      </w:pPr>
      <w:r>
        <w:t>The audience membership file contains Activate Segment ID and Activate Shopper ID.</w:t>
      </w:r>
    </w:p>
    <w:p>
      <w:pPr>
        <w:pStyle w:val="ListBullet"/>
      </w:pPr>
      <w:r>
        <w:t>The media partner creates and returns Partner Campaign ID.</w:t>
      </w:r>
    </w:p>
    <w:p>
      <w:pPr>
        <w:pStyle w:val="ListBullet"/>
      </w:pPr>
      <w:r>
        <w:t>For supported shopper-level records, the partner also returns Activate Segment ID and Activate Shopper ID.</w:t>
      </w:r>
    </w:p>
    <w:p>
      <w:pPr>
        <w:pStyle w:val="ListBullet"/>
      </w:pPr>
      <w:r>
        <w:t>Activate Shopper ID links media events to TLOG. Activate Segment ID links the partner campaign to the original audience.</w:t>
      </w:r>
    </w:p>
    <w:p>
      <w:pPr>
        <w:pStyle w:val="ListBullet"/>
      </w:pPr>
      <w:r>
        <w:t>The partner country field maps to Activate Banner in the current integration. Geographic country is stored separately.</w:t>
      </w:r>
    </w:p>
    <w:p>
      <w:pPr>
        <w:pStyle w:val="ListBullet"/>
      </w:pPr>
      <w:r>
        <w:t>Partner brand, category and product values are mapped to Activate reference data.</w:t>
      </w:r>
    </w:p>
    <w:p>
      <w:pPr>
        <w:pStyle w:val="ListBullet"/>
      </w:pPr>
      <w:r>
        <w:t>All current integrations use governed file delivery. The logical model does not depend on BigQuery, Snowflake or any other warehouse technology.</w:t>
      </w:r>
    </w:p>
    <w:p>
      <w:pPr>
        <w:pStyle w:val="ListBullet"/>
      </w:pPr>
      <w:r>
        <w:t>Source-provided version numbers are optional in Phase 1. Activate still keeps file name or ID, received time, covered period, checksum, processing run and calculation record.</w:t>
      </w:r>
    </w:p>
    <w:p>
      <w:pPr>
        <w:pStyle w:val="Heading3"/>
      </w:pPr>
      <w:r>
        <w:t>9.1.1 Future control-method inputs</w:t>
      </w:r>
    </w:p>
    <w:p>
      <w:pPr/>
      <w:r>
        <w:rPr>
          <w:sz w:val="21"/>
        </w:rPr>
        <w:t>For an aggregate-only channel, the partner returns Partner Campaign ID, delivery totals, reach where available, impressions, clicks, spend, covered period and correction details. Aggregate totals are not joined to shopper transactions.</w:t>
      </w:r>
    </w:p>
    <w:p>
      <w:pPr/>
      <w:r>
        <w:rPr>
          <w:sz w:val="21"/>
        </w:rPr>
        <w:t>For a shopper-level channel, the partner returns Partner Campaign ID, Activate Segment ID, Activate Shopper ID, targeted or confirmed-exposure status, event or targeting time, and correction details. The data contract must state clearly whether the returned list means targeted or confirmed exposed.</w:t>
      </w:r>
    </w:p>
    <w:p>
      <w:pPr/>
      <w:r>
        <w:rPr>
          <w:sz w:val="21"/>
        </w:rPr>
        <w:t>Activate retains the original audience export, treatment and control assignments, input-file identity, processing run, method version, quality-gate result and result version for the approved retention period.</w:t>
      </w:r>
    </w:p>
    <w:p>
      <w:pPr>
        <w:pStyle w:val="Heading2"/>
      </w:pPr>
      <w:r>
        <w:t>9.2 Phase 1 attribution flow</w:t>
      </w:r>
    </w:p>
    <w:p>
      <w:r>
        <w:rPr>
          <w:sz w:val="21"/>
        </w:rPr>
        <w:t>For each eligible purchase, Activate looks back for qualifying media events from the same shopper and campaign.</w:t>
      </w:r>
    </w:p>
    <w:p>
      <w:pPr>
        <w:pStyle w:val="ListBullet"/>
      </w:pPr>
      <w:r>
        <w:t>Match Activate Shopper ID.</w:t>
      </w:r>
    </w:p>
    <w:p>
      <w:pPr>
        <w:pStyle w:val="ListBullet"/>
      </w:pPr>
      <w:r>
        <w:t>Use the correct Partner Campaign ID and Activate Segment ID.</w:t>
      </w:r>
    </w:p>
    <w:p>
      <w:pPr>
        <w:pStyle w:val="ListBullet"/>
      </w:pPr>
      <w:r>
        <w:t>Check that the shopper belongs to the original segment membership.</w:t>
      </w:r>
    </w:p>
    <w:p>
      <w:pPr>
        <w:pStyle w:val="ListBullet"/>
      </w:pPr>
      <w:r>
        <w:t>Check banner, campaign period and product scope.</w:t>
      </w:r>
    </w:p>
    <w:p>
      <w:pPr>
        <w:pStyle w:val="ListBullet"/>
      </w:pPr>
      <w:r>
        <w:t>Find all eligible clicks and impressions before the purchase and inside their approved windows.</w:t>
      </w:r>
    </w:p>
    <w:p>
      <w:pPr>
        <w:pStyle w:val="ListBullet"/>
      </w:pPr>
      <w:r>
        <w:t>Choose the latest eligible click. If no click qualifies, choose the latest eligible impression.</w:t>
      </w:r>
    </w:p>
    <w:p>
      <w:pPr>
        <w:pStyle w:val="ListBullet"/>
      </w:pPr>
      <w:r>
        <w:t>If no event qualifies, leave the purchase unattributed.</w:t>
      </w:r>
    </w:p>
    <w:p>
      <w:pPr>
        <w:pStyle w:val="ListBullet"/>
      </w:pPr>
      <w:r>
        <w:t>Save the selected event and touch type in the Attribution Link.</w:t>
      </w:r>
    </w:p>
    <w:p>
      <w:r>
        <w:rPr>
          <w:sz w:val="21"/>
        </w:rPr>
        <w:t>The final click window, impression window, halo rules, cross-campaign deduplication, multiple-purchase rule, return handling and result maturity must be approved before build completion.</w:t>
      </w:r>
    </w:p>
    <w:p>
      <w:pPr>
        <w:pStyle w:val="Heading2"/>
      </w:pPr>
      <w:r>
        <w:t>9.3 Data quality controls</w:t>
      </w:r>
    </w:p>
    <w:p>
      <w:pPr>
        <w:pStyle w:val="ListBullet"/>
      </w:pPr>
      <w:r>
        <w:t>Required-field completeness and expected record counts.</w:t>
      </w:r>
    </w:p>
    <w:p>
      <w:pPr>
        <w:pStyle w:val="ListBullet"/>
      </w:pPr>
      <w:r>
        <w:t>Shopper, product, campaign, creative, country and banner match rates.</w:t>
      </w:r>
    </w:p>
    <w:p>
      <w:pPr>
        <w:pStyle w:val="ListBullet"/>
      </w:pPr>
      <w:r>
        <w:t>Duplicate prevention, idempotency and parent-child integrity.</w:t>
      </w:r>
    </w:p>
    <w:p>
      <w:pPr>
        <w:pStyle w:val="ListBullet"/>
      </w:pPr>
      <w:r>
        <w:t>Freshness, maturity and late-data handling.</w:t>
      </w:r>
    </w:p>
    <w:p>
      <w:pPr>
        <w:pStyle w:val="ListBullet"/>
      </w:pPr>
      <w:r>
        <w:t>Audience and media reconciliation at compatible grains.</w:t>
      </w:r>
    </w:p>
    <w:p>
      <w:pPr>
        <w:pStyle w:val="ListBullet"/>
      </w:pPr>
      <w:r>
        <w:t>Explicit revisions, safe reprocessing and result restatement.</w:t>
      </w:r>
    </w:p>
    <w:p>
      <w:pPr>
        <w:pStyle w:val="ListBullet"/>
      </w:pPr>
      <w:r>
        <w:t>Lineage from each result to its frozen audience, source batches, mappings and method.</w:t>
      </w:r>
    </w:p>
    <w:p>
      <w:r>
        <w:rPr>
          <w:sz w:val="21"/>
        </w:rPr>
      </w:r>
    </w:p>
    <w:p>
      <w:pPr>
        <w:pStyle w:val="Heading1"/>
      </w:pPr>
      <w:r>
        <w:t>10.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Area</w:t>
            </w:r>
          </w:p>
        </w:tc>
        <w:tc>
          <w:tcPr>
            <w:tcW w:type="dxa" w:w="5083"/>
            <w:shd w:fill="168B92"/>
            <w:vAlign w:val="center"/>
            <w:tcMar>
              <w:top w:w="100" w:type="dxa"/>
              <w:start w:w="100" w:type="dxa"/>
              <w:bottom w:w="100" w:type="dxa"/>
              <w:end w:w="100" w:type="dxa"/>
            </w:tcMar>
          </w:tcPr>
          <w:p>
            <w:r>
              <w:t>Requirement</w:t>
            </w:r>
          </w:p>
        </w:tc>
      </w:tr>
      <w:tr>
        <w:tc>
          <w:tcPr>
            <w:tcW w:type="dxa" w:w="5083"/>
            <w:shd w:fill="FFFFFF"/>
            <w:vAlign w:val="center"/>
            <w:tcMar>
              <w:top w:w="100" w:type="dxa"/>
              <w:start w:w="100" w:type="dxa"/>
              <w:bottom w:w="100" w:type="dxa"/>
              <w:end w:w="100" w:type="dxa"/>
            </w:tcMar>
          </w:tcPr>
          <w:p>
            <w:r>
              <w:t>Scale</w:t>
            </w:r>
          </w:p>
        </w:tc>
        <w:tc>
          <w:tcPr>
            <w:tcW w:type="dxa" w:w="5083"/>
            <w:shd w:fill="FFFFFF"/>
            <w:vAlign w:val="center"/>
            <w:tcMar>
              <w:top w:w="100" w:type="dxa"/>
              <w:start w:w="100" w:type="dxa"/>
              <w:bottom w:w="100" w:type="dxa"/>
              <w:end w:w="100" w:type="dxa"/>
            </w:tcMar>
          </w:tcPr>
          <w:p>
            <w:r>
              <w:t>Support design-partner audience volumes and multiple concurrent campaigns. Reconcile the current 15 million measurement target with the 30 million export target before performance testing.</w:t>
            </w:r>
          </w:p>
        </w:tc>
      </w:tr>
      <w:tr>
        <w:tc>
          <w:tcPr>
            <w:tcW w:type="dxa" w:w="5083"/>
            <w:shd w:fill="F7F9FA"/>
            <w:vAlign w:val="center"/>
            <w:tcMar>
              <w:top w:w="100" w:type="dxa"/>
              <w:start w:w="100" w:type="dxa"/>
              <w:bottom w:w="100" w:type="dxa"/>
              <w:end w:w="100" w:type="dxa"/>
            </w:tcMar>
          </w:tcPr>
          <w:p>
            <w:r>
              <w:t>Performance</w:t>
            </w:r>
          </w:p>
        </w:tc>
        <w:tc>
          <w:tcPr>
            <w:tcW w:type="dxa" w:w="5083"/>
            <w:shd w:fill="F7F9FA"/>
            <w:vAlign w:val="center"/>
            <w:tcMar>
              <w:top w:w="100" w:type="dxa"/>
              <w:start w:w="100" w:type="dxa"/>
              <w:bottom w:w="100" w:type="dxa"/>
              <w:end w:w="100" w:type="dxa"/>
            </w:tcMar>
          </w:tcPr>
          <w:p>
            <w:r>
              <w:t>Agree response-time targets for Overview, Story, Explorer and export after data volumes and query patterns are known.</w:t>
            </w:r>
          </w:p>
        </w:tc>
      </w:tr>
      <w:tr>
        <w:tc>
          <w:tcPr>
            <w:tcW w:type="dxa" w:w="5083"/>
            <w:shd w:fill="FFFFFF"/>
            <w:vAlign w:val="center"/>
            <w:tcMar>
              <w:top w:w="100" w:type="dxa"/>
              <w:start w:w="100" w:type="dxa"/>
              <w:bottom w:w="100" w:type="dxa"/>
              <w:end w:w="100" w:type="dxa"/>
            </w:tcMar>
          </w:tcPr>
          <w:p>
            <w:r>
              <w:t>Freshness</w:t>
            </w:r>
          </w:p>
        </w:tc>
        <w:tc>
          <w:tcPr>
            <w:tcW w:type="dxa" w:w="5083"/>
            <w:shd w:fill="FFFFFF"/>
            <w:vAlign w:val="center"/>
            <w:tcMar>
              <w:top w:w="100" w:type="dxa"/>
              <w:start w:w="100" w:type="dxa"/>
              <w:bottom w:w="100" w:type="dxa"/>
              <w:end w:w="100" w:type="dxa"/>
            </w:tcMar>
          </w:tcPr>
          <w:p>
            <w:r>
              <w:t>Never present stale values as current. Show data and result freshness.</w:t>
            </w:r>
          </w:p>
        </w:tc>
      </w:tr>
      <w:tr>
        <w:tc>
          <w:tcPr>
            <w:tcW w:type="dxa" w:w="5083"/>
            <w:shd w:fill="F7F9FA"/>
            <w:vAlign w:val="center"/>
            <w:tcMar>
              <w:top w:w="100" w:type="dxa"/>
              <w:start w:w="100" w:type="dxa"/>
              <w:bottom w:w="100" w:type="dxa"/>
              <w:end w:w="100" w:type="dxa"/>
            </w:tcMar>
          </w:tcPr>
          <w:p>
            <w:r>
              <w:t>Reproducibility</w:t>
            </w:r>
          </w:p>
        </w:tc>
        <w:tc>
          <w:tcPr>
            <w:tcW w:type="dxa" w:w="5083"/>
            <w:shd w:fill="F7F9FA"/>
            <w:vAlign w:val="center"/>
            <w:tcMar>
              <w:top w:w="100" w:type="dxa"/>
              <w:start w:w="100" w:type="dxa"/>
              <w:bottom w:w="100" w:type="dxa"/>
              <w:end w:w="100" w:type="dxa"/>
            </w:tcMar>
          </w:tcPr>
          <w:p>
            <w:r>
              <w:t>Reproduce a published result from the audience membership, input files, mappings, formula and approved method. Source version numbers are used when available but are optional in Phase 1.</w:t>
            </w:r>
          </w:p>
        </w:tc>
      </w:tr>
      <w:tr>
        <w:tc>
          <w:tcPr>
            <w:tcW w:type="dxa" w:w="5083"/>
            <w:shd w:fill="FFFFFF"/>
            <w:vAlign w:val="center"/>
            <w:tcMar>
              <w:top w:w="100" w:type="dxa"/>
              <w:start w:w="100" w:type="dxa"/>
              <w:bottom w:w="100" w:type="dxa"/>
              <w:end w:w="100" w:type="dxa"/>
            </w:tcMar>
          </w:tcPr>
          <w:p>
            <w:r>
              <w:t>Reliability</w:t>
            </w:r>
          </w:p>
        </w:tc>
        <w:tc>
          <w:tcPr>
            <w:tcW w:type="dxa" w:w="5083"/>
            <w:shd w:fill="FFFFFF"/>
            <w:vAlign w:val="center"/>
            <w:tcMar>
              <w:top w:w="100" w:type="dxa"/>
              <w:start w:w="100" w:type="dxa"/>
              <w:bottom w:w="100" w:type="dxa"/>
              <w:end w:w="100" w:type="dxa"/>
            </w:tcMar>
          </w:tcPr>
          <w:p>
            <w:r>
              <w:t>Duplicate delivery must not double count. Revisions must be explicit and idempotent.</w:t>
            </w:r>
          </w:p>
        </w:tc>
      </w:tr>
      <w:tr>
        <w:tc>
          <w:tcPr>
            <w:tcW w:type="dxa" w:w="5083"/>
            <w:shd w:fill="F7F9FA"/>
            <w:vAlign w:val="center"/>
            <w:tcMar>
              <w:top w:w="100" w:type="dxa"/>
              <w:start w:w="100" w:type="dxa"/>
              <w:bottom w:w="100" w:type="dxa"/>
              <w:end w:w="100" w:type="dxa"/>
            </w:tcMar>
          </w:tcPr>
          <w:p>
            <w:r>
              <w:t>Configurability</w:t>
            </w:r>
          </w:p>
        </w:tc>
        <w:tc>
          <w:tcPr>
            <w:tcW w:type="dxa" w:w="5083"/>
            <w:shd w:fill="F7F9FA"/>
            <w:vAlign w:val="center"/>
            <w:tcMar>
              <w:top w:w="100" w:type="dxa"/>
              <w:start w:w="100" w:type="dxa"/>
              <w:bottom w:w="100" w:type="dxa"/>
              <w:end w:w="100" w:type="dxa"/>
            </w:tcMar>
          </w:tcPr>
          <w:p>
            <w:r>
              <w:t>Enable a compatible second client without changing core KPI logic.</w:t>
            </w:r>
          </w:p>
        </w:tc>
      </w:tr>
      <w:tr>
        <w:tc>
          <w:tcPr>
            <w:tcW w:type="dxa" w:w="5083"/>
            <w:shd w:fill="FFFFFF"/>
            <w:vAlign w:val="center"/>
            <w:tcMar>
              <w:top w:w="100" w:type="dxa"/>
              <w:start w:w="100" w:type="dxa"/>
              <w:bottom w:w="100" w:type="dxa"/>
              <w:end w:w="100" w:type="dxa"/>
            </w:tcMar>
          </w:tcPr>
          <w:p>
            <w:r>
              <w:t>Accessibility</w:t>
            </w:r>
          </w:p>
        </w:tc>
        <w:tc>
          <w:tcPr>
            <w:tcW w:type="dxa" w:w="5083"/>
            <w:shd w:fill="FFFFFF"/>
            <w:vAlign w:val="center"/>
            <w:tcMar>
              <w:top w:w="100" w:type="dxa"/>
              <w:start w:w="100" w:type="dxa"/>
              <w:bottom w:w="100" w:type="dxa"/>
              <w:end w:w="100" w:type="dxa"/>
            </w:tcMar>
          </w:tcPr>
          <w:p>
            <w:r>
              <w:t>Meet WCAG 2.1 AA principles, including keyboard access and text labels for status.</w:t>
            </w:r>
          </w:p>
        </w:tc>
      </w:tr>
      <w:tr>
        <w:tc>
          <w:tcPr>
            <w:tcW w:type="dxa" w:w="5083"/>
            <w:shd w:fill="F7F9FA"/>
            <w:vAlign w:val="center"/>
            <w:tcMar>
              <w:top w:w="100" w:type="dxa"/>
              <w:start w:w="100" w:type="dxa"/>
              <w:bottom w:w="100" w:type="dxa"/>
              <w:end w:w="100" w:type="dxa"/>
            </w:tcMar>
          </w:tcPr>
          <w:p>
            <w:r>
              <w:t>Localization</w:t>
            </w:r>
          </w:p>
        </w:tc>
        <w:tc>
          <w:tcPr>
            <w:tcW w:type="dxa" w:w="5083"/>
            <w:shd w:fill="F7F9FA"/>
            <w:vAlign w:val="center"/>
            <w:tcMar>
              <w:top w:w="100" w:type="dxa"/>
              <w:start w:w="100" w:type="dxa"/>
              <w:bottom w:w="100" w:type="dxa"/>
              <w:end w:w="100" w:type="dxa"/>
            </w:tcMar>
          </w:tcPr>
          <w:p>
            <w:r>
              <w:t>Support language, currency and number/date formats without changing KPI definitions.</w:t>
            </w:r>
          </w:p>
        </w:tc>
      </w:tr>
      <w:tr>
        <w:tc>
          <w:tcPr>
            <w:tcW w:type="dxa" w:w="5083"/>
            <w:shd w:fill="FFFFFF"/>
            <w:vAlign w:val="center"/>
            <w:tcMar>
              <w:top w:w="100" w:type="dxa"/>
              <w:start w:w="100" w:type="dxa"/>
              <w:bottom w:w="100" w:type="dxa"/>
              <w:end w:w="100" w:type="dxa"/>
            </w:tcMar>
          </w:tcPr>
          <w:p>
            <w:r>
              <w:t>Security</w:t>
            </w:r>
          </w:p>
        </w:tc>
        <w:tc>
          <w:tcPr>
            <w:tcW w:type="dxa" w:w="5083"/>
            <w:shd w:fill="FFFFFF"/>
            <w:vAlign w:val="center"/>
            <w:tcMar>
              <w:top w:w="100" w:type="dxa"/>
              <w:start w:w="100" w:type="dxa"/>
              <w:bottom w:w="100" w:type="dxa"/>
              <w:end w:w="100" w:type="dxa"/>
            </w:tcMar>
          </w:tcPr>
          <w:p>
            <w:r>
              <w:t>Enforce tenant isolation, least privilege, row-level security and protected exports.</w:t>
            </w:r>
          </w:p>
        </w:tc>
      </w:tr>
    </w:tbl>
    <w:p/>
    <w:p>
      <w:pPr>
        <w:pStyle w:val="Heading1"/>
      </w:pPr>
      <w:r>
        <w:t>11. Success measures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Measure</w:t>
            </w:r>
          </w:p>
        </w:tc>
        <w:tc>
          <w:tcPr>
            <w:tcW w:type="dxa" w:w="5083"/>
            <w:shd w:fill="168B92"/>
            <w:vAlign w:val="center"/>
            <w:tcMar>
              <w:top w:w="100" w:type="dxa"/>
              <w:start w:w="100" w:type="dxa"/>
              <w:bottom w:w="100" w:type="dxa"/>
              <w:end w:w="100" w:type="dxa"/>
            </w:tcMar>
          </w:tcPr>
          <w:p>
            <w:r>
              <w:t>What it shows</w:t>
            </w:r>
          </w:p>
        </w:tc>
      </w:tr>
      <w:tr>
        <w:tc>
          <w:tcPr>
            <w:tcW w:type="dxa" w:w="5083"/>
            <w:shd w:fill="FFFFFF"/>
            <w:vAlign w:val="center"/>
            <w:tcMar>
              <w:top w:w="100" w:type="dxa"/>
              <w:start w:w="100" w:type="dxa"/>
              <w:bottom w:w="100" w:type="dxa"/>
              <w:end w:w="100" w:type="dxa"/>
            </w:tcMar>
          </w:tcPr>
          <w:p>
            <w:r>
              <w:t>Time from setup to measurement-ready</w:t>
            </w:r>
          </w:p>
        </w:tc>
        <w:tc>
          <w:tcPr>
            <w:tcW w:type="dxa" w:w="5083"/>
            <w:shd w:fill="FFFFFF"/>
            <w:vAlign w:val="center"/>
            <w:tcMar>
              <w:top w:w="100" w:type="dxa"/>
              <w:start w:w="100" w:type="dxa"/>
              <w:bottom w:w="100" w:type="dxa"/>
              <w:end w:w="100" w:type="dxa"/>
            </w:tcMar>
          </w:tcPr>
          <w:p>
            <w:r>
              <w:t>Setup and data-contract efficiency.</w:t>
            </w:r>
          </w:p>
        </w:tc>
      </w:tr>
      <w:tr>
        <w:tc>
          <w:tcPr>
            <w:tcW w:type="dxa" w:w="5083"/>
            <w:shd w:fill="F7F9FA"/>
            <w:vAlign w:val="center"/>
            <w:tcMar>
              <w:top w:w="100" w:type="dxa"/>
              <w:start w:w="100" w:type="dxa"/>
              <w:bottom w:w="100" w:type="dxa"/>
              <w:end w:w="100" w:type="dxa"/>
            </w:tcMar>
          </w:tcPr>
          <w:p>
            <w:r>
              <w:t>Days from campaign start to first usable read</w:t>
            </w:r>
          </w:p>
        </w:tc>
        <w:tc>
          <w:tcPr>
            <w:tcW w:type="dxa" w:w="5083"/>
            <w:shd w:fill="F7F9FA"/>
            <w:vAlign w:val="center"/>
            <w:tcMar>
              <w:top w:w="100" w:type="dxa"/>
              <w:start w:w="100" w:type="dxa"/>
              <w:bottom w:w="100" w:type="dxa"/>
              <w:end w:w="100" w:type="dxa"/>
            </w:tcMar>
          </w:tcPr>
          <w:p>
            <w:r>
              <w:t>Speed of feedback.</w:t>
            </w:r>
          </w:p>
        </w:tc>
      </w:tr>
      <w:tr>
        <w:tc>
          <w:tcPr>
            <w:tcW w:type="dxa" w:w="5083"/>
            <w:shd w:fill="FFFFFF"/>
            <w:vAlign w:val="center"/>
            <w:tcMar>
              <w:top w:w="100" w:type="dxa"/>
              <w:start w:w="100" w:type="dxa"/>
              <w:bottom w:w="100" w:type="dxa"/>
              <w:end w:w="100" w:type="dxa"/>
            </w:tcMar>
          </w:tcPr>
          <w:p>
            <w:r>
              <w:t>Share of campaigns with no manual data correction</w:t>
            </w:r>
          </w:p>
        </w:tc>
        <w:tc>
          <w:tcPr>
            <w:tcW w:type="dxa" w:w="5083"/>
            <w:shd w:fill="FFFFFF"/>
            <w:vAlign w:val="center"/>
            <w:tcMar>
              <w:top w:w="100" w:type="dxa"/>
              <w:start w:w="100" w:type="dxa"/>
              <w:bottom w:w="100" w:type="dxa"/>
              <w:end w:w="100" w:type="dxa"/>
            </w:tcMar>
          </w:tcPr>
          <w:p>
            <w:r>
              <w:t>Automation and integration quality.</w:t>
            </w:r>
          </w:p>
        </w:tc>
      </w:tr>
      <w:tr>
        <w:tc>
          <w:tcPr>
            <w:tcW w:type="dxa" w:w="5083"/>
            <w:shd w:fill="F7F9FA"/>
            <w:vAlign w:val="center"/>
            <w:tcMar>
              <w:top w:w="100" w:type="dxa"/>
              <w:start w:w="100" w:type="dxa"/>
              <w:bottom w:w="100" w:type="dxa"/>
              <w:end w:w="100" w:type="dxa"/>
            </w:tcMar>
          </w:tcPr>
          <w:p>
            <w:r>
              <w:t>Share of measured spend with exposure-based attributed outcomes</w:t>
            </w:r>
          </w:p>
        </w:tc>
        <w:tc>
          <w:tcPr>
            <w:tcW w:type="dxa" w:w="5083"/>
            <w:shd w:fill="F7F9FA"/>
            <w:vAlign w:val="center"/>
            <w:tcMar>
              <w:top w:w="100" w:type="dxa"/>
              <w:start w:w="100" w:type="dxa"/>
              <w:bottom w:w="100" w:type="dxa"/>
              <w:end w:w="100" w:type="dxa"/>
            </w:tcMar>
          </w:tcPr>
          <w:p>
            <w:r>
              <w:t>Closed-loop coverage.</w:t>
            </w:r>
          </w:p>
        </w:tc>
      </w:tr>
      <w:tr>
        <w:tc>
          <w:tcPr>
            <w:tcW w:type="dxa" w:w="5083"/>
            <w:shd w:fill="FFFFFF"/>
            <w:vAlign w:val="center"/>
            <w:tcMar>
              <w:top w:w="100" w:type="dxa"/>
              <w:start w:w="100" w:type="dxa"/>
              <w:bottom w:w="100" w:type="dxa"/>
              <w:end w:w="100" w:type="dxa"/>
            </w:tcMar>
          </w:tcPr>
          <w:p>
            <w:r>
              <w:t>Share of eligible campaigns with an approved causal result</w:t>
            </w:r>
          </w:p>
        </w:tc>
        <w:tc>
          <w:tcPr>
            <w:tcW w:type="dxa" w:w="5083"/>
            <w:shd w:fill="FFFFFF"/>
            <w:vAlign w:val="center"/>
            <w:tcMar>
              <w:top w:w="100" w:type="dxa"/>
              <w:start w:w="100" w:type="dxa"/>
              <w:bottom w:w="100" w:type="dxa"/>
              <w:end w:w="100" w:type="dxa"/>
            </w:tcMar>
          </w:tcPr>
          <w:p>
            <w:r>
              <w:t>Incrementality maturity.</w:t>
            </w:r>
          </w:p>
        </w:tc>
      </w:tr>
      <w:tr>
        <w:tc>
          <w:tcPr>
            <w:tcW w:type="dxa" w:w="5083"/>
            <w:shd w:fill="F7F9FA"/>
            <w:vAlign w:val="center"/>
            <w:tcMar>
              <w:top w:w="100" w:type="dxa"/>
              <w:start w:w="100" w:type="dxa"/>
              <w:bottom w:w="100" w:type="dxa"/>
              <w:end w:w="100" w:type="dxa"/>
            </w:tcMar>
          </w:tcPr>
          <w:p>
            <w:r>
              <w:t>Reconciliation variance versus partner totals</w:t>
            </w:r>
          </w:p>
        </w:tc>
        <w:tc>
          <w:tcPr>
            <w:tcW w:type="dxa" w:w="5083"/>
            <w:shd w:fill="F7F9FA"/>
            <w:vAlign w:val="center"/>
            <w:tcMar>
              <w:top w:w="100" w:type="dxa"/>
              <w:start w:w="100" w:type="dxa"/>
              <w:bottom w:w="100" w:type="dxa"/>
              <w:end w:w="100" w:type="dxa"/>
            </w:tcMar>
          </w:tcPr>
          <w:p>
            <w:r>
              <w:t>Measurement trust.</w:t>
            </w:r>
          </w:p>
        </w:tc>
      </w:tr>
      <w:tr>
        <w:tc>
          <w:tcPr>
            <w:tcW w:type="dxa" w:w="5083"/>
            <w:shd w:fill="FFFFFF"/>
            <w:vAlign w:val="center"/>
            <w:tcMar>
              <w:top w:w="100" w:type="dxa"/>
              <w:start w:w="100" w:type="dxa"/>
              <w:bottom w:w="100" w:type="dxa"/>
              <w:end w:w="100" w:type="dxa"/>
            </w:tcMar>
          </w:tcPr>
          <w:p>
            <w:r>
              <w:t>Share of reports accepted without a methodology dispute</w:t>
            </w:r>
          </w:p>
        </w:tc>
        <w:tc>
          <w:tcPr>
            <w:tcW w:type="dxa" w:w="5083"/>
            <w:shd w:fill="FFFFFF"/>
            <w:vAlign w:val="center"/>
            <w:tcMar>
              <w:top w:w="100" w:type="dxa"/>
              <w:start w:w="100" w:type="dxa"/>
              <w:bottom w:w="100" w:type="dxa"/>
              <w:end w:w="100" w:type="dxa"/>
            </w:tcMar>
          </w:tcPr>
          <w:p>
            <w:r>
              <w:t>Clarity and commercial trust.</w:t>
            </w:r>
          </w:p>
        </w:tc>
      </w:tr>
      <w:tr>
        <w:tc>
          <w:tcPr>
            <w:tcW w:type="dxa" w:w="5083"/>
            <w:shd w:fill="F7F9FA"/>
            <w:vAlign w:val="center"/>
            <w:tcMar>
              <w:top w:w="100" w:type="dxa"/>
              <w:start w:w="100" w:type="dxa"/>
              <w:bottom w:w="100" w:type="dxa"/>
              <w:end w:w="100" w:type="dxa"/>
            </w:tcMar>
          </w:tcPr>
          <w:p>
            <w:r>
              <w:t>Share of campaigns with a documented next action</w:t>
            </w:r>
          </w:p>
        </w:tc>
        <w:tc>
          <w:tcPr>
            <w:tcW w:type="dxa" w:w="5083"/>
            <w:shd w:fill="F7F9FA"/>
            <w:vAlign w:val="center"/>
            <w:tcMar>
              <w:top w:w="100" w:type="dxa"/>
              <w:start w:w="100" w:type="dxa"/>
              <w:bottom w:w="100" w:type="dxa"/>
              <w:end w:w="100" w:type="dxa"/>
            </w:tcMar>
          </w:tcPr>
          <w:p>
            <w:r>
              <w:t>Whether measurement closes the learning loop.</w:t>
            </w:r>
          </w:p>
        </w:tc>
      </w:tr>
    </w:tbl>
    <w:p/>
    <w:p>
      <w:pPr>
        <w:pStyle w:val="Heading1"/>
      </w:pPr>
      <w:r>
        <w:t>12. Decisions to close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Decision</w:t>
            </w:r>
          </w:p>
        </w:tc>
        <w:tc>
          <w:tcPr>
            <w:tcW w:type="dxa" w:w="5083"/>
            <w:shd w:fill="168B92"/>
            <w:vAlign w:val="center"/>
            <w:tcMar>
              <w:top w:w="100" w:type="dxa"/>
              <w:start w:w="100" w:type="dxa"/>
              <w:bottom w:w="100" w:type="dxa"/>
              <w:end w:w="100" w:type="dxa"/>
            </w:tcMar>
          </w:tcPr>
          <w:p>
            <w:r>
              <w:t>What must be confirmed</w:t>
            </w:r>
          </w:p>
        </w:tc>
      </w:tr>
      <w:tr>
        <w:tc>
          <w:tcPr>
            <w:tcW w:type="dxa" w:w="5083"/>
            <w:shd w:fill="FFFFFF"/>
            <w:vAlign w:val="center"/>
            <w:tcMar>
              <w:top w:w="100" w:type="dxa"/>
              <w:start w:w="100" w:type="dxa"/>
              <w:bottom w:w="100" w:type="dxa"/>
              <w:end w:w="100" w:type="dxa"/>
            </w:tcMar>
          </w:tcPr>
          <w:p>
            <w:r>
              <w:t>Phase 1 KPI set</w:t>
            </w:r>
          </w:p>
        </w:tc>
        <w:tc>
          <w:tcPr>
            <w:tcW w:type="dxa" w:w="5083"/>
            <w:shd w:fill="FFFFFF"/>
            <w:vAlign w:val="center"/>
            <w:tcMar>
              <w:top w:w="100" w:type="dxa"/>
              <w:start w:w="100" w:type="dxa"/>
              <w:bottom w:w="100" w:type="dxa"/>
              <w:end w:w="100" w:type="dxa"/>
            </w:tcMar>
          </w:tcPr>
          <w:p>
            <w:r>
              <w:t>KPI definitions, valid dimensions, periods and screen placement after client traceability.</w:t>
            </w:r>
          </w:p>
        </w:tc>
      </w:tr>
      <w:tr>
        <w:tc>
          <w:tcPr>
            <w:tcW w:type="dxa" w:w="5083"/>
            <w:shd w:fill="F7F9FA"/>
            <w:vAlign w:val="center"/>
            <w:tcMar>
              <w:top w:w="100" w:type="dxa"/>
              <w:start w:w="100" w:type="dxa"/>
              <w:bottom w:w="100" w:type="dxa"/>
              <w:end w:w="100" w:type="dxa"/>
            </w:tcMar>
          </w:tcPr>
          <w:p>
            <w:r>
              <w:t>Audience identity</w:t>
            </w:r>
          </w:p>
        </w:tc>
        <w:tc>
          <w:tcPr>
            <w:tcW w:type="dxa" w:w="5083"/>
            <w:shd w:fill="F7F9FA"/>
            <w:vAlign w:val="center"/>
            <w:tcMar>
              <w:top w:w="100" w:type="dxa"/>
              <w:start w:w="100" w:type="dxa"/>
              <w:bottom w:w="100" w:type="dxa"/>
              <w:end w:w="100" w:type="dxa"/>
            </w:tcMar>
          </w:tcPr>
          <w:p>
            <w:r>
              <w:t>Confirm the file process that sends and stores Activate Segment ID and Activate Shopper ID membership for each campaign.</w:t>
            </w:r>
          </w:p>
        </w:tc>
      </w:tr>
      <w:tr>
        <w:tc>
          <w:tcPr>
            <w:tcW w:type="dxa" w:w="5083"/>
            <w:shd w:fill="FFFFFF"/>
            <w:vAlign w:val="center"/>
            <w:tcMar>
              <w:top w:w="100" w:type="dxa"/>
              <w:start w:w="100" w:type="dxa"/>
              <w:bottom w:w="100" w:type="dxa"/>
              <w:end w:w="100" w:type="dxa"/>
            </w:tcMar>
          </w:tcPr>
          <w:p>
            <w:r>
              <w:t>Attribution</w:t>
            </w:r>
          </w:p>
        </w:tc>
        <w:tc>
          <w:tcPr>
            <w:tcW w:type="dxa" w:w="5083"/>
            <w:shd w:fill="FFFFFF"/>
            <w:vAlign w:val="center"/>
            <w:tcMar>
              <w:top w:w="100" w:type="dxa"/>
              <w:start w:w="100" w:type="dxa"/>
              <w:bottom w:w="100" w:type="dxa"/>
              <w:end w:w="100" w:type="dxa"/>
            </w:tcMar>
          </w:tcPr>
          <w:p>
            <w:r>
              <w:t>Trigger, windows, touch and deduplication, maturity, sales basis, halo and cost scope.</w:t>
            </w:r>
          </w:p>
        </w:tc>
      </w:tr>
      <w:tr>
        <w:tc>
          <w:tcPr>
            <w:tcW w:type="dxa" w:w="5083"/>
            <w:shd w:fill="F7F9FA"/>
            <w:vAlign w:val="center"/>
            <w:tcMar>
              <w:top w:w="100" w:type="dxa"/>
              <w:start w:w="100" w:type="dxa"/>
              <w:bottom w:w="100" w:type="dxa"/>
              <w:end w:w="100" w:type="dxa"/>
            </w:tcMar>
          </w:tcPr>
          <w:p>
            <w:r>
              <w:t>Financial reporting</w:t>
            </w:r>
          </w:p>
        </w:tc>
        <w:tc>
          <w:tcPr>
            <w:tcW w:type="dxa" w:w="5083"/>
            <w:shd w:fill="F7F9FA"/>
            <w:vAlign w:val="center"/>
            <w:tcMar>
              <w:top w:w="100" w:type="dxa"/>
              <w:start w:w="100" w:type="dxa"/>
              <w:bottom w:w="100" w:type="dxa"/>
              <w:end w:w="100" w:type="dxa"/>
            </w:tcMar>
          </w:tcPr>
          <w:p>
            <w:r>
              <w:t>Margin basis, spend/fees/discounts, funding, tax, currency and P&amp;L formula.</w:t>
            </w:r>
          </w:p>
        </w:tc>
      </w:tr>
      <w:tr>
        <w:tc>
          <w:tcPr>
            <w:tcW w:type="dxa" w:w="5083"/>
            <w:shd w:fill="FFFFFF"/>
            <w:vAlign w:val="center"/>
            <w:tcMar>
              <w:top w:w="100" w:type="dxa"/>
              <w:start w:w="100" w:type="dxa"/>
              <w:bottom w:w="100" w:type="dxa"/>
              <w:end w:w="100" w:type="dxa"/>
            </w:tcMar>
          </w:tcPr>
          <w:p>
            <w:r>
              <w:t>Creative reporting</w:t>
            </w:r>
          </w:p>
        </w:tc>
        <w:tc>
          <w:tcPr>
            <w:tcW w:type="dxa" w:w="5083"/>
            <w:shd w:fill="FFFFFF"/>
            <w:vAlign w:val="center"/>
            <w:tcMar>
              <w:top w:w="100" w:type="dxa"/>
              <w:start w:w="100" w:type="dxa"/>
              <w:bottom w:w="100" w:type="dxa"/>
              <w:end w:w="100" w:type="dxa"/>
            </w:tcMar>
          </w:tcPr>
          <w:p>
            <w:r>
              <w:t>Creative ID/version, placement and product mappings, and valid KPI grain.</w:t>
            </w:r>
          </w:p>
        </w:tc>
      </w:tr>
      <w:tr>
        <w:tc>
          <w:tcPr>
            <w:tcW w:type="dxa" w:w="5083"/>
            <w:shd w:fill="F7F9FA"/>
            <w:vAlign w:val="center"/>
            <w:tcMar>
              <w:top w:w="100" w:type="dxa"/>
              <w:start w:w="100" w:type="dxa"/>
              <w:bottom w:w="100" w:type="dxa"/>
              <w:end w:w="100" w:type="dxa"/>
            </w:tcMar>
          </w:tcPr>
          <w:p>
            <w:r>
              <w:t>Halo</w:t>
            </w:r>
          </w:p>
        </w:tc>
        <w:tc>
          <w:tcPr>
            <w:tcW w:type="dxa" w:w="5083"/>
            <w:shd w:fill="F7F9FA"/>
            <w:vAlign w:val="center"/>
            <w:tcMar>
              <w:top w:w="100" w:type="dxa"/>
              <w:start w:w="100" w:type="dxa"/>
              <w:bottom w:w="100" w:type="dxa"/>
              <w:end w:w="100" w:type="dxa"/>
            </w:tcMar>
          </w:tcPr>
          <w:p>
            <w:r>
              <w:t>Direct product, brand, category and cross-category scopes.</w:t>
            </w:r>
          </w:p>
        </w:tc>
      </w:tr>
      <w:tr>
        <w:tc>
          <w:tcPr>
            <w:tcW w:type="dxa" w:w="5083"/>
            <w:shd w:fill="FFFFFF"/>
            <w:vAlign w:val="center"/>
            <w:tcMar>
              <w:top w:w="100" w:type="dxa"/>
              <w:start w:w="100" w:type="dxa"/>
              <w:bottom w:w="100" w:type="dxa"/>
              <w:end w:w="100" w:type="dxa"/>
            </w:tcMar>
          </w:tcPr>
          <w:p>
            <w:r>
              <w:t>Cannibalization</w:t>
            </w:r>
          </w:p>
        </w:tc>
        <w:tc>
          <w:tcPr>
            <w:tcW w:type="dxa" w:w="5083"/>
            <w:shd w:fill="FFFFFF"/>
            <w:vAlign w:val="center"/>
            <w:tcMar>
              <w:top w:w="100" w:type="dxa"/>
              <w:start w:w="100" w:type="dxa"/>
              <w:bottom w:w="100" w:type="dxa"/>
              <w:end w:w="100" w:type="dxa"/>
            </w:tcMar>
          </w:tcPr>
          <w:p>
            <w:r>
              <w:t>Substitute set, comparison method, ownership scope and netting rules.</w:t>
            </w:r>
          </w:p>
        </w:tc>
      </w:tr>
      <w:tr>
        <w:tc>
          <w:tcPr>
            <w:tcW w:type="dxa" w:w="5083"/>
            <w:shd w:fill="F7F9FA"/>
            <w:vAlign w:val="center"/>
            <w:tcMar>
              <w:top w:w="100" w:type="dxa"/>
              <w:start w:w="100" w:type="dxa"/>
              <w:bottom w:w="100" w:type="dxa"/>
              <w:end w:w="100" w:type="dxa"/>
            </w:tcMar>
          </w:tcPr>
          <w:p>
            <w:r>
              <w:t>Pull-forward</w:t>
            </w:r>
          </w:p>
        </w:tc>
        <w:tc>
          <w:tcPr>
            <w:tcW w:type="dxa" w:w="5083"/>
            <w:shd w:fill="F7F9FA"/>
            <w:vAlign w:val="center"/>
            <w:tcMar>
              <w:top w:w="100" w:type="dxa"/>
              <w:start w:w="100" w:type="dxa"/>
              <w:bottom w:w="100" w:type="dxa"/>
              <w:end w:w="100" w:type="dxa"/>
            </w:tcMar>
          </w:tcPr>
          <w:p>
            <w:r>
              <w:t>Expected purchase cycle, post-period, comparison population and materiality.</w:t>
            </w:r>
          </w:p>
        </w:tc>
      </w:tr>
      <w:tr>
        <w:tc>
          <w:tcPr>
            <w:tcW w:type="dxa" w:w="5083"/>
            <w:shd w:fill="FFFFFF"/>
            <w:vAlign w:val="center"/>
            <w:tcMar>
              <w:top w:w="100" w:type="dxa"/>
              <w:start w:w="100" w:type="dxa"/>
              <w:bottom w:w="100" w:type="dxa"/>
              <w:end w:w="100" w:type="dxa"/>
            </w:tcMar>
          </w:tcPr>
          <w:p>
            <w:r>
              <w:t>Benchmarks</w:t>
            </w:r>
          </w:p>
        </w:tc>
        <w:tc>
          <w:tcPr>
            <w:tcW w:type="dxa" w:w="5083"/>
            <w:shd w:fill="FFFFFF"/>
            <w:vAlign w:val="center"/>
            <w:tcMar>
              <w:top w:w="100" w:type="dxa"/>
              <w:start w:w="100" w:type="dxa"/>
              <w:bottom w:w="100" w:type="dxa"/>
              <w:end w:w="100" w:type="dxa"/>
            </w:tcMar>
          </w:tcPr>
          <w:p>
            <w:r>
              <w:t>Comparable cohort, minimum sample, normalization and benchmark ownership.</w:t>
            </w:r>
          </w:p>
        </w:tc>
      </w:tr>
      <w:tr>
        <w:tc>
          <w:tcPr>
            <w:tcW w:type="dxa" w:w="5083"/>
            <w:shd w:fill="F7F9FA"/>
            <w:vAlign w:val="center"/>
            <w:tcMar>
              <w:top w:w="100" w:type="dxa"/>
              <w:start w:w="100" w:type="dxa"/>
              <w:bottom w:w="100" w:type="dxa"/>
              <w:end w:w="100" w:type="dxa"/>
            </w:tcMar>
          </w:tcPr>
          <w:p>
            <w:r>
              <w:t>Rest of market</w:t>
            </w:r>
          </w:p>
        </w:tc>
        <w:tc>
          <w:tcPr>
            <w:tcW w:type="dxa" w:w="5083"/>
            <w:shd w:fill="F7F9FA"/>
            <w:vAlign w:val="center"/>
            <w:tcMar>
              <w:top w:w="100" w:type="dxa"/>
              <w:start w:w="100" w:type="dxa"/>
              <w:bottom w:w="100" w:type="dxa"/>
              <w:end w:w="100" w:type="dxa"/>
            </w:tcMar>
          </w:tcPr>
          <w:p>
            <w:r>
              <w:t>Data rights, coverage, taxonomy, latency and disclosure.</w:t>
            </w:r>
          </w:p>
        </w:tc>
      </w:tr>
      <w:tr>
        <w:tc>
          <w:tcPr>
            <w:tcW w:type="dxa" w:w="5083"/>
            <w:shd w:fill="FFFFFF"/>
            <w:vAlign w:val="center"/>
            <w:tcMar>
              <w:top w:w="100" w:type="dxa"/>
              <w:start w:w="100" w:type="dxa"/>
              <w:bottom w:w="100" w:type="dxa"/>
              <w:end w:w="100" w:type="dxa"/>
            </w:tcMar>
          </w:tcPr>
          <w:p>
            <w:r>
              <w:t>Privacy and quality</w:t>
            </w:r>
          </w:p>
        </w:tc>
        <w:tc>
          <w:tcPr>
            <w:tcW w:type="dxa" w:w="5083"/>
            <w:shd w:fill="FFFFFF"/>
            <w:vAlign w:val="center"/>
            <w:tcMar>
              <w:top w:w="100" w:type="dxa"/>
              <w:start w:w="100" w:type="dxa"/>
              <w:bottom w:w="100" w:type="dxa"/>
              <w:end w:w="100" w:type="dxa"/>
            </w:tcMar>
          </w:tcPr>
          <w:p>
            <w:r>
              <w:t>Required fields, freshness, match/coverage levels, duplicate tolerance and cell suppression.</w:t>
            </w:r>
          </w:p>
        </w:tc>
      </w:tr>
      <w:tr>
        <w:tc>
          <w:tcPr>
            <w:tcW w:type="dxa" w:w="5083"/>
            <w:shd w:fill="F7F9FA"/>
            <w:vAlign w:val="center"/>
            <w:tcMar>
              <w:top w:w="100" w:type="dxa"/>
              <w:start w:w="100" w:type="dxa"/>
              <w:bottom w:w="100" w:type="dxa"/>
              <w:end w:w="100" w:type="dxa"/>
            </w:tcMar>
          </w:tcPr>
          <w:p>
            <w:r>
              <w:t>Approval and retention</w:t>
            </w:r>
          </w:p>
        </w:tc>
        <w:tc>
          <w:tcPr>
            <w:tcW w:type="dxa" w:w="5083"/>
            <w:shd w:fill="F7F9FA"/>
            <w:vAlign w:val="center"/>
            <w:tcMar>
              <w:top w:w="100" w:type="dxa"/>
              <w:start w:w="100" w:type="dxa"/>
              <w:bottom w:w="100" w:type="dxa"/>
              <w:end w:w="100" w:type="dxa"/>
            </w:tcMar>
          </w:tcPr>
          <w:p>
            <w:r>
              <w:t>Approvers, sharing rules, correction process and retention period.</w:t>
            </w:r>
          </w:p>
        </w:tc>
      </w:tr>
      <w:tr>
        <w:tc>
          <w:tcPr>
            <w:tcW w:type="dxa" w:w="5083"/>
            <w:shd w:fill="F7F9FA"/>
            <w:vAlign w:val="center"/>
            <w:tcMar>
              <w:top w:w="100" w:type="dxa"/>
              <w:start w:w="100" w:type="dxa"/>
              <w:bottom w:w="100" w:type="dxa"/>
              <w:end w:w="100" w:type="dxa"/>
            </w:tcMar>
          </w:tcPr>
          <w:p>
            <w:r>
              <w:t>Market data integration</w:t>
            </w:r>
          </w:p>
        </w:tc>
        <w:tc>
          <w:tcPr>
            <w:tcW w:type="dxa" w:w="5083"/>
            <w:shd w:fill="F7F9FA"/>
            <w:vAlign w:val="center"/>
            <w:tcMar>
              <w:top w:w="100" w:type="dxa"/>
              <w:start w:w="100" w:type="dxa"/>
              <w:bottom w:w="100" w:type="dxa"/>
              <w:end w:w="100" w:type="dxa"/>
            </w:tcMar>
          </w:tcPr>
          <w:p>
            <w:r>
              <w:t>Confirm NIQ sources, rights, coverage, taxonomy mapping, geography, weighting/projection, latency, benchmark cohorts and causal options.</w:t>
            </w:r>
          </w:p>
        </w:tc>
      </w:tr>
      <w:tr>
        <w:tc>
          <w:tcPr>
            <w:tcW w:type="dxa" w:w="5083"/>
            <w:shd w:fill="F7F9FA"/>
            <w:vAlign w:val="center"/>
            <w:tcMar>
              <w:top w:w="100" w:type="dxa"/>
              <w:start w:w="100" w:type="dxa"/>
              <w:bottom w:w="100" w:type="dxa"/>
              <w:end w:w="100" w:type="dxa"/>
            </w:tcMar>
          </w:tcPr>
          <w:p>
            <w:r>
              <w:t>Integrated commerce</w:t>
            </w:r>
          </w:p>
        </w:tc>
        <w:tc>
          <w:tcPr>
            <w:tcW w:type="dxa" w:w="5083"/>
            <w:shd w:fill="F7F9FA"/>
            <w:vAlign w:val="center"/>
            <w:tcMar>
              <w:top w:w="100" w:type="dxa"/>
              <w:start w:w="100" w:type="dxa"/>
              <w:bottom w:w="100" w:type="dxa"/>
              <w:end w:w="100" w:type="dxa"/>
            </w:tcMar>
          </w:tcPr>
          <w:p>
            <w:r>
              <w:t>Confirm the common entities and linkage rules for Retail Media, Personalized Offers, promotions, costs and market context without expanding Phase 1 scope.</w:t>
            </w:r>
          </w:p>
        </w:tc>
      </w:tr>
    </w:tbl>
    <w:p/>
    <w:p>
      <w:r>
        <w:rPr>
          <w:sz w:val="21"/>
        </w:rPr>
      </w:r>
    </w:p>
    <w:p>
      <w:pPr>
        <w:pStyle w:val="Heading1"/>
      </w:pPr>
      <w:r>
        <w:t>13. Product document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Document</w:t>
            </w:r>
          </w:p>
        </w:tc>
        <w:tc>
          <w:tcPr>
            <w:tcW w:type="dxa" w:w="5083"/>
            <w:shd w:fill="168B92"/>
            <w:vAlign w:val="center"/>
            <w:tcMar>
              <w:top w:w="100" w:type="dxa"/>
              <w:start w:w="100" w:type="dxa"/>
              <w:bottom w:w="100" w:type="dxa"/>
              <w:end w:w="100" w:type="dxa"/>
            </w:tcMar>
          </w:tcPr>
          <w:p>
            <w:r>
              <w:t>Authority</w:t>
            </w:r>
          </w:p>
        </w:tc>
      </w:tr>
      <w:tr>
        <w:tc>
          <w:tcPr>
            <w:tcW w:type="dxa" w:w="5083"/>
            <w:shd w:fill="FFFFFF"/>
            <w:vAlign w:val="center"/>
            <w:tcMar>
              <w:top w:w="100" w:type="dxa"/>
              <w:start w:w="100" w:type="dxa"/>
              <w:bottom w:w="100" w:type="dxa"/>
              <w:end w:w="100" w:type="dxa"/>
            </w:tcMar>
          </w:tcPr>
          <w:p>
            <w:r>
              <w:t>Product Bible</w:t>
            </w:r>
          </w:p>
        </w:tc>
        <w:tc>
          <w:tcPr>
            <w:tcW w:type="dxa" w:w="5083"/>
            <w:shd w:fill="FFFFFF"/>
            <w:vAlign w:val="center"/>
            <w:tcMar>
              <w:top w:w="100" w:type="dxa"/>
              <w:start w:w="100" w:type="dxa"/>
              <w:bottom w:w="100" w:type="dxa"/>
              <w:end w:w="100" w:type="dxa"/>
            </w:tcMar>
          </w:tcPr>
          <w:p>
            <w:r>
              <w:t>Vision, scope, principles, feature policy, screen roles and roadmap.</w:t>
            </w:r>
          </w:p>
        </w:tc>
      </w:tr>
      <w:tr>
        <w:tc>
          <w:tcPr>
            <w:tcW w:type="dxa" w:w="5083"/>
            <w:shd w:fill="F7F9FA"/>
            <w:vAlign w:val="center"/>
            <w:tcMar>
              <w:top w:w="100" w:type="dxa"/>
              <w:start w:w="100" w:type="dxa"/>
              <w:bottom w:w="100" w:type="dxa"/>
              <w:end w:w="100" w:type="dxa"/>
            </w:tcMar>
          </w:tcPr>
          <w:p>
            <w:r>
              <w:t>Feature Catalogue</w:t>
            </w:r>
          </w:p>
        </w:tc>
        <w:tc>
          <w:tcPr>
            <w:tcW w:type="dxa" w:w="5083"/>
            <w:shd w:fill="F7F9FA"/>
            <w:vAlign w:val="center"/>
            <w:tcMar>
              <w:top w:w="100" w:type="dxa"/>
              <w:start w:w="100" w:type="dxa"/>
              <w:bottom w:w="100" w:type="dxa"/>
              <w:end w:w="100" w:type="dxa"/>
            </w:tcMar>
          </w:tcPr>
          <w:p>
            <w:r>
              <w:t>Detailed reusable feature definitions and feature IDs.</w:t>
            </w:r>
          </w:p>
        </w:tc>
      </w:tr>
      <w:tr>
        <w:tc>
          <w:tcPr>
            <w:tcW w:type="dxa" w:w="5083"/>
            <w:shd w:fill="FFFFFF"/>
            <w:vAlign w:val="center"/>
            <w:tcMar>
              <w:top w:w="100" w:type="dxa"/>
              <w:start w:w="100" w:type="dxa"/>
              <w:bottom w:w="100" w:type="dxa"/>
              <w:end w:w="100" w:type="dxa"/>
            </w:tcMar>
          </w:tcPr>
          <w:p>
            <w:r>
              <w:t>KPI Catalogue</w:t>
            </w:r>
          </w:p>
        </w:tc>
        <w:tc>
          <w:tcPr>
            <w:tcW w:type="dxa" w:w="5083"/>
            <w:shd w:fill="FFFFFF"/>
            <w:vAlign w:val="center"/>
            <w:tcMar>
              <w:top w:w="100" w:type="dxa"/>
              <w:start w:w="100" w:type="dxa"/>
              <w:bottom w:w="100" w:type="dxa"/>
              <w:end w:w="100" w:type="dxa"/>
            </w:tcMar>
          </w:tcPr>
          <w:p>
            <w:r>
              <w:t>KPI definition, formula, scope, grain, inputs, availability and phase.</w:t>
            </w:r>
          </w:p>
        </w:tc>
      </w:tr>
      <w:tr>
        <w:tc>
          <w:tcPr>
            <w:tcW w:type="dxa" w:w="5083"/>
            <w:shd w:fill="F7F9FA"/>
            <w:vAlign w:val="center"/>
            <w:tcMar>
              <w:top w:w="100" w:type="dxa"/>
              <w:start w:w="100" w:type="dxa"/>
              <w:bottom w:w="100" w:type="dxa"/>
              <w:end w:w="100" w:type="dxa"/>
            </w:tcMar>
          </w:tcPr>
          <w:p>
            <w:r>
              <w:t>Data and Integration Contract</w:t>
            </w:r>
          </w:p>
        </w:tc>
        <w:tc>
          <w:tcPr>
            <w:tcW w:type="dxa" w:w="5083"/>
            <w:shd w:fill="F7F9FA"/>
            <w:vAlign w:val="center"/>
            <w:tcMar>
              <w:top w:w="100" w:type="dxa"/>
              <w:start w:w="100" w:type="dxa"/>
              <w:bottom w:w="100" w:type="dxa"/>
              <w:end w:w="100" w:type="dxa"/>
            </w:tcMar>
          </w:tcPr>
          <w:p>
            <w:r>
              <w:t>Entities, identifiers, schemas, mappings, cadence, revisions and quality.</w:t>
            </w:r>
          </w:p>
        </w:tc>
      </w:tr>
      <w:tr>
        <w:tc>
          <w:tcPr>
            <w:tcW w:type="dxa" w:w="5083"/>
            <w:shd w:fill="FFFFFF"/>
            <w:vAlign w:val="center"/>
            <w:tcMar>
              <w:top w:w="100" w:type="dxa"/>
              <w:start w:w="100" w:type="dxa"/>
              <w:bottom w:w="100" w:type="dxa"/>
              <w:end w:w="100" w:type="dxa"/>
            </w:tcMar>
          </w:tcPr>
          <w:p>
            <w:r>
              <w:t>Design and Feature Placement Specification</w:t>
            </w:r>
          </w:p>
        </w:tc>
        <w:tc>
          <w:tcPr>
            <w:tcW w:type="dxa" w:w="5083"/>
            <w:shd w:fill="FFFFFF"/>
            <w:vAlign w:val="center"/>
            <w:tcMar>
              <w:top w:w="100" w:type="dxa"/>
              <w:start w:w="100" w:type="dxa"/>
              <w:bottom w:w="100" w:type="dxa"/>
              <w:end w:w="100" w:type="dxa"/>
            </w:tcMar>
          </w:tcPr>
          <w:p>
            <w:r>
              <w:t>Screen layout, interactions, states and feature placement.</w:t>
            </w:r>
          </w:p>
        </w:tc>
      </w:tr>
      <w:tr>
        <w:tc>
          <w:tcPr>
            <w:tcW w:type="dxa" w:w="5083"/>
            <w:shd w:fill="F7F9FA"/>
            <w:vAlign w:val="center"/>
            <w:tcMar>
              <w:top w:w="100" w:type="dxa"/>
              <w:start w:w="100" w:type="dxa"/>
              <w:bottom w:w="100" w:type="dxa"/>
              <w:end w:w="100" w:type="dxa"/>
            </w:tcMar>
          </w:tcPr>
          <w:p>
            <w:r>
              <w:t>Phase 1 Build Requirements</w:t>
            </w:r>
          </w:p>
        </w:tc>
        <w:tc>
          <w:tcPr>
            <w:tcW w:type="dxa" w:w="5083"/>
            <w:shd w:fill="F7F9FA"/>
            <w:vAlign w:val="center"/>
            <w:tcMar>
              <w:top w:w="100" w:type="dxa"/>
              <w:start w:w="100" w:type="dxa"/>
              <w:bottom w:w="100" w:type="dxa"/>
              <w:end w:w="100" w:type="dxa"/>
            </w:tcMar>
          </w:tcPr>
          <w:p>
            <w:r>
              <w:t>Committed Phase 1 behavior, dependencies, acceptance rules and open decisions.</w:t>
            </w:r>
          </w:p>
        </w:tc>
      </w:tr>
      <w:tr>
        <w:tc>
          <w:tcPr>
            <w:tcW w:type="dxa" w:w="5083"/>
            <w:shd w:fill="FFFFFF"/>
            <w:vAlign w:val="center"/>
            <w:tcMar>
              <w:top w:w="100" w:type="dxa"/>
              <w:start w:w="100" w:type="dxa"/>
              <w:bottom w:w="100" w:type="dxa"/>
              <w:end w:w="100" w:type="dxa"/>
            </w:tcMar>
          </w:tcPr>
          <w:p>
            <w:r>
              <w:t>Jira</w:t>
            </w:r>
          </w:p>
        </w:tc>
        <w:tc>
          <w:tcPr>
            <w:tcW w:type="dxa" w:w="5083"/>
            <w:shd w:fill="FFFFFF"/>
            <w:vAlign w:val="center"/>
            <w:tcMar>
              <w:top w:w="100" w:type="dxa"/>
              <w:start w:w="100" w:type="dxa"/>
              <w:bottom w:w="100" w:type="dxa"/>
              <w:end w:w="100" w:type="dxa"/>
            </w:tcMar>
          </w:tcPr>
          <w:p>
            <w:r>
              <w:t>Epics, stories, enablers and implementation tasks.</w:t>
            </w:r>
          </w:p>
        </w:tc>
      </w:tr>
    </w:tbl>
    <w:p/>
    <w:p>
      <w:pPr/>
      <w:r>
        <w:rPr>
          <w:sz w:val="21"/>
        </w:rPr>
        <w:t>Control method decisions remain open until Product, Data Science, the client and Unlimitail agree the channel classification, partner data contract, control protection, method thresholds, approval authority and retention period.</w:t>
      </w:r>
    </w:p>
    <w:p>
      <w:pPr>
        <w:pStyle w:val="Heading1"/>
      </w:pPr>
      <w:r>
        <w:t>Appendix A. Working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8B92"/>
            <w:vAlign w:val="center"/>
            <w:tcMar>
              <w:top w:w="100" w:type="dxa"/>
              <w:start w:w="100" w:type="dxa"/>
              <w:bottom w:w="100" w:type="dxa"/>
              <w:end w:w="100" w:type="dxa"/>
            </w:tcMar>
          </w:tcPr>
          <w:p>
            <w:r>
              <w:t>Term</w:t>
            </w:r>
          </w:p>
        </w:tc>
        <w:tc>
          <w:tcPr>
            <w:tcW w:type="dxa" w:w="5083"/>
            <w:shd w:fill="168B92"/>
            <w:vAlign w:val="center"/>
            <w:tcMar>
              <w:top w:w="100" w:type="dxa"/>
              <w:start w:w="100" w:type="dxa"/>
              <w:bottom w:w="100" w:type="dxa"/>
              <w:end w:w="100" w:type="dxa"/>
            </w:tcMar>
          </w:tcPr>
          <w:p>
            <w:r>
              <w:t>Meaning</w:t>
            </w:r>
          </w:p>
        </w:tc>
      </w:tr>
      <w:tr>
        <w:tc>
          <w:tcPr>
            <w:tcW w:type="dxa" w:w="5083"/>
            <w:shd w:fill="FFFFFF"/>
            <w:vAlign w:val="center"/>
            <w:tcMar>
              <w:top w:w="100" w:type="dxa"/>
              <w:start w:w="100" w:type="dxa"/>
              <w:bottom w:w="100" w:type="dxa"/>
              <w:end w:w="100" w:type="dxa"/>
            </w:tcMar>
          </w:tcPr>
          <w:p>
            <w:r>
              <w:t>Activate Shopper ID</w:t>
            </w:r>
          </w:p>
        </w:tc>
        <w:tc>
          <w:tcPr>
            <w:tcW w:type="dxa" w:w="5083"/>
            <w:shd w:fill="FFFFFF"/>
            <w:vAlign w:val="center"/>
            <w:tcMar>
              <w:top w:w="100" w:type="dxa"/>
              <w:start w:w="100" w:type="dxa"/>
              <w:bottom w:w="100" w:type="dxa"/>
              <w:end w:w="100" w:type="dxa"/>
            </w:tcMar>
          </w:tcPr>
          <w:p>
            <w:r>
              <w:t>Identifier used inside Activate to link a shopper or account to transaction history.</w:t>
            </w:r>
          </w:p>
        </w:tc>
      </w:tr>
      <w:tr>
        <w:tc>
          <w:tcPr>
            <w:tcW w:type="dxa" w:w="5083"/>
            <w:shd w:fill="F7F9FA"/>
            <w:vAlign w:val="center"/>
            <w:tcMar>
              <w:top w:w="100" w:type="dxa"/>
              <w:start w:w="100" w:type="dxa"/>
              <w:bottom w:w="100" w:type="dxa"/>
              <w:end w:w="100" w:type="dxa"/>
            </w:tcMar>
          </w:tcPr>
          <w:p>
            <w:r>
              <w:t>Activate Segment ID</w:t>
            </w:r>
          </w:p>
        </w:tc>
        <w:tc>
          <w:tcPr>
            <w:tcW w:type="dxa" w:w="5083"/>
            <w:shd w:fill="F7F9FA"/>
            <w:vAlign w:val="center"/>
            <w:tcMar>
              <w:top w:w="100" w:type="dxa"/>
              <w:start w:w="100" w:type="dxa"/>
              <w:bottom w:w="100" w:type="dxa"/>
              <w:end w:w="100" w:type="dxa"/>
            </w:tcMar>
          </w:tcPr>
          <w:p>
            <w:r>
              <w:t>Identifier used to link audience membership and returned media activity to the original segment.</w:t>
            </w:r>
          </w:p>
        </w:tc>
      </w:tr>
      <w:tr>
        <w:tc>
          <w:tcPr>
            <w:tcW w:type="dxa" w:w="5083"/>
            <w:shd w:fill="F7F9FA"/>
            <w:vAlign w:val="center"/>
            <w:tcMar>
              <w:top w:w="100" w:type="dxa"/>
              <w:start w:w="100" w:type="dxa"/>
              <w:bottom w:w="100" w:type="dxa"/>
              <w:end w:w="100" w:type="dxa"/>
            </w:tcMar>
          </w:tcPr>
          <w:p>
            <w:r>
              <w:t>Descriptive measurement</w:t>
            </w:r>
          </w:p>
        </w:tc>
        <w:tc>
          <w:tcPr>
            <w:tcW w:type="dxa" w:w="5083"/>
            <w:shd w:fill="F7F9FA"/>
            <w:vAlign w:val="center"/>
            <w:tcMar>
              <w:top w:w="100" w:type="dxa"/>
              <w:start w:w="100" w:type="dxa"/>
              <w:bottom w:w="100" w:type="dxa"/>
              <w:end w:w="100" w:type="dxa"/>
            </w:tcMar>
          </w:tcPr>
          <w:p>
            <w:r>
              <w:t>What the selected audience bought. It does not claim exposure or causation.</w:t>
            </w:r>
          </w:p>
        </w:tc>
      </w:tr>
      <w:tr>
        <w:tc>
          <w:tcPr>
            <w:tcW w:type="dxa" w:w="5083"/>
            <w:shd w:fill="FFFFFF"/>
            <w:vAlign w:val="center"/>
            <w:tcMar>
              <w:top w:w="100" w:type="dxa"/>
              <w:start w:w="100" w:type="dxa"/>
              <w:bottom w:w="100" w:type="dxa"/>
              <w:end w:w="100" w:type="dxa"/>
            </w:tcMar>
          </w:tcPr>
          <w:p>
            <w:r>
              <w:t>Attribution</w:t>
            </w:r>
          </w:p>
        </w:tc>
        <w:tc>
          <w:tcPr>
            <w:tcW w:type="dxa" w:w="5083"/>
            <w:shd w:fill="FFFFFF"/>
            <w:vAlign w:val="center"/>
            <w:tcMar>
              <w:top w:w="100" w:type="dxa"/>
              <w:start w:w="100" w:type="dxa"/>
              <w:bottom w:w="100" w:type="dxa"/>
              <w:end w:w="100" w:type="dxa"/>
            </w:tcMar>
          </w:tcPr>
          <w:p>
            <w:r>
              <w:t>Association of a qualifying purchase with a media event under an approved rule.</w:t>
            </w:r>
          </w:p>
        </w:tc>
      </w:tr>
      <w:tr>
        <w:tc>
          <w:tcPr>
            <w:tcW w:type="dxa" w:w="5083"/>
            <w:shd w:fill="F7F9FA"/>
            <w:vAlign w:val="center"/>
            <w:tcMar>
              <w:top w:w="100" w:type="dxa"/>
              <w:start w:w="100" w:type="dxa"/>
              <w:bottom w:w="100" w:type="dxa"/>
              <w:end w:w="100" w:type="dxa"/>
            </w:tcMar>
          </w:tcPr>
          <w:p>
            <w:r>
              <w:t>Incrementality</w:t>
            </w:r>
          </w:p>
        </w:tc>
        <w:tc>
          <w:tcPr>
            <w:tcW w:type="dxa" w:w="5083"/>
            <w:shd w:fill="F7F9FA"/>
            <w:vAlign w:val="center"/>
            <w:tcMar>
              <w:top w:w="100" w:type="dxa"/>
              <w:start w:w="100" w:type="dxa"/>
              <w:bottom w:w="100" w:type="dxa"/>
              <w:end w:w="100" w:type="dxa"/>
            </w:tcMar>
          </w:tcPr>
          <w:p>
            <w:r>
              <w:t>Outcome estimated not to have happened without the campaign under an approved method.</w:t>
            </w:r>
          </w:p>
        </w:tc>
      </w:tr>
      <w:tr>
        <w:tc>
          <w:tcPr>
            <w:tcW w:type="dxa" w:w="5083"/>
            <w:shd w:fill="FFFFFF"/>
            <w:vAlign w:val="center"/>
            <w:tcMar>
              <w:top w:w="100" w:type="dxa"/>
              <w:start w:w="100" w:type="dxa"/>
              <w:bottom w:w="100" w:type="dxa"/>
              <w:end w:w="100" w:type="dxa"/>
            </w:tcMar>
          </w:tcPr>
          <w:p>
            <w:r>
              <w:t>Halo</w:t>
            </w:r>
          </w:p>
        </w:tc>
        <w:tc>
          <w:tcPr>
            <w:tcW w:type="dxa" w:w="5083"/>
            <w:shd w:fill="FFFFFF"/>
            <w:vAlign w:val="center"/>
            <w:tcMar>
              <w:top w:w="100" w:type="dxa"/>
              <w:start w:w="100" w:type="dxa"/>
              <w:bottom w:w="100" w:type="dxa"/>
              <w:end w:w="100" w:type="dxa"/>
            </w:tcMar>
          </w:tcPr>
          <w:p>
            <w:r>
              <w:t>Outcome on products beyond the directly advertised product, shown under a defined brand, category or cross-category scope.</w:t>
            </w:r>
          </w:p>
        </w:tc>
      </w:tr>
      <w:tr>
        <w:tc>
          <w:tcPr>
            <w:tcW w:type="dxa" w:w="5083"/>
            <w:shd w:fill="F7F9FA"/>
            <w:vAlign w:val="center"/>
            <w:tcMar>
              <w:top w:w="100" w:type="dxa"/>
              <w:start w:w="100" w:type="dxa"/>
              <w:bottom w:w="100" w:type="dxa"/>
              <w:end w:w="100" w:type="dxa"/>
            </w:tcMar>
          </w:tcPr>
          <w:p>
            <w:r>
              <w:t>Cannibalization</w:t>
            </w:r>
          </w:p>
        </w:tc>
        <w:tc>
          <w:tcPr>
            <w:tcW w:type="dxa" w:w="5083"/>
            <w:shd w:fill="F7F9FA"/>
            <w:vAlign w:val="center"/>
            <w:tcMar>
              <w:top w:w="100" w:type="dxa"/>
              <w:start w:w="100" w:type="dxa"/>
              <w:bottom w:w="100" w:type="dxa"/>
              <w:end w:w="100" w:type="dxa"/>
            </w:tcMar>
          </w:tcPr>
          <w:p>
            <w:r>
              <w:t>Gain in one product or scope that is offset by loss in another relevant product or scope.</w:t>
            </w:r>
          </w:p>
        </w:tc>
      </w:tr>
      <w:tr>
        <w:tc>
          <w:tcPr>
            <w:tcW w:type="dxa" w:w="5083"/>
            <w:shd w:fill="FFFFFF"/>
            <w:vAlign w:val="center"/>
            <w:tcMar>
              <w:top w:w="100" w:type="dxa"/>
              <w:start w:w="100" w:type="dxa"/>
              <w:bottom w:w="100" w:type="dxa"/>
              <w:end w:w="100" w:type="dxa"/>
            </w:tcMar>
          </w:tcPr>
          <w:p>
            <w:r>
              <w:t>Pull-forward</w:t>
            </w:r>
          </w:p>
        </w:tc>
        <w:tc>
          <w:tcPr>
            <w:tcW w:type="dxa" w:w="5083"/>
            <w:shd w:fill="FFFFFF"/>
            <w:vAlign w:val="center"/>
            <w:tcMar>
              <w:top w:w="100" w:type="dxa"/>
              <w:start w:w="100" w:type="dxa"/>
              <w:bottom w:w="100" w:type="dxa"/>
              <w:end w:w="100" w:type="dxa"/>
            </w:tcMar>
          </w:tcPr>
          <w:p>
            <w:r>
              <w:t>Purchase that happened earlier because of the campaign rather than representing additional long-term demand.</w:t>
            </w:r>
          </w:p>
        </w:tc>
      </w:tr>
      <w:tr>
        <w:tc>
          <w:tcPr>
            <w:tcW w:type="dxa" w:w="5083"/>
            <w:shd w:fill="F7F9FA"/>
            <w:vAlign w:val="center"/>
            <w:tcMar>
              <w:top w:w="100" w:type="dxa"/>
              <w:start w:w="100" w:type="dxa"/>
              <w:bottom w:w="100" w:type="dxa"/>
              <w:end w:w="100" w:type="dxa"/>
            </w:tcMar>
          </w:tcPr>
          <w:p>
            <w:r>
              <w:t>P&amp;L</w:t>
            </w:r>
          </w:p>
        </w:tc>
        <w:tc>
          <w:tcPr>
            <w:tcW w:type="dxa" w:w="5083"/>
            <w:shd w:fill="F7F9FA"/>
            <w:vAlign w:val="center"/>
            <w:tcMar>
              <w:top w:w="100" w:type="dxa"/>
              <w:start w:w="100" w:type="dxa"/>
              <w:bottom w:w="100" w:type="dxa"/>
              <w:end w:w="100" w:type="dxa"/>
            </w:tcMar>
          </w:tcPr>
          <w:p>
            <w:r>
              <w:t>Profit and Loss. In this product, an approved financial view of margin less included costs.</w:t>
            </w:r>
          </w:p>
        </w:tc>
      </w:tr>
      <w:tr>
        <w:tc>
          <w:tcPr>
            <w:tcW w:type="dxa" w:w="5083"/>
            <w:shd w:fill="FFFFFF"/>
            <w:vAlign w:val="center"/>
            <w:tcMar>
              <w:top w:w="100" w:type="dxa"/>
              <w:start w:w="100" w:type="dxa"/>
              <w:bottom w:w="100" w:type="dxa"/>
              <w:end w:w="100" w:type="dxa"/>
            </w:tcMar>
          </w:tcPr>
          <w:p>
            <w:r>
              <w:t>iROAS</w:t>
            </w:r>
          </w:p>
        </w:tc>
        <w:tc>
          <w:tcPr>
            <w:tcW w:type="dxa" w:w="5083"/>
            <w:shd w:fill="FFFFFF"/>
            <w:vAlign w:val="center"/>
            <w:tcMar>
              <w:top w:w="100" w:type="dxa"/>
              <w:start w:w="100" w:type="dxa"/>
              <w:bottom w:w="100" w:type="dxa"/>
              <w:end w:w="100" w:type="dxa"/>
            </w:tcMar>
          </w:tcPr>
          <w:p>
            <w:r>
              <w:t>Incremental return on ad spend: incremental sales divided by spend in the approved cost scope.</w:t>
            </w:r>
          </w:p>
        </w:tc>
      </w:tr>
      <w:tr>
        <w:tc>
          <w:tcPr>
            <w:tcW w:type="dxa" w:w="5083"/>
            <w:shd w:fill="F7F9FA"/>
            <w:vAlign w:val="center"/>
            <w:tcMar>
              <w:top w:w="100" w:type="dxa"/>
              <w:start w:w="100" w:type="dxa"/>
              <w:bottom w:w="100" w:type="dxa"/>
              <w:end w:w="100" w:type="dxa"/>
            </w:tcMar>
          </w:tcPr>
          <w:p>
            <w:r>
              <w:t>Restatement</w:t>
            </w:r>
          </w:p>
        </w:tc>
        <w:tc>
          <w:tcPr>
            <w:tcW w:type="dxa" w:w="5083"/>
            <w:shd w:fill="F7F9FA"/>
            <w:vAlign w:val="center"/>
            <w:tcMar>
              <w:top w:w="100" w:type="dxa"/>
              <w:start w:w="100" w:type="dxa"/>
              <w:bottom w:w="100" w:type="dxa"/>
              <w:end w:w="100" w:type="dxa"/>
            </w:tcMar>
          </w:tcPr>
          <w:p>
            <w:r>
              <w:t>A new published result version created after corrected or late data changes a prior result.</w:t>
            </w:r>
          </w:p>
        </w:tc>
      </w:tr>
      <w:tr>
        <w:tc>
          <w:tcPr>
            <w:tcW w:type="dxa" w:w="5083"/>
            <w:shd w:fill="FFFFFF"/>
            <w:vAlign w:val="center"/>
            <w:tcMar>
              <w:top w:w="100" w:type="dxa"/>
              <w:start w:w="100" w:type="dxa"/>
              <w:bottom w:w="100" w:type="dxa"/>
              <w:end w:w="100" w:type="dxa"/>
            </w:tcMar>
          </w:tcPr>
          <w:p>
            <w:r>
              <w:t>Banner</w:t>
            </w:r>
          </w:p>
        </w:tc>
        <w:tc>
          <w:tcPr>
            <w:tcW w:type="dxa" w:w="5083"/>
            <w:shd w:fill="FFFFFF"/>
            <w:vAlign w:val="center"/>
            <w:tcMar>
              <w:top w:w="100" w:type="dxa"/>
              <w:start w:w="100" w:type="dxa"/>
              <w:bottom w:w="100" w:type="dxa"/>
              <w:end w:w="100" w:type="dxa"/>
            </w:tcMar>
          </w:tcPr>
          <w:p>
            <w:r>
              <w:t>Client-defined sub-retailer or banner used for access, configuration and reporting.</w:t>
            </w:r>
          </w:p>
        </w:tc>
      </w:tr>
      <w:tr>
        <w:tc>
          <w:tcPr>
            <w:tcW w:type="dxa" w:w="5083"/>
            <w:shd w:fill="F7F9FA"/>
            <w:vAlign w:val="center"/>
            <w:tcMar>
              <w:top w:w="100" w:type="dxa"/>
              <w:start w:w="100" w:type="dxa"/>
              <w:bottom w:w="100" w:type="dxa"/>
              <w:end w:w="100" w:type="dxa"/>
            </w:tcMar>
          </w:tcPr>
          <w:p>
            <w:r>
              <w:t>Result version</w:t>
            </w:r>
          </w:p>
        </w:tc>
        <w:tc>
          <w:tcPr>
            <w:tcW w:type="dxa" w:w="5083"/>
            <w:shd w:fill="F7F9FA"/>
            <w:vAlign w:val="center"/>
            <w:tcMar>
              <w:top w:w="100" w:type="dxa"/>
              <w:start w:w="100" w:type="dxa"/>
              <w:bottom w:w="100" w:type="dxa"/>
              <w:end w:w="100" w:type="dxa"/>
            </w:tcMar>
          </w:tcPr>
          <w:p>
            <w:r>
              <w:t>The business result version used consistently across screens and exports.</w:t>
            </w:r>
          </w:p>
        </w:tc>
      </w:tr>
      <w:tr>
        <w:tc>
          <w:tcPr>
            <w:tcW w:type="dxa" w:w="5083"/>
            <w:shd w:fill="F7F9FA"/>
            <w:vAlign w:val="center"/>
            <w:tcMar>
              <w:top w:w="100" w:type="dxa"/>
              <w:start w:w="100" w:type="dxa"/>
              <w:bottom w:w="100" w:type="dxa"/>
              <w:end w:w="100" w:type="dxa"/>
            </w:tcMar>
          </w:tcPr>
          <w:p>
            <w:r>
              <w:t>Integrated Commerce Measurement</w:t>
            </w:r>
          </w:p>
        </w:tc>
        <w:tc>
          <w:tcPr>
            <w:tcW w:type="dxa" w:w="5083"/>
            <w:shd w:fill="F7F9FA"/>
            <w:vAlign w:val="center"/>
            <w:tcMar>
              <w:top w:w="100" w:type="dxa"/>
              <w:start w:w="100" w:type="dxa"/>
              <w:bottom w:w="100" w:type="dxa"/>
              <w:end w:w="100" w:type="dxa"/>
            </w:tcMar>
          </w:tcPr>
          <w:p>
            <w:r>
              <w:t>Long-term product vision that measures Retail Media, Personalized Offers, promotions and market context separately and together under one governed framework.</w:t>
            </w:r>
          </w:p>
        </w:tc>
      </w:tr>
      <w:tr>
        <w:tc>
          <w:tcPr>
            <w:tcW w:type="dxa" w:w="5083"/>
            <w:shd w:fill="F7F9FA"/>
            <w:vAlign w:val="center"/>
            <w:tcMar>
              <w:top w:w="100" w:type="dxa"/>
              <w:start w:w="100" w:type="dxa"/>
              <w:bottom w:w="100" w:type="dxa"/>
              <w:end w:w="100" w:type="dxa"/>
            </w:tcMar>
          </w:tcPr>
          <w:p>
            <w:r>
              <w:t>Commerce Performance Overview</w:t>
            </w:r>
          </w:p>
        </w:tc>
        <w:tc>
          <w:tcPr>
            <w:tcW w:type="dxa" w:w="5083"/>
            <w:shd w:fill="F7F9FA"/>
            <w:vAlign w:val="center"/>
            <w:tcMar>
              <w:top w:w="100" w:type="dxa"/>
              <w:start w:w="100" w:type="dxa"/>
              <w:bottom w:w="100" w:type="dxa"/>
              <w:end w:w="100" w:type="dxa"/>
            </w:tcMar>
          </w:tcPr>
          <w:p>
            <w:r>
              <w:t>Future cross-product view that presents approved commerce results, overlap, interaction and market context while linking to each product’s detailed experience.</w:t>
            </w:r>
          </w:p>
        </w:tc>
      </w:tr>
      <w:tr>
        <w:tc>
          <w:tcPr>
            <w:tcW w:type="dxa" w:w="5083"/>
            <w:shd w:fill="F7F9FA"/>
            <w:vAlign w:val="center"/>
            <w:tcMar>
              <w:top w:w="100" w:type="dxa"/>
              <w:start w:w="100" w:type="dxa"/>
              <w:bottom w:w="100" w:type="dxa"/>
              <w:end w:w="100" w:type="dxa"/>
            </w:tcMar>
          </w:tcPr>
          <w:p>
            <w:r>
              <w:t>Interaction effect</w:t>
            </w:r>
          </w:p>
        </w:tc>
        <w:tc>
          <w:tcPr>
            <w:tcW w:type="dxa" w:w="5083"/>
            <w:shd w:fill="F7F9FA"/>
            <w:vAlign w:val="center"/>
            <w:tcMar>
              <w:top w:w="100" w:type="dxa"/>
              <w:start w:w="100" w:type="dxa"/>
              <w:bottom w:w="100" w:type="dxa"/>
              <w:end w:w="100" w:type="dxa"/>
            </w:tcMar>
          </w:tcPr>
          <w:p>
            <w:r>
              <w:t>The additional effect created when two interventions work together beyond their separate effects.</w:t>
            </w:r>
          </w:p>
        </w:tc>
      </w:tr>
      <w:tr>
        <w:tc>
          <w:tcPr>
            <w:tcW w:type="dxa" w:w="5083"/>
            <w:shd w:fill="F7F9FA"/>
            <w:vAlign w:val="center"/>
            <w:tcMar>
              <w:top w:w="110" w:type="dxa"/>
              <w:start w:w="110" w:type="dxa"/>
              <w:bottom w:w="110" w:type="dxa"/>
              <w:end w:w="110" w:type="dxa"/>
            </w:tcMar>
          </w:tcPr>
          <w:p>
            <w:r>
              <w:t>Partner Campaign ID</w:t>
            </w:r>
          </w:p>
        </w:tc>
        <w:tc>
          <w:tcPr>
            <w:tcW w:type="dxa" w:w="5083"/>
            <w:shd w:fill="F7F9FA"/>
            <w:vAlign w:val="center"/>
            <w:tcMar>
              <w:top w:w="110" w:type="dxa"/>
              <w:start w:w="110" w:type="dxa"/>
              <w:bottom w:w="110" w:type="dxa"/>
              <w:end w:w="110" w:type="dxa"/>
            </w:tcMar>
          </w:tcPr>
          <w:p>
            <w:r>
              <w:t>Campaign identifier created by the media partner and returned to Activate.</w:t>
            </w:r>
          </w:p>
        </w:tc>
      </w:tr>
      <w:tr>
        <w:tc>
          <w:tcPr>
            <w:tcW w:type="dxa" w:w="5083"/>
            <w:shd w:fill="F7F9FA"/>
            <w:vAlign w:val="center"/>
            <w:tcMar>
              <w:top w:w="110" w:type="dxa"/>
              <w:start w:w="110" w:type="dxa"/>
              <w:bottom w:w="110" w:type="dxa"/>
              <w:end w:w="110" w:type="dxa"/>
            </w:tcMar>
          </w:tcPr>
          <w:p>
            <w:r>
              <w:t>Attribution Link</w:t>
            </w:r>
          </w:p>
        </w:tc>
        <w:tc>
          <w:tcPr>
            <w:tcW w:type="dxa" w:w="5083"/>
            <w:shd w:fill="F7F9FA"/>
            <w:vAlign w:val="center"/>
            <w:tcMar>
              <w:top w:w="110" w:type="dxa"/>
              <w:start w:w="110" w:type="dxa"/>
              <w:bottom w:w="110" w:type="dxa"/>
              <w:end w:w="110" w:type="dxa"/>
            </w:tcMar>
          </w:tcPr>
          <w:p>
            <w:r>
              <w:t>Derived record that connects one eligible purchase to the media event selected by the approved attribution rule.</w:t>
            </w:r>
          </w:p>
        </w:tc>
      </w:tr>
      <w:tr>
        <w:tc>
          <w:tcPr>
            <w:tcW w:type="dxa" w:w="5083"/>
            <w:shd w:fill="F7F9FA"/>
            <w:vAlign w:val="center"/>
            <w:tcMar>
              <w:top w:w="110" w:type="dxa"/>
              <w:start w:w="110" w:type="dxa"/>
              <w:bottom w:w="110" w:type="dxa"/>
              <w:end w:w="110" w:type="dxa"/>
            </w:tcMar>
          </w:tcPr>
          <w:p>
            <w:r>
              <w:t>Aggregate-only channel</w:t>
            </w:r>
          </w:p>
        </w:tc>
        <w:tc>
          <w:tcPr>
            <w:tcW w:type="dxa" w:w="5083"/>
            <w:shd w:fill="F7F9FA"/>
            <w:vAlign w:val="center"/>
            <w:tcMar>
              <w:top w:w="110" w:type="dxa"/>
              <w:start w:w="110" w:type="dxa"/>
              <w:bottom w:w="110" w:type="dxa"/>
              <w:end w:w="110" w:type="dxa"/>
            </w:tcMar>
          </w:tcPr>
          <w:p>
            <w:r>
              <w:t>Channel that provides campaign totals but no shopper-level media events.</w:t>
            </w:r>
          </w:p>
        </w:tc>
      </w:tr>
    </w:tbl>
    <w:p/>
    <w:p>
      <w:pPr>
        <w:pStyle w:val="Heading1"/>
      </w:pPr>
      <w:r>
        <w:t>Appendix B. Control group methodology policy</w:t>
      </w:r>
    </w:p>
    <w:p>
      <w:pPr/>
      <w:r>
        <w:rPr>
          <w:sz w:val="21"/>
        </w:rPr>
        <w:t>This appendix explains the control methods that Retail Media can use when the required data, approvals and quality checks are in place. The detailed algorithm, file schema and Data Science thresholds remain in the Control Group Methodology and Data Contract.</w:t>
      </w:r>
    </w:p>
    <w:p>
      <w:pPr>
        <w:pStyle w:val="Heading2"/>
      </w:pPr>
      <w:r>
        <w:t>B.1 Purpose</w:t>
      </w:r>
    </w:p>
    <w:p>
      <w:pPr/>
      <w:r>
        <w:rPr>
          <w:sz w:val="21"/>
        </w:rPr>
        <w:t>A control group helps answer a different question from descriptive and attributed reporting. It estimates what might have happened without the campaign. The product uses a control method only when it can explain the population, comparison, assumptions and quality checks.</w:t>
      </w:r>
    </w:p>
    <w:p>
      <w:pPr>
        <w:pStyle w:val="Heading2"/>
      </w:pPr>
      <w:r>
        <w:t>B.2 Common rules</w:t>
      </w:r>
    </w:p>
    <w:p>
      <w:pPr>
        <w:pStyle w:val="ListBullet"/>
      </w:pPr>
      <w:r>
        <w:t>Activate freezes the original Activate Segment ID to Activate Shopper ID membership used by the campaign.</w:t>
      </w:r>
    </w:p>
    <w:p>
      <w:pPr>
        <w:pStyle w:val="ListBullet"/>
      </w:pPr>
      <w:r>
        <w:t>One Partner Campaign ID may link to more than one Activate Segment ID. The service combines the audiences carefully and does not count the same shopper twice.</w:t>
      </w:r>
    </w:p>
    <w:p>
      <w:pPr>
        <w:pStyle w:val="ListBullet"/>
      </w:pPr>
      <w:r>
        <w:t>Activate fixes the outcome, product scope, pre-period, campaign period and conversion window before measurement.</w:t>
      </w:r>
    </w:p>
    <w:p>
      <w:pPr>
        <w:pStyle w:val="ListBullet"/>
      </w:pPr>
      <w:r>
        <w:t>Activate records relevant parallel campaigns. The service removes affected shoppers from both comparison groups when another campaign could affect the same outcome.</w:t>
      </w:r>
    </w:p>
    <w:p>
      <w:pPr>
        <w:pStyle w:val="ListBullet"/>
      </w:pPr>
      <w:r>
        <w:t>The service retains cohort assignments, source files, method version, quality-gate result and result version so an approved result can be reproduced.</w:t>
      </w:r>
    </w:p>
    <w:p>
      <w:pPr>
        <w:pStyle w:val="Heading2"/>
      </w:pPr>
      <w:r>
        <w:t>B.3 Aggregate-only channel method</w:t>
      </w:r>
    </w:p>
    <w:p>
      <w:pPr/>
      <w:r>
        <w:rPr>
          <w:sz w:val="21"/>
        </w:rPr>
        <w:t>This method applies when the partner returns campaign totals such as impressions, reach, clicks and spend, but does not return shopper-level media records.</w:t>
      </w:r>
    </w:p>
    <w:p>
      <w:pPr>
        <w:pStyle w:val="ListBullet"/>
      </w:pPr>
      <w:r>
        <w:t>Before activation, Activate selects a random control group from the eligible audience using the approved method.</w:t>
      </w:r>
    </w:p>
    <w:p>
      <w:pPr>
        <w:pStyle w:val="ListBullet"/>
      </w:pPr>
      <w:r>
        <w:t>Activate stores the control group and exports only the remaining treatment audience to the partner.</w:t>
      </w:r>
    </w:p>
    <w:p>
      <w:pPr>
        <w:pStyle w:val="ListBullet"/>
      </w:pPr>
      <w:r>
        <w:t>The client and partner protect the control group. Audience expansion, lookalikes or other settings must not cause control shoppers to receive the campaign.</w:t>
      </w:r>
    </w:p>
    <w:p>
      <w:pPr>
        <w:pStyle w:val="ListBullet"/>
      </w:pPr>
      <w:r>
        <w:t>After the campaign and conversion window, Activate compares treatment-assigned shoppers with held-out control shoppers using TLOG outcomes.</w:t>
      </w:r>
    </w:p>
    <w:p>
      <w:pPr>
        <w:pStyle w:val="ListBullet"/>
      </w:pPr>
      <w:r>
        <w:t>The report calls a valid result Measured. It states that treatment means selected for activation, not confirmed exposure.</w:t>
      </w:r>
    </w:p>
    <w:p>
      <w:pPr>
        <w:pStyle w:val="Heading2"/>
      </w:pPr>
      <w:r>
        <w:t>B.4 Shopper-level channel method</w:t>
      </w:r>
    </w:p>
    <w:p>
      <w:pPr/>
      <w:r>
        <w:rPr>
          <w:sz w:val="21"/>
        </w:rPr>
        <w:t>This method applies when the partner can return a shopper-level targeted or exposure list that links to the campaign and original Activate audience.</w:t>
      </w:r>
    </w:p>
    <w:p>
      <w:pPr>
        <w:pStyle w:val="ListBullet"/>
      </w:pPr>
      <w:r>
        <w:t>Activate sends the agreed audience and keeps the original membership file.</w:t>
      </w:r>
    </w:p>
    <w:p>
      <w:pPr>
        <w:pStyle w:val="ListBullet"/>
      </w:pPr>
      <w:r>
        <w:t>The partner returns the targeted shopper list. The data contract states whether this list means targeted or confirmed exposed.</w:t>
      </w:r>
    </w:p>
    <w:p>
      <w:pPr>
        <w:pStyle w:val="ListBullet"/>
      </w:pPr>
      <w:r>
        <w:t>Activate identifies eligible control candidates from the original audience who were not targeted, then applies the approved parallel-campaign and history rules.</w:t>
      </w:r>
    </w:p>
    <w:p>
      <w:pPr>
        <w:pStyle w:val="ListBullet"/>
      </w:pPr>
      <w:r>
        <w:t>Activate selects matched controls using approved pre-campaign behaviour. It uses no future purchase information to create the match.</w:t>
      </w:r>
    </w:p>
    <w:p>
      <w:pPr>
        <w:pStyle w:val="ListBullet"/>
      </w:pPr>
      <w:r>
        <w:t>The report calls a valid result Modelled and shows the matching method, coverage, quality checks and uncertainty.</w:t>
      </w:r>
    </w:p>
    <w:p>
      <w:pPr>
        <w:pStyle w:val="Heading2"/>
      </w:pPr>
      <w:r>
        <w:t>B.5 Quality and publication</w:t>
      </w:r>
    </w:p>
    <w:p>
      <w:pPr>
        <w:pStyle w:val="ListBullet"/>
      </w:pPr>
      <w:r>
        <w:t>Data Science approves the method, matching variables, control percentage, quality thresholds and publication rule.</w:t>
      </w:r>
    </w:p>
    <w:p>
      <w:pPr>
        <w:pStyle w:val="ListBullet"/>
      </w:pPr>
      <w:r>
        <w:t>The service checks required input completeness, duplicates, identity links, control contamination, pre-period balance, matching coverage, parallel-campaign exclusions and outcome completeness.</w:t>
      </w:r>
    </w:p>
    <w:p>
      <w:pPr>
        <w:pStyle w:val="ListBullet"/>
      </w:pPr>
      <w:r>
        <w:t>The service blocks a causal result when the method or quality checks fail. It shows a clear reason instead of a numeric causal estimate.</w:t>
      </w:r>
    </w:p>
    <w:p>
      <w:pPr>
        <w:pStyle w:val="ListBullet"/>
      </w:pPr>
      <w:r>
        <w:t>A published causal result includes method, counts, periods, scope, assumptions, uncertainty, quality-gate outcome, approver and version.</w:t>
      </w:r>
    </w:p>
    <w:p>
      <w:pPr>
        <w:pStyle w:val="Heading2"/>
      </w:pPr>
      <w:r>
        <w:t>B.6 Delivery rule</w:t>
      </w:r>
    </w:p>
    <w:p>
      <w:pPr/>
      <w:r>
        <w:rPr>
          <w:sz w:val="21"/>
        </w:rPr>
        <w:t>The Phase 1 MVP delivers descriptive measurement and conditional attribution. The control-group foundations may be planned in parallel, but a causal pilot or published incremental result needs separate internal commitment, approved method, partner data and Data Science approval.</w:t>
      </w:r>
    </w:p>
    <w:p>
      <w:r>
        <w:br w:type="page"/>
      </w:r>
    </w:p>
    <w:p>
      <w:pPr>
        <w:pStyle w:val="Title"/>
      </w:pPr>
      <w:r>
        <w:t>KPI Normalization and Aggregate-Only Measurement Addendum</w:t>
      </w:r>
    </w:p>
    <w:p>
      <w:r>
        <w:t>This addendum normalizes the KPI model so that measures are defined once and reused across supported dimensions. It also establishes walled-garden and other aggregate-only campaigns as a separate measurement layer that can contribute to governed totals without being mixed with shopper-level records.</w:t>
      </w:r>
    </w:p>
    <w:p>
      <w:pPr>
        <w:pStyle w:val="Heading1"/>
      </w:pPr>
      <w:r>
        <w:t>1. Canonical KPI and dimension model</w:t>
      </w:r>
    </w:p>
    <w:p>
      <w:pPr>
        <w:pStyle w:val="ListBullet"/>
      </w:pPr>
      <w:r>
        <w:t>A KPI is a unique business calculation with a defined population, numerator, denominator, source and method.</w:t>
      </w:r>
    </w:p>
    <w:p>
      <w:pPr>
        <w:pStyle w:val="ListBullet"/>
      </w:pPr>
      <w:r>
        <w:t>Consostyle, lifestage, age band, channel, campaign audience, creative, product hierarchy, country and banner are dimensions or classifications, not separate KPIs.</w:t>
      </w:r>
    </w:p>
    <w:p>
      <w:pPr>
        <w:pStyle w:val="ListBullet"/>
      </w:pPr>
      <w:r>
        <w:t>If only the reporting GROUP BY changes, reuse the canonical KPI. If the population, numerator, denominator, attribution rule or causal method changes, define a separate KPI.</w:t>
      </w:r>
    </w:p>
    <w:p>
      <w:pPr>
        <w:pStyle w:val="ListBullet"/>
      </w:pPr>
      <w:r>
        <w:t>The dashboard may generate dynamic labels such as Buyer Share by Consostyle or Revenue by Channel while using one canonical Buyer Share or Revenue definition.</w:t>
      </w:r>
    </w:p>
    <w:p>
      <w:pPr>
        <w:pStyle w:val="Heading1"/>
      </w:pPr>
      <w:r>
        <w:t>2. Interactive analysis contract</w:t>
      </w:r>
    </w:p>
    <w:p>
      <w:r>
        <w:t>Interactive reports combine a canonical KPI with a measurement layer, breakdown dimension, comparison population, time range and visualization. The default shopper-profile component uses bar charts for Buyer Count, Buyer Share, Reference Buyer Share, percentage-point difference and index. Filters and breakdown selectors do not create new KPI definitions.</w:t>
      </w:r>
    </w:p>
    <w:p>
      <w:pPr>
        <w:pStyle w:val="Heading1"/>
      </w:pPr>
      <w:r>
        <w:t>3. Walled-garden and aggregate-only campaign measurement</w:t>
      </w:r>
    </w:p>
    <w:p>
      <w:pPr>
        <w:pStyle w:val="ListBullet"/>
      </w:pPr>
      <w:r>
        <w:t>Partner aggregate campaign totals are stored as Partner-Reported Aggregate results, separately from shopper-level observed and attributed results.</w:t>
      </w:r>
    </w:p>
    <w:p>
      <w:pPr>
        <w:pStyle w:val="ListBullet"/>
      </w:pPr>
      <w:r>
        <w:t>Aggregate totals must never be joined directly to transaction rows because that would repeat impressions, spend and sales across shoppers or transactions.</w:t>
      </w:r>
    </w:p>
    <w:p>
      <w:pPr>
        <w:pStyle w:val="ListBullet"/>
      </w:pPr>
      <w:r>
        <w:t>Compatible additive metrics may be combined across shopper-level and aggregate-only components, including spend, impressions, clicks, revenue, transactions and units.</w:t>
      </w:r>
    </w:p>
    <w:p>
      <w:pPr>
        <w:pStyle w:val="ListBullet"/>
      </w:pPr>
      <w:r>
        <w:t>Every combined value must retain decomposition by result component, partner, campaign and channel so users can view the shopper-level component, the walled-garden component and the total.</w:t>
      </w:r>
    </w:p>
    <w:p>
      <w:pPr>
        <w:pStyle w:val="ListBullet"/>
      </w:pPr>
      <w:r>
        <w:t>Reach, buyers, rates, averages, frequency and ROAS must not be summed. A total is shown only when deduplication or compatible numerator and denominator data allow the metric to be recomputed. Otherwise, component values remain separate and the total is unavailable with an explanation.</w:t>
      </w:r>
    </w:p>
    <w:p>
      <w:pPr>
        <w:pStyle w:val="ListBullet"/>
      </w:pPr>
      <w:r>
        <w:t>Aggregate incrementality uses the pre-selected randomized control group or another approved aggregate method. It must not be represented as shopper-level exposure measurement.</w:t>
      </w:r>
    </w:p>
    <w:p>
      <w:pPr>
        <w:pStyle w:val="Heading1"/>
      </w:pPr>
      <w:r>
        <w:t>4. KPI buckets</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tcPr>
          <w:p>
            <w:r>
              <w:t>Bucket</w:t>
            </w:r>
          </w:p>
        </w:tc>
        <w:tc>
          <w:tcPr>
            <w:tcW w:type="dxa" w:w="2541"/>
          </w:tcPr>
          <w:p>
            <w:r>
              <w:t>Purpose</w:t>
            </w:r>
          </w:p>
        </w:tc>
        <w:tc>
          <w:tcPr>
            <w:tcW w:type="dxa" w:w="2541"/>
          </w:tcPr>
          <w:p>
            <w:r>
              <w:t>Examples</w:t>
            </w:r>
          </w:p>
        </w:tc>
        <w:tc>
          <w:tcPr>
            <w:tcW w:type="dxa" w:w="2541"/>
          </w:tcPr>
          <w:p>
            <w:r>
              <w:t>Decision treatment</w:t>
            </w:r>
          </w:p>
        </w:tc>
      </w:tr>
      <w:tr>
        <w:tc>
          <w:tcPr>
            <w:tcW w:type="dxa" w:w="2541"/>
          </w:tcPr>
          <w:p>
            <w:r>
              <w:t>Core / Client + Generic</w:t>
            </w:r>
          </w:p>
        </w:tc>
        <w:tc>
          <w:tcPr>
            <w:tcW w:type="dxa" w:w="2541"/>
          </w:tcPr>
          <w:p>
            <w:r>
              <w:t>Required by the client report or foundational product measurement.</w:t>
            </w:r>
          </w:p>
        </w:tc>
        <w:tc>
          <w:tcPr>
            <w:tcW w:type="dxa" w:w="2541"/>
          </w:tcPr>
          <w:p>
            <w:r>
              <w:t>Impressions, Buyer Count, Revenue, Attributed Revenue, Conversion Lift</w:t>
            </w:r>
          </w:p>
        </w:tc>
        <w:tc>
          <w:tcPr>
            <w:tcW w:type="dxa" w:w="2541"/>
          </w:tcPr>
          <w:p>
            <w:r>
              <w:t>Retain and phase according to data readiness.</w:t>
            </w:r>
          </w:p>
        </w:tc>
      </w:tr>
      <w:tr>
        <w:tc>
          <w:tcPr>
            <w:tcW w:type="dxa" w:w="2541"/>
          </w:tcPr>
          <w:p>
            <w:r>
              <w:t>Generic KPI Candidate</w:t>
            </w:r>
          </w:p>
        </w:tc>
        <w:tc>
          <w:tcPr>
            <w:tcW w:type="dxa" w:w="2541"/>
          </w:tcPr>
          <w:p>
            <w:r>
              <w:t>Present or implied in the Product Bible but not yet selected for implementation.</w:t>
            </w:r>
          </w:p>
        </w:tc>
        <w:tc>
          <w:tcPr>
            <w:tcW w:type="dxa" w:w="2541"/>
          </w:tcPr>
          <w:p>
            <w:r>
              <w:t>Viewability, P&amp;L, basket attach rate, market share, cross-channel overlap</w:t>
            </w:r>
          </w:p>
        </w:tc>
        <w:tc>
          <w:tcPr>
            <w:tcW w:type="dxa" w:w="2541"/>
          </w:tcPr>
          <w:p>
            <w:r>
              <w:t>Review and approve for roadmap/phase.</w:t>
            </w:r>
          </w:p>
        </w:tc>
      </w:tr>
      <w:tr>
        <w:tc>
          <w:tcPr>
            <w:tcW w:type="dxa" w:w="2541"/>
          </w:tcPr>
          <w:p>
            <w:r>
              <w:t>Walled-Garden / Aggregate-Only</w:t>
            </w:r>
          </w:p>
        </w:tc>
        <w:tc>
          <w:tcPr>
            <w:tcW w:type="dxa" w:w="2541"/>
          </w:tcPr>
          <w:p>
            <w:r>
              <w:t>Partner campaign totals without shopper-level media events.</w:t>
            </w:r>
          </w:p>
        </w:tc>
        <w:tc>
          <w:tcPr>
            <w:tcW w:type="dxa" w:w="2541"/>
          </w:tcPr>
          <w:p>
            <w:r>
              <w:t>WG Revenue, WG ROAS, WG Incremental Revenue, combined additive totals</w:t>
            </w:r>
          </w:p>
        </w:tc>
        <w:tc>
          <w:tcPr>
            <w:tcW w:type="dxa" w:w="2541"/>
          </w:tcPr>
          <w:p>
            <w:r>
              <w:t>Keep separate and decomposable.</w:t>
            </w:r>
          </w:p>
        </w:tc>
      </w:tr>
      <w:tr>
        <w:tc>
          <w:tcPr>
            <w:tcW w:type="dxa" w:w="2541"/>
          </w:tcPr>
          <w:p>
            <w:r>
              <w:t>Dimension / parameter</w:t>
            </w:r>
          </w:p>
        </w:tc>
        <w:tc>
          <w:tcPr>
            <w:tcW w:type="dxa" w:w="2541"/>
          </w:tcPr>
          <w:p>
            <w:r>
              <w:t>Breakdown applied to canonical KPI.</w:t>
            </w:r>
          </w:p>
        </w:tc>
        <w:tc>
          <w:tcPr>
            <w:tcW w:type="dxa" w:w="2541"/>
          </w:tcPr>
          <w:p>
            <w:r>
              <w:t>Consostyle, age band, lifestage, channel, creative, brand</w:t>
            </w:r>
          </w:p>
        </w:tc>
        <w:tc>
          <w:tcPr>
            <w:tcW w:type="dxa" w:w="2541"/>
          </w:tcPr>
          <w:p>
            <w:r>
              <w:t>Do not create duplicate KPI definitions.</w:t>
            </w:r>
          </w:p>
        </w:tc>
      </w:tr>
    </w:tbl>
    <w:p>
      <w:pPr>
        <w:pStyle w:val="Heading1"/>
      </w:pPr>
      <w:r>
        <w:t>5. Canonical KPI inventory</w:t>
      </w:r>
    </w:p>
    <w:p>
      <w:pPr>
        <w:pStyle w:val="Heading2"/>
      </w:pPr>
      <w:r>
        <w:t>Core / Client + Generic: Media Delivery &amp; Efficiency</w:t>
      </w:r>
    </w:p>
    <w:p>
      <w:r>
        <w:rPr>
          <w:b/>
        </w:rPr>
        <w:t>RM-MED-001 Impressions</w:t>
      </w:r>
      <w:r>
        <w:t xml:space="preserve">; </w:t>
      </w:r>
      <w:r>
        <w:rPr>
          <w:b w:val="0"/>
        </w:rPr>
        <w:t>RM-MED-002 Reach</w:t>
      </w:r>
      <w:r>
        <w:t xml:space="preserve">; </w:t>
      </w:r>
      <w:r>
        <w:rPr>
          <w:b w:val="0"/>
        </w:rPr>
        <w:t>RM-MED-003 Clicks</w:t>
      </w:r>
      <w:r>
        <w:t xml:space="preserve">; </w:t>
      </w:r>
      <w:r>
        <w:rPr>
          <w:b w:val="0"/>
        </w:rPr>
        <w:t>RM-MED-004 Click-Through Rate</w:t>
      </w:r>
      <w:r>
        <w:t xml:space="preserve">; </w:t>
      </w:r>
      <w:r>
        <w:rPr>
          <w:b w:val="0"/>
        </w:rPr>
        <w:t>RM-MED-005 Media Spend</w:t>
      </w:r>
      <w:r>
        <w:t xml:space="preserve">; </w:t>
      </w:r>
      <w:r>
        <w:rPr>
          <w:b w:val="0"/>
        </w:rPr>
        <w:t>RM-MED-006 CPM</w:t>
      </w:r>
      <w:r>
        <w:t xml:space="preserve">; </w:t>
      </w:r>
      <w:r>
        <w:rPr>
          <w:b w:val="0"/>
        </w:rPr>
        <w:t>RM-MED-007 Cost per Click</w:t>
      </w:r>
      <w:r>
        <w:t xml:space="preserve">; </w:t>
      </w:r>
      <w:r>
        <w:rPr>
          <w:b w:val="0"/>
        </w:rPr>
        <w:t>RM-MED-008 Average Media Frequency</w:t>
      </w:r>
      <w:r>
        <w:t xml:space="preserve">; </w:t>
      </w:r>
      <w:r>
        <w:rPr>
          <w:b w:val="0"/>
        </w:rPr>
        <w:t>RM-MED-011 Impression Delivery Rate</w:t>
      </w:r>
    </w:p>
    <w:p>
      <w:pPr>
        <w:pStyle w:val="Heading2"/>
      </w:pPr>
      <w:r>
        <w:t>Generic KPI Candidate: Media Delivery &amp; Efficiency</w:t>
      </w:r>
    </w:p>
    <w:p>
      <w:r>
        <w:rPr>
          <w:b/>
        </w:rPr>
        <w:t>RM-MED-009 Viewability Rate</w:t>
      </w:r>
      <w:r>
        <w:t xml:space="preserve">; </w:t>
      </w:r>
      <w:r>
        <w:rPr>
          <w:b w:val="0"/>
        </w:rPr>
        <w:t>RM-MED-010 Invalid Traffic Rate</w:t>
      </w:r>
      <w:r>
        <w:t xml:space="preserve">; </w:t>
      </w:r>
      <w:r>
        <w:rPr>
          <w:b w:val="0"/>
        </w:rPr>
        <w:t>RM-MED-012 Budget Utilization Rate</w:t>
      </w:r>
      <w:r>
        <w:t xml:space="preserve">; </w:t>
      </w:r>
      <w:r>
        <w:rPr>
          <w:b w:val="0"/>
        </w:rPr>
        <w:t>RM-MED-013 Spend Pacing Variance</w:t>
      </w:r>
    </w:p>
    <w:p>
      <w:pPr>
        <w:pStyle w:val="Heading2"/>
      </w:pPr>
      <w:r>
        <w:t>Core / Client + Generic: Audience, Identity &amp; Data Quality</w:t>
      </w:r>
    </w:p>
    <w:p>
      <w:r>
        <w:rPr>
          <w:b/>
        </w:rPr>
        <w:t>RM-AUD-001 Exposable Audience</w:t>
      </w:r>
      <w:r>
        <w:t xml:space="preserve">; </w:t>
      </w:r>
      <w:r>
        <w:rPr>
          <w:b w:val="0"/>
        </w:rPr>
        <w:t>RM-AUD-004 Confirmed Exposed Shoppers</w:t>
      </w:r>
      <w:r>
        <w:t xml:space="preserve">; </w:t>
      </w:r>
      <w:r>
        <w:rPr>
          <w:b w:val="0"/>
        </w:rPr>
        <w:t>RM-AUD-005 Exposure-to-Shopper Match Rate</w:t>
      </w:r>
    </w:p>
    <w:p>
      <w:pPr>
        <w:pStyle w:val="Heading2"/>
      </w:pPr>
      <w:r>
        <w:t>Generic KPI Candidate: Audience, Identity &amp; Data Quality</w:t>
      </w:r>
    </w:p>
    <w:p>
      <w:r>
        <w:rPr>
          <w:b/>
        </w:rPr>
        <w:t>RM-AUD-002 Distributed Audience</w:t>
      </w:r>
      <w:r>
        <w:t xml:space="preserve">; </w:t>
      </w:r>
      <w:r>
        <w:rPr>
          <w:b w:val="0"/>
        </w:rPr>
        <w:t>RM-AUD-003 Audience Match Rate</w:t>
      </w:r>
      <w:r>
        <w:t xml:space="preserve">; </w:t>
      </w:r>
      <w:r>
        <w:rPr>
          <w:b w:val="0"/>
        </w:rPr>
        <w:t>RM-AUD-006 Feed Completeness Rate</w:t>
      </w:r>
      <w:r>
        <w:t xml:space="preserve">; </w:t>
      </w:r>
      <w:r>
        <w:rPr>
          <w:b w:val="0"/>
        </w:rPr>
        <w:t>RM-AUD-007 Required-Field Completeness Rate</w:t>
      </w:r>
      <w:r>
        <w:t xml:space="preserve">; </w:t>
      </w:r>
      <w:r>
        <w:rPr>
          <w:b w:val="0"/>
        </w:rPr>
        <w:t>RM-AUD-008 Duplicate Rate</w:t>
      </w:r>
      <w:r>
        <w:t xml:space="preserve">; </w:t>
      </w:r>
      <w:r>
        <w:rPr>
          <w:b w:val="0"/>
        </w:rPr>
        <w:t>RM-AUD-009 Mapping Rate</w:t>
      </w:r>
    </w:p>
    <w:p>
      <w:pPr>
        <w:pStyle w:val="Heading2"/>
      </w:pPr>
      <w:r>
        <w:t>Core / Client + Generic: Shopper &amp; Sales Outcomes</w:t>
      </w:r>
    </w:p>
    <w:p>
      <w:r>
        <w:rPr>
          <w:b/>
        </w:rPr>
        <w:t>RM-OBS-001 Buyer Count</w:t>
      </w:r>
      <w:r>
        <w:t xml:space="preserve">; </w:t>
      </w:r>
      <w:r>
        <w:rPr>
          <w:b w:val="0"/>
        </w:rPr>
        <w:t>RM-OBS-002 Buyer Share by Dimension Value</w:t>
      </w:r>
      <w:r>
        <w:t xml:space="preserve">; </w:t>
      </w:r>
      <w:r>
        <w:rPr>
          <w:b w:val="0"/>
        </w:rPr>
        <w:t>RM-OBS-003 Reference Buyer Share by Dimension Value</w:t>
      </w:r>
      <w:r>
        <w:t xml:space="preserve">; </w:t>
      </w:r>
      <w:r>
        <w:rPr>
          <w:b w:val="0"/>
        </w:rPr>
        <w:t>RM-OBS-004 Buyer Share Difference vs Reference</w:t>
      </w:r>
      <w:r>
        <w:t xml:space="preserve">; </w:t>
      </w:r>
      <w:r>
        <w:rPr>
          <w:b w:val="0"/>
        </w:rPr>
        <w:t>RM-OBS-005 Buyer Index vs Reference</w:t>
      </w:r>
      <w:r>
        <w:t xml:space="preserve">; </w:t>
      </w:r>
      <w:r>
        <w:rPr>
          <w:b w:val="0"/>
        </w:rPr>
        <w:t>RM-OBS-006 Profile Coverage Rate</w:t>
      </w:r>
      <w:r>
        <w:t xml:space="preserve">; </w:t>
      </w:r>
      <w:r>
        <w:rPr>
          <w:b w:val="0"/>
        </w:rPr>
        <w:t>RM-OBS-007 Revenue</w:t>
      </w:r>
      <w:r>
        <w:t xml:space="preserve">; </w:t>
      </w:r>
      <w:r>
        <w:rPr>
          <w:b w:val="0"/>
        </w:rPr>
        <w:t>RM-OBS-008 Transactions</w:t>
      </w:r>
      <w:r>
        <w:t xml:space="preserve">; </w:t>
      </w:r>
      <w:r>
        <w:rPr>
          <w:b w:val="0"/>
        </w:rPr>
        <w:t>RM-OBS-009 Units Sold</w:t>
      </w:r>
      <w:r>
        <w:t xml:space="preserve">; </w:t>
      </w:r>
      <w:r>
        <w:rPr>
          <w:b w:val="0"/>
        </w:rPr>
        <w:t>RM-OBS-010 Revenue per Buyer</w:t>
      </w:r>
      <w:r>
        <w:t xml:space="preserve">; </w:t>
      </w:r>
      <w:r>
        <w:rPr>
          <w:b w:val="0"/>
        </w:rPr>
        <w:t>RM-OBS-011 Purchase Frequency</w:t>
      </w:r>
      <w:r>
        <w:t xml:space="preserve">; </w:t>
      </w:r>
      <w:r>
        <w:rPr>
          <w:b w:val="0"/>
        </w:rPr>
        <w:t>RM-OBS-012 Average Basket Value</w:t>
      </w:r>
      <w:r>
        <w:t xml:space="preserve">; </w:t>
      </w:r>
      <w:r>
        <w:rPr>
          <w:b w:val="0"/>
        </w:rPr>
        <w:t>RM-OBS-013 Items per Basket</w:t>
      </w:r>
      <w:r>
        <w:t xml:space="preserve">; </w:t>
      </w:r>
      <w:r>
        <w:rPr>
          <w:b w:val="0"/>
        </w:rPr>
        <w:t>RM-OBS-014 Average Price per Unit</w:t>
      </w:r>
      <w:r>
        <w:t xml:space="preserve">; </w:t>
      </w:r>
      <w:r>
        <w:rPr>
          <w:b w:val="0"/>
        </w:rPr>
        <w:t>RM-OBS-015 Revenue Share by Dimension Value</w:t>
      </w:r>
      <w:r>
        <w:t xml:space="preserve">; </w:t>
      </w:r>
      <w:r>
        <w:rPr>
          <w:b w:val="0"/>
        </w:rPr>
        <w:t>RM-OBS-016 Conversion Rate</w:t>
      </w:r>
      <w:r>
        <w:t xml:space="preserve">; </w:t>
      </w:r>
      <w:r>
        <w:rPr>
          <w:b w:val="0"/>
        </w:rPr>
        <w:t>RM-OBS-017 Repeat Buyer Count</w:t>
      </w:r>
      <w:r>
        <w:t xml:space="preserve">; </w:t>
      </w:r>
      <w:r>
        <w:rPr>
          <w:b w:val="0"/>
        </w:rPr>
        <w:t>RM-OBS-018 Repeat-Purchase Rate</w:t>
      </w:r>
    </w:p>
    <w:p>
      <w:pPr>
        <w:pStyle w:val="Heading2"/>
      </w:pPr>
      <w:r>
        <w:t>Generic KPI Candidate: Shopper &amp; Sales Outcomes</w:t>
      </w:r>
    </w:p>
    <w:p>
      <w:r>
        <w:rPr>
          <w:b/>
        </w:rPr>
        <w:t>RM-OBS-019 New-to-Brand Buyer Count</w:t>
      </w:r>
      <w:r>
        <w:t xml:space="preserve">; </w:t>
      </w:r>
      <w:r>
        <w:rPr>
          <w:b w:val="0"/>
        </w:rPr>
        <w:t>RM-OBS-020 New-to-Brand Rate</w:t>
      </w:r>
      <w:r>
        <w:t xml:space="preserve">; </w:t>
      </w:r>
      <w:r>
        <w:rPr>
          <w:b w:val="0"/>
        </w:rPr>
        <w:t>RM-OBS-021 New-to-Category Buyer Count</w:t>
      </w:r>
      <w:r>
        <w:t xml:space="preserve">; </w:t>
      </w:r>
      <w:r>
        <w:rPr>
          <w:b w:val="0"/>
        </w:rPr>
        <w:t>RM-OBS-022 Omnichannel Buyer Rate</w:t>
      </w:r>
    </w:p>
    <w:p>
      <w:pPr>
        <w:pStyle w:val="Heading2"/>
      </w:pPr>
      <w:r>
        <w:t>Core / Client + Generic: Attributed Outcomes</w:t>
      </w:r>
    </w:p>
    <w:p>
      <w:r>
        <w:rPr>
          <w:b/>
        </w:rPr>
        <w:t>RM-ATT-001 Attributed Buyer Count</w:t>
      </w:r>
      <w:r>
        <w:t xml:space="preserve">; </w:t>
      </w:r>
      <w:r>
        <w:rPr>
          <w:b w:val="0"/>
        </w:rPr>
        <w:t>RM-ATT-002 Attributed Revenue</w:t>
      </w:r>
      <w:r>
        <w:t xml:space="preserve">; </w:t>
      </w:r>
      <w:r>
        <w:rPr>
          <w:b w:val="0"/>
        </w:rPr>
        <w:t>RM-ATT-003 Attributed Transactions</w:t>
      </w:r>
      <w:r>
        <w:t xml:space="preserve">; </w:t>
      </w:r>
      <w:r>
        <w:rPr>
          <w:b w:val="0"/>
        </w:rPr>
        <w:t>RM-ATT-004 Attributed Units</w:t>
      </w:r>
      <w:r>
        <w:t xml:space="preserve">; </w:t>
      </w:r>
      <w:r>
        <w:rPr>
          <w:b w:val="0"/>
        </w:rPr>
        <w:t>RM-ATT-005 Attributed Conversion Rate</w:t>
      </w:r>
      <w:r>
        <w:t xml:space="preserve">; </w:t>
      </w:r>
      <w:r>
        <w:rPr>
          <w:b w:val="0"/>
        </w:rPr>
        <w:t>RM-ATT-006 Attributed ROAS</w:t>
      </w:r>
    </w:p>
    <w:p>
      <w:pPr>
        <w:pStyle w:val="Heading2"/>
      </w:pPr>
      <w:r>
        <w:t>Generic KPI Candidate: Attributed Outcomes</w:t>
      </w:r>
    </w:p>
    <w:p>
      <w:r>
        <w:rPr>
          <w:b/>
        </w:rPr>
        <w:t>RM-ATT-007 Attributed Share of Eligible Revenue</w:t>
      </w:r>
      <w:r>
        <w:t xml:space="preserve">; </w:t>
      </w:r>
      <w:r>
        <w:rPr>
          <w:b w:val="0"/>
        </w:rPr>
        <w:t>RM-ATT-008 Unattributed Eligible Revenue</w:t>
      </w:r>
    </w:p>
    <w:p>
      <w:pPr>
        <w:pStyle w:val="Heading2"/>
      </w:pPr>
      <w:r>
        <w:t>Walled-Garden / Aggregate-Only KPI: Walled Garden &amp; Aggregate Campaigns</w:t>
      </w:r>
    </w:p>
    <w:p>
      <w:r>
        <w:rPr>
          <w:b/>
        </w:rPr>
        <w:t>RM-WG-001 Walled-Garden Impressions</w:t>
      </w:r>
      <w:r>
        <w:t xml:space="preserve">; </w:t>
      </w:r>
      <w:r>
        <w:rPr>
          <w:b w:val="0"/>
        </w:rPr>
        <w:t>RM-WG-002 Walled-Garden Reach</w:t>
      </w:r>
      <w:r>
        <w:t xml:space="preserve">; </w:t>
      </w:r>
      <w:r>
        <w:rPr>
          <w:b w:val="0"/>
        </w:rPr>
        <w:t>RM-WG-003 Walled-Garden Clicks</w:t>
      </w:r>
      <w:r>
        <w:t xml:space="preserve">; </w:t>
      </w:r>
      <w:r>
        <w:rPr>
          <w:b w:val="0"/>
        </w:rPr>
        <w:t>RM-WG-004 Walled-Garden Spend</w:t>
      </w:r>
      <w:r>
        <w:t xml:space="preserve">; </w:t>
      </w:r>
      <w:r>
        <w:rPr>
          <w:b w:val="0"/>
        </w:rPr>
        <w:t>RM-WG-005 Walled-Garden Revenue</w:t>
      </w:r>
      <w:r>
        <w:t xml:space="preserve">; </w:t>
      </w:r>
      <w:r>
        <w:rPr>
          <w:b w:val="0"/>
        </w:rPr>
        <w:t>RM-WG-006 Walled-Garden Transactions</w:t>
      </w:r>
      <w:r>
        <w:t xml:space="preserve">; </w:t>
      </w:r>
      <w:r>
        <w:rPr>
          <w:b w:val="0"/>
        </w:rPr>
        <w:t>RM-WG-007 Walled-Garden Units</w:t>
      </w:r>
      <w:r>
        <w:t xml:space="preserve">; </w:t>
      </w:r>
      <w:r>
        <w:rPr>
          <w:b w:val="0"/>
        </w:rPr>
        <w:t>RM-WG-008 Walled-Garden Buyers</w:t>
      </w:r>
      <w:r>
        <w:t xml:space="preserve">; </w:t>
      </w:r>
      <w:r>
        <w:rPr>
          <w:b w:val="0"/>
        </w:rPr>
        <w:t>RM-WG-009 Walled-Garden Conversion Rate</w:t>
      </w:r>
      <w:r>
        <w:t xml:space="preserve">; </w:t>
      </w:r>
      <w:r>
        <w:rPr>
          <w:b w:val="0"/>
        </w:rPr>
        <w:t>RM-WG-010 Walled-Garden ROAS</w:t>
      </w:r>
      <w:r>
        <w:t xml:space="preserve">; </w:t>
      </w:r>
      <w:r>
        <w:rPr>
          <w:b w:val="0"/>
        </w:rPr>
        <w:t>RM-WG-011 Walled-Garden Incremental Lift</w:t>
      </w:r>
      <w:r>
        <w:t xml:space="preserve">; </w:t>
      </w:r>
      <w:r>
        <w:rPr>
          <w:b w:val="0"/>
        </w:rPr>
        <w:t>RM-WG-012 Walled-Garden Incremental Revenue</w:t>
      </w:r>
      <w:r>
        <w:t xml:space="preserve">; </w:t>
      </w:r>
      <w:r>
        <w:rPr>
          <w:b w:val="0"/>
        </w:rPr>
        <w:t>RM-WG-013 Walled-Garden iROAS</w:t>
      </w:r>
      <w:r>
        <w:t xml:space="preserve">; </w:t>
      </w:r>
      <w:r>
        <w:rPr>
          <w:b w:val="0"/>
        </w:rPr>
        <w:t>RM-WG-014 Combined Reported Revenue</w:t>
      </w:r>
      <w:r>
        <w:t xml:space="preserve">; </w:t>
      </w:r>
      <w:r>
        <w:rPr>
          <w:b w:val="0"/>
        </w:rPr>
        <w:t>RM-WG-015 Combined Reported Spend</w:t>
      </w:r>
    </w:p>
    <w:p>
      <w:pPr>
        <w:pStyle w:val="Heading2"/>
      </w:pPr>
      <w:r>
        <w:t>Generic KPI Candidate: Generic Product KPIs</w:t>
      </w:r>
    </w:p>
    <w:p>
      <w:r>
        <w:rPr>
          <w:b/>
        </w:rPr>
        <w:t>RM-GEN-001 Gross Margin</w:t>
      </w:r>
      <w:r>
        <w:t xml:space="preserve">; </w:t>
      </w:r>
      <w:r>
        <w:rPr>
          <w:b w:val="0"/>
        </w:rPr>
        <w:t>RM-GEN-002 Margin Rate</w:t>
      </w:r>
      <w:r>
        <w:t xml:space="preserve">; </w:t>
      </w:r>
      <w:r>
        <w:rPr>
          <w:b w:val="0"/>
        </w:rPr>
        <w:t>RM-GEN-003 Total Campaign Cost</w:t>
      </w:r>
      <w:r>
        <w:t xml:space="preserve">; </w:t>
      </w:r>
      <w:r>
        <w:rPr>
          <w:b w:val="0"/>
        </w:rPr>
        <w:t>RM-GEN-004 Descriptive Campaign P&amp;L</w:t>
      </w:r>
      <w:r>
        <w:t xml:space="preserve">; </w:t>
      </w:r>
      <w:r>
        <w:rPr>
          <w:b w:val="0"/>
        </w:rPr>
        <w:t>RM-GEN-005 Basket Breadth</w:t>
      </w:r>
      <w:r>
        <w:t xml:space="preserve">; </w:t>
      </w:r>
      <w:r>
        <w:rPr>
          <w:b w:val="0"/>
        </w:rPr>
        <w:t>RM-GEN-006 Basket Attach Rate</w:t>
      </w:r>
      <w:r>
        <w:t xml:space="preserve">; </w:t>
      </w:r>
      <w:r>
        <w:rPr>
          <w:b w:val="0"/>
        </w:rPr>
        <w:t>RM-GEN-007 Halo Revenue</w:t>
      </w:r>
      <w:r>
        <w:t xml:space="preserve">; </w:t>
      </w:r>
      <w:r>
        <w:rPr>
          <w:b w:val="0"/>
        </w:rPr>
        <w:t>RM-GEN-008 Cannibalized Revenue</w:t>
      </w:r>
      <w:r>
        <w:t xml:space="preserve">; </w:t>
      </w:r>
      <w:r>
        <w:rPr>
          <w:b w:val="0"/>
        </w:rPr>
        <w:t>RM-GEN-009 Pull-Forward Revenue</w:t>
      </w:r>
      <w:r>
        <w:t xml:space="preserve">; </w:t>
      </w:r>
      <w:r>
        <w:rPr>
          <w:b w:val="0"/>
        </w:rPr>
        <w:t>RM-GEN-010 Trade-Up Rate</w:t>
      </w:r>
      <w:r>
        <w:t xml:space="preserve">; </w:t>
      </w:r>
      <w:r>
        <w:rPr>
          <w:b w:val="0"/>
        </w:rPr>
        <w:t>RM-GEN-011 Trade-Down Rate</w:t>
      </w:r>
      <w:r>
        <w:t xml:space="preserve">; </w:t>
      </w:r>
      <w:r>
        <w:rPr>
          <w:b w:val="0"/>
        </w:rPr>
        <w:t>RM-GEN-012 Net Category Revenue Effect</w:t>
      </w:r>
      <w:r>
        <w:t xml:space="preserve">; </w:t>
      </w:r>
      <w:r>
        <w:rPr>
          <w:b w:val="0"/>
        </w:rPr>
        <w:t>RM-GEN-013 Brand Market Share</w:t>
      </w:r>
      <w:r>
        <w:t xml:space="preserve">; </w:t>
      </w:r>
      <w:r>
        <w:rPr>
          <w:b w:val="0"/>
        </w:rPr>
        <w:t>RM-GEN-014 Benchmark Index</w:t>
      </w:r>
      <w:r>
        <w:t xml:space="preserve">; </w:t>
      </w:r>
      <w:r>
        <w:rPr>
          <w:b w:val="0"/>
        </w:rPr>
        <w:t>RM-GEN-015 Creative Performance Index</w:t>
      </w:r>
      <w:r>
        <w:t xml:space="preserve">; </w:t>
      </w:r>
      <w:r>
        <w:rPr>
          <w:b w:val="0"/>
        </w:rPr>
        <w:t>RM-GEN-016 Cross-Channel Overlap Rate</w:t>
      </w:r>
      <w:r>
        <w:t xml:space="preserve">; </w:t>
      </w:r>
      <w:r>
        <w:rPr>
          <w:b w:val="0"/>
        </w:rPr>
        <w:t>RM-GEN-017 Deduplicated Cross-Channel Reach</w:t>
      </w:r>
    </w:p>
    <w:p>
      <w:pPr>
        <w:pStyle w:val="Heading2"/>
      </w:pPr>
      <w:r>
        <w:t>Generic KPI Candidate: Incrementality &amp; Statistical Quality</w:t>
      </w:r>
    </w:p>
    <w:p>
      <w:r>
        <w:rPr>
          <w:b/>
        </w:rPr>
        <w:t>RM-INC-001 Treatment Population</w:t>
      </w:r>
      <w:r>
        <w:t xml:space="preserve">; </w:t>
      </w:r>
      <w:r>
        <w:rPr>
          <w:b w:val="0"/>
        </w:rPr>
        <w:t>RM-INC-002 Control Population</w:t>
      </w:r>
      <w:r>
        <w:t xml:space="preserve">; </w:t>
      </w:r>
      <w:r>
        <w:rPr>
          <w:b w:val="0"/>
        </w:rPr>
        <w:t>RM-INC-009 Incremental Units</w:t>
      </w:r>
      <w:r>
        <w:t xml:space="preserve">; </w:t>
      </w:r>
      <w:r>
        <w:rPr>
          <w:b w:val="0"/>
        </w:rPr>
        <w:t>RM-INC-011 Incremental Profit</w:t>
      </w:r>
      <w:r>
        <w:t xml:space="preserve">; </w:t>
      </w:r>
      <w:r>
        <w:rPr>
          <w:b w:val="0"/>
        </w:rPr>
        <w:t>RM-INC-012 Cost per Incremental Buyer</w:t>
      </w:r>
      <w:r>
        <w:t xml:space="preserve">; </w:t>
      </w:r>
      <w:r>
        <w:rPr>
          <w:b w:val="0"/>
        </w:rPr>
        <w:t>RM-INC-013 Control Contamination Rate</w:t>
      </w:r>
      <w:r>
        <w:t xml:space="preserve">; </w:t>
      </w:r>
      <w:r>
        <w:rPr>
          <w:b w:val="0"/>
        </w:rPr>
        <w:t>RM-INC-014 Confidence Interval</w:t>
      </w:r>
      <w:r>
        <w:t xml:space="preserve">; </w:t>
      </w:r>
      <w:r>
        <w:rPr>
          <w:b w:val="0"/>
        </w:rPr>
        <w:t>RM-INC-015 P-Value</w:t>
      </w:r>
    </w:p>
    <w:p>
      <w:pPr>
        <w:pStyle w:val="Heading2"/>
      </w:pPr>
      <w:r>
        <w:t>Core / Client + Generic: Incrementality &amp; Statistical Quality</w:t>
      </w:r>
    </w:p>
    <w:p>
      <w:r>
        <w:rPr>
          <w:b/>
        </w:rPr>
        <w:t>RM-INC-003 Treatment Conversion Rate</w:t>
      </w:r>
      <w:r>
        <w:t xml:space="preserve">; </w:t>
      </w:r>
      <w:r>
        <w:rPr>
          <w:b w:val="0"/>
        </w:rPr>
        <w:t>RM-INC-004 Control Conversion Rate</w:t>
      </w:r>
      <w:r>
        <w:t xml:space="preserve">; </w:t>
      </w:r>
      <w:r>
        <w:rPr>
          <w:b w:val="0"/>
        </w:rPr>
        <w:t>RM-INC-005 Absolute Conversion Lift</w:t>
      </w:r>
      <w:r>
        <w:t xml:space="preserve">; </w:t>
      </w:r>
      <w:r>
        <w:rPr>
          <w:b w:val="0"/>
        </w:rPr>
        <w:t>RM-INC-006 Relative Conversion Lift</w:t>
      </w:r>
      <w:r>
        <w:t xml:space="preserve">; </w:t>
      </w:r>
      <w:r>
        <w:rPr>
          <w:b w:val="0"/>
        </w:rPr>
        <w:t>RM-INC-007 Incremental Buyer Count</w:t>
      </w:r>
      <w:r>
        <w:t xml:space="preserve">; </w:t>
      </w:r>
      <w:r>
        <w:rPr>
          <w:b w:val="0"/>
        </w:rPr>
        <w:t>RM-INC-008 Incremental Revenue</w:t>
      </w:r>
      <w:r>
        <w:t xml:space="preserve">; </w:t>
      </w:r>
      <w:r>
        <w:rPr>
          <w:b w:val="0"/>
        </w:rPr>
        <w:t>RM-INC-010 Incremental ROAS</w:t>
      </w:r>
    </w:p>
    <w:p>
      <w:pPr>
        <w:pStyle w:val="Heading1"/>
      </w:pPr>
      <w:r>
        <w:t>6. Source of detailed definitions</w:t>
      </w:r>
    </w:p>
    <w:p>
      <w:r>
        <w:t>The accompanying Retail Media Normalized KPI Catalogue is the authoritative metric contract for definitions, formulas, sources, reporting modes, exposure requirements, supported dimensions and candidate status. This Product Bible remains the feature, policy and roadmap authority.</w:t>
      </w:r>
    </w:p>
    <w:p>
      <w:r>
        <w:br w:type="page"/>
      </w:r>
    </w:p>
    <w:p>
      <w:pPr>
        <w:pStyle w:val="Title"/>
      </w:pPr>
      <w:r>
        <w:t>POC Gap Closure and Extended Measurement Addendum</w:t>
      </w:r>
    </w:p>
    <w:p>
      <w:r>
        <w:t>This addendum brings forward the useful Retail Media ideas from the earlier proof of concept. Offer personalization requirements remain out of scope. The detailed KPI definitions are stored in the updated KPI Catalogue.</w:t>
      </w:r>
    </w:p>
    <w:p>
      <w:pPr>
        <w:pStyle w:val="Heading1"/>
      </w:pPr>
      <w:r>
        <w:t>1. Inventory, search and yield measurement</w:t>
      </w:r>
    </w:p>
    <w:p>
      <w:r>
        <w:t>The generic product may measure how much ad inventory was available, how much was used, and how much media revenue it earned when ad-request and inventory data are available.</w:t>
      </w:r>
    </w:p>
    <w:p>
      <w:pPr>
        <w:pStyle w:val="ListBullet"/>
      </w:pPr>
      <w:r>
        <w:t>Track ad opportunities, filled opportunities, unfilled opportunities, fill rate, unfilled rate, inventory revenue, revenue per opportunity, and inventory utilization.</w:t>
      </w:r>
    </w:p>
    <w:p>
      <w:pPr>
        <w:pStyle w:val="ListBullet"/>
      </w:pPr>
      <w:r>
        <w:t>Allow users to break these results down by placement, ad format, channel, search term, query type, device, partner, retailer, country, banner, and time.</w:t>
      </w:r>
    </w:p>
    <w:p>
      <w:pPr>
        <w:pStyle w:val="ListBullet"/>
      </w:pPr>
      <w:r>
        <w:t>Keep inventory revenue definitions separate from advertiser media spend when the two values use different fee or revenue-recognition rules.</w:t>
      </w:r>
    </w:p>
    <w:p>
      <w:pPr>
        <w:pStyle w:val="ListBullet"/>
      </w:pPr>
      <w:r>
        <w:t>Treat inventory and yield as a generic future capability. It is enabled only when the required ad-request, capacity, billing, and mapping data exist.</w:t>
      </w:r>
    </w:p>
    <w:p>
      <w:pPr>
        <w:pStyle w:val="Heading1"/>
      </w:pPr>
      <w:r>
        <w:t>2. Partner-versus-Activate result reconciliation</w:t>
      </w:r>
    </w:p>
    <w:p>
      <w:r>
        <w:t>The product may compare partner-reported results with Activate-attributed and incremental results. The purpose is to explain differences, not to force the methods to match.</w:t>
      </w:r>
    </w:p>
    <w:p>
      <w:pPr>
        <w:pStyle w:val="ListBullet"/>
      </w:pPr>
      <w:r>
        <w:t>Show partner-reported revenue, Activate-attributed revenue, incremental revenue, and their methods as separate values.</w:t>
      </w:r>
    </w:p>
    <w:p>
      <w:pPr>
        <w:pStyle w:val="ListBullet"/>
      </w:pPr>
      <w:r>
        <w:t>Show revenue, ROAS, order, unit, and coverage differences only after product scope, currency, sales basis, returns, spend scope, and reporting periods are aligned.</w:t>
      </w:r>
    </w:p>
    <w:p>
      <w:pPr>
        <w:pStyle w:val="ListBullet"/>
      </w:pPr>
      <w:r>
        <w:t>Use a bridge or waterfall that keeps each step visible. Do not present one unexplained gap.</w:t>
      </w:r>
    </w:p>
    <w:p>
      <w:pPr>
        <w:pStyle w:val="ListBullet"/>
      </w:pPr>
      <w:r>
        <w:t>Partner-reported results remain partner-reported. A comparison does not mean Activate validated the partner method.</w:t>
      </w:r>
    </w:p>
    <w:p>
      <w:pPr>
        <w:pStyle w:val="Heading1"/>
      </w:pPr>
      <w:r>
        <w:t>3. Day-one reporting and independent readiness</w:t>
      </w:r>
    </w:p>
    <w:p>
      <w:r>
        <w:t>Each result class becomes available on its own timetable. A campaign does not need to wait for every advanced result before simpler facts can be shown.</w:t>
      </w:r>
    </w:p>
    <w:p>
      <w:pPr>
        <w:pStyle w:val="ListBullet"/>
      </w:pPr>
      <w:r>
        <w:t>On Day 1, show campaign setup, delivery, pacing, feed status, and match quality when available.</w:t>
      </w:r>
    </w:p>
    <w:p>
      <w:pPr>
        <w:pStyle w:val="ListBullet"/>
      </w:pPr>
      <w:r>
        <w:t>Do not show partial attributed revenue, ROAS, lift, or incremental results as final values.</w:t>
      </w:r>
    </w:p>
    <w:p>
      <w:pPr>
        <w:pStyle w:val="ListBullet"/>
      </w:pPr>
      <w:r>
        <w:t>Hide or disable a KPI until its required data, window, maturity, and quality gates are complete. Explain what is missing and when the next result is expected.</w:t>
      </w:r>
    </w:p>
    <w:p>
      <w:pPr>
        <w:pStyle w:val="ListBullet"/>
      </w:pPr>
      <w:r>
        <w:t>Media delivery may be Ready while observed sales, attribution, partner-reported results, incrementality, or prediction remain Processing, Insufficient data, Not supported, or Data issue.</w:t>
      </w:r>
    </w:p>
    <w:p>
      <w:pPr>
        <w:pStyle w:val="ListBullet"/>
      </w:pPr>
      <w:r>
        <w:t>Failure of an advanced result must not remove a valid lower-level result.</w:t>
      </w:r>
    </w:p>
    <w:p>
      <w:pPr>
        <w:pStyle w:val="Heading1"/>
      </w:pPr>
      <w:r>
        <w:t>4. Audience export and return reconciliation</w:t>
      </w:r>
    </w:p>
    <w:p>
      <w:pPr>
        <w:pStyle w:val="ListBullet"/>
      </w:pPr>
      <w:r>
        <w:t>Compare the audience records sent to the partner with the records returned by the partner.</w:t>
      </w:r>
    </w:p>
    <w:p>
      <w:pPr>
        <w:pStyle w:val="ListBullet"/>
      </w:pPr>
      <w:r>
        <w:t>Every exported record must either return or have an approved status that explains why it did not return or could not be used.</w:t>
      </w:r>
    </w:p>
    <w:p>
      <w:pPr>
        <w:pStyle w:val="ListBullet"/>
      </w:pPr>
      <w:r>
        <w:t>Track exported count, returned count, explicitly suppressed count, missing count, return reconciliation rate, and unexplained record loss rate.</w:t>
      </w:r>
    </w:p>
    <w:p>
      <w:pPr>
        <w:pStyle w:val="ListBullet"/>
      </w:pPr>
      <w:r>
        <w:t>Use the correct exported identity and preserve status history. Do not silently remove missing records from denominators.</w:t>
      </w:r>
    </w:p>
    <w:p>
      <w:pPr>
        <w:pStyle w:val="Heading1"/>
      </w:pPr>
      <w:r>
        <w:t>5. Response-decay and time-to-conversion analysis</w:t>
      </w:r>
    </w:p>
    <w:p>
      <w:pPr>
        <w:pStyle w:val="ListBullet"/>
      </w:pPr>
      <w:r>
        <w:t>Measure how long it takes for a qualifying purchase to occur after the selected media interaction.</w:t>
      </w:r>
    </w:p>
    <w:p>
      <w:pPr>
        <w:pStyle w:val="ListBullet"/>
      </w:pPr>
      <w:r>
        <w:t>Support elapsed-time breakdowns such as same day, day 1, days 2-3, days 4-7, days 8-14, and days 15-30.</w:t>
      </w:r>
    </w:p>
    <w:p>
      <w:pPr>
        <w:pStyle w:val="ListBullet"/>
      </w:pPr>
      <w:r>
        <w:t>Show cumulative attributed buyers and cumulative attributed revenue through selected days.</w:t>
      </w:r>
    </w:p>
    <w:p>
      <w:pPr>
        <w:pStyle w:val="ListBullet"/>
      </w:pPr>
      <w:r>
        <w:t>Use response-decay analysis to explain behavior and help evaluate attribution windows. It does not prove causation.</w:t>
      </w:r>
    </w:p>
    <w:p>
      <w:pPr>
        <w:pStyle w:val="Heading1"/>
      </w:pPr>
      <w:r>
        <w:t>6. Search-term reporting</w:t>
      </w:r>
    </w:p>
    <w:p>
      <w:r>
        <w:t>Search terms and search classifications are supported dimensions rather than separate KPI definitions.</w:t>
      </w:r>
    </w:p>
    <w:p>
      <w:pPr>
        <w:pStyle w:val="ListBullet"/>
      </w:pPr>
      <w:r>
        <w:t>Add Search Term, Search Query Type, and Search Placement Type as governed dimensions.</w:t>
      </w:r>
    </w:p>
    <w:p>
      <w:pPr>
        <w:pStyle w:val="ListBullet"/>
      </w:pPr>
      <w:r>
        <w:t>Allow approved media, inventory, attributed, and opportunity KPIs to be grouped by these dimensions.</w:t>
      </w:r>
    </w:p>
    <w:p>
      <w:pPr>
        <w:pStyle w:val="ListBullet"/>
      </w:pPr>
      <w:r>
        <w:t>Keep raw search queries protected and apply small-cell, privacy, and sensitive-term rules where required.</w:t>
      </w:r>
    </w:p>
    <w:p>
      <w:pPr>
        <w:pStyle w:val="Heading1"/>
      </w:pPr>
      <w:r>
        <w:t>7. Measurement coverage</w:t>
      </w:r>
    </w:p>
    <w:p>
      <w:r>
        <w:t>The product explains how much of the eligible business is measured at shopper level, only in aggregate, or not measured.</w:t>
      </w:r>
    </w:p>
    <w:p>
      <w:pPr>
        <w:pStyle w:val="ListBullet"/>
      </w:pPr>
      <w:r>
        <w:t>Keep identified sales, unidentified sales, shopper-level result components, aggregate-only result components, and unmeasured scope separate.</w:t>
      </w:r>
    </w:p>
    <w:p>
      <w:pPr>
        <w:pStyle w:val="ListBullet"/>
      </w:pPr>
      <w:r>
        <w:t>Support a decomposition such as total eligible sales equals shopper-linked sales plus aggregate-only sales plus currently unmeasured sales when the scopes are compatible.</w:t>
      </w:r>
    </w:p>
    <w:p>
      <w:pPr>
        <w:pStyle w:val="ListBullet"/>
      </w:pPr>
      <w:r>
        <w:t>Never blend aggregate campaign totals into shopper transaction rows.</w:t>
      </w:r>
    </w:p>
    <w:p>
      <w:pPr>
        <w:pStyle w:val="ListBullet"/>
      </w:pPr>
      <w:r>
        <w:t>Show the basis used for coverage, such as revenue, transactions, units, spend, or campaigns.</w:t>
      </w:r>
    </w:p>
    <w:p>
      <w:pPr>
        <w:pStyle w:val="Heading1"/>
      </w:pPr>
      <w:r>
        <w:t>8. Configurable quality gates</w:t>
      </w:r>
    </w:p>
    <w:p>
      <w:pPr>
        <w:pStyle w:val="ListBullet"/>
      </w:pPr>
      <w:r>
        <w:t>Match-rate and coverage thresholds are configurable by client, source, identity method, result class, and use case.</w:t>
      </w:r>
    </w:p>
    <w:p>
      <w:pPr>
        <w:pStyle w:val="ListBullet"/>
      </w:pPr>
      <w:r>
        <w:t>Do not hard-code one universal threshold for every client or KPI.</w:t>
      </w:r>
    </w:p>
    <w:p>
      <w:pPr>
        <w:pStyle w:val="ListBullet"/>
      </w:pPr>
      <w:r>
        <w:t>A low match rate may allow delivery reporting, add a warning to attribution, or block a causal result, depending on the approved rule.</w:t>
      </w:r>
    </w:p>
    <w:p>
      <w:pPr>
        <w:pStyle w:val="ListBullet"/>
      </w:pPr>
      <w:r>
        <w:t>Every blocked result shows the failed gate, actual value, required value, impact, and next action.</w:t>
      </w:r>
    </w:p>
    <w:p>
      <w:pPr>
        <w:pStyle w:val="Heading1"/>
      </w:pPr>
      <w:r>
        <w:t>9. Future predictive measurement layer</w:t>
      </w:r>
    </w:p>
    <w:p>
      <w:r>
        <w:t>Predictive results form a separate future measurement layer. Predictions are not observed, attributed, or incremental results.</w:t>
      </w:r>
    </w:p>
    <w:p>
      <w:pPr>
        <w:pStyle w:val="ListBullet"/>
      </w:pPr>
      <w:r>
        <w:t>Possible results include predicted incremental buyer probability, predicted incremental revenue, channel affinity, predicted best channel, predicted incremental customer lifetime value, revenue forecasts, incremental revenue forecasts, and forecast ranges.</w:t>
      </w:r>
    </w:p>
    <w:p>
      <w:pPr>
        <w:pStyle w:val="ListBullet"/>
      </w:pPr>
      <w:r>
        <w:t>Every prediction shows the model version, training period, target, data coverage, forecast horizon, uncertainty, and approved use.</w:t>
      </w:r>
    </w:p>
    <w:p>
      <w:pPr>
        <w:pStyle w:val="ListBullet"/>
      </w:pPr>
      <w:r>
        <w:t>Predictions may support planning and recommendations, but they never overwrite a published measured result.</w:t>
      </w:r>
    </w:p>
    <w:p>
      <w:pPr>
        <w:pStyle w:val="ListBullet"/>
      </w:pPr>
      <w:r>
        <w:t>A prediction is labelled causal only when the underlying method and validation support that claim.</w:t>
      </w:r>
    </w:p>
    <w:p>
      <w:pPr>
        <w:pStyle w:val="Heading1"/>
      </w:pPr>
      <w:r>
        <w:t>10. Additional implementation rules</w:t>
      </w:r>
    </w:p>
    <w:p>
      <w:pPr>
        <w:pStyle w:val="ListBullet"/>
      </w:pPr>
      <w:r>
        <w:t>Store event timestamps in an approved standard and convert them consistently for reporting. Do not mix local time and UTC during joins.</w:t>
      </w:r>
    </w:p>
    <w:p>
      <w:pPr>
        <w:pStyle w:val="ListBullet"/>
      </w:pPr>
      <w:r>
        <w:t>Make fiscal calendars configurable by client and market.</w:t>
      </w:r>
    </w:p>
    <w:p>
      <w:pPr>
        <w:pStyle w:val="ListBullet"/>
      </w:pPr>
      <w:r>
        <w:t>Convert special partner values such as infinity, undefined ROI, or division-by-zero markers into explicit statuses before calculations.</w:t>
      </w:r>
    </w:p>
    <w:p>
      <w:pPr>
        <w:pStyle w:val="ListBullet"/>
      </w:pPr>
      <w:r>
        <w:t>Snapshot or effective-date campaign, product, placement, creative, and reference mappings so historical results do not change when current values change.</w:t>
      </w:r>
    </w:p>
    <w:p>
      <w:pPr>
        <w:pStyle w:val="ListBullet"/>
      </w:pPr>
      <w:r>
        <w:t>Treatment and control assignments are timestamped, append-only, and never overwritten by a rerun.</w:t>
      </w:r>
    </w:p>
    <w:p>
      <w:pPr>
        <w:pStyle w:val="ListBullet"/>
      </w:pPr>
      <w:r>
        <w:t>Where a partner supports custom attributes, send the internal Measurement Program ID so related partner campaigns can be rolled up safely.</w:t>
      </w:r>
    </w:p>
    <w:p>
      <w:pPr>
        <w:pStyle w:val="Heading1"/>
      </w:pPr>
      <w:r>
        <w:t>11. Product Bible feature and roadmap updates</w:t>
      </w:r>
    </w:p>
    <w:p>
      <w:pPr>
        <w:pStyle w:val="ListBullet"/>
      </w:pPr>
      <w:r>
        <w:t>F17 Delivery and data diagnostics now includes audience export/return reconciliation, result coverage, result readiness, quality gates, and partner-versus-Activate reconciliation.</w:t>
      </w:r>
    </w:p>
    <w:p>
      <w:pPr>
        <w:pStyle w:val="ListBullet"/>
      </w:pPr>
      <w:r>
        <w:t>F18 Inventory, search and yield opportunities now includes canonical inventory and yield KPIs plus search-term dimensions.</w:t>
      </w:r>
    </w:p>
    <w:p>
      <w:pPr>
        <w:pStyle w:val="ListBullet"/>
      </w:pPr>
      <w:r>
        <w:t>F21 Decision support now explicitly includes a future Predictive measurement layer with scores, forecasts, uncertainty, and recommendations.</w:t>
      </w:r>
    </w:p>
    <w:p>
      <w:pPr>
        <w:pStyle w:val="ListBullet"/>
      </w:pPr>
      <w:r>
        <w:t>Campaign Story adds optional partner-versus-Activate reconciliation and response-decay views.</w:t>
      </w:r>
    </w:p>
    <w:p>
      <w:pPr>
        <w:pStyle w:val="ListBullet"/>
      </w:pPr>
      <w:r>
        <w:t>Overview adds independent readiness by result class and coverage decomposition.</w:t>
      </w:r>
    </w:p>
    <w:p>
      <w:pPr>
        <w:pStyle w:val="ListBullet"/>
      </w:pPr>
      <w:r>
        <w:t>Performance Explorer supports Search Term, Search Query Type, Search Placement Type, Measurement Coverage Type, Result Readiness, and Days Since Exposure as governed dimensions.</w:t>
      </w:r>
    </w:p>
    <w:p>
      <w:pPr>
        <w:pStyle w:val="Heading1"/>
      </w:pPr>
      <w:r>
        <w:t>12. Authority and phasing rule</w:t>
      </w:r>
    </w:p>
    <w:p>
      <w:r>
        <w:t>These capabilities are now part of the generic product definition. Their delivery phase is not automatically committed. Phasing is decided after the available data, partner contracts, method readiness, privacy rules, design, and technical effort are reviewed. The KPI Catalogue marks the new KPIs as Generic KPI Candidates unless they are already foundational or client-confirmed.</w:t>
      </w:r>
    </w:p>
    <w:p>
      <w:r>
        <w:br/>
      </w:r>
    </w:p>
    <w:p>
      <w:pPr>
        <w:pStyle w:val="Heading1"/>
      </w:pPr>
      <w:r>
        <w:t>14. v1.9 Review Addendum: Methodology and Model Dependencies</w:t>
      </w:r>
    </w:p>
    <w:p>
      <w:r>
        <w:t>This section closes the gaps identified during the KPI-to-data-model review and the control-group methodology review. It clarifies which outcomes are calculated directly, which require a governed model or method, and which partner inputs remain mandatory. This section should be read with the KPI Catalogue, the Data Model Review and Proposed DDL, and the Retail Media Control Group Method.</w:t>
      </w:r>
    </w:p>
    <w:p>
      <w:pPr>
        <w:spacing w:before="100" w:after="140"/>
        <w:ind w:left="230" w:right="230"/>
        <w:shd w:fill="DCEAF7"/>
      </w:pPr>
      <w:r>
        <w:rPr>
          <w:b/>
          <w:color w:val="082B5C"/>
        </w:rPr>
        <w:t>Decision: the product must distinguish a table being structurally available from the method or model needed to populate it. Predictive, causal, halo, cannibalization and pull-forward outputs do not become available simply because a result table exists.</w:t>
      </w:r>
    </w:p>
    <w:p>
      <w:pPr>
        <w:pStyle w:val="Heading2"/>
      </w:pPr>
      <w:r>
        <w:t>14.1 Review findings and required PRD changes</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13438"/>
          </w:tcPr>
          <w:p>
            <w:pPr>
              <w:spacing w:after="0"/>
            </w:pPr>
            <w:r/>
            <w:r>
              <w:rPr>
                <w:rFonts w:ascii="Aptos" w:hAnsi="Aptos"/>
                <w:b/>
                <w:color w:val="FFFFFF"/>
                <w:sz w:val="17"/>
              </w:rPr>
              <w:t>Area</w:t>
            </w:r>
          </w:p>
        </w:tc>
        <w:tc>
          <w:tcPr>
            <w:tcW w:type="dxa" w:w="3389"/>
            <w:vAlign w:val="center"/>
            <w:shd w:fill="D13438"/>
          </w:tcPr>
          <w:p>
            <w:pPr>
              <w:spacing w:after="0"/>
            </w:pPr>
            <w:r/>
            <w:r>
              <w:rPr>
                <w:rFonts w:ascii="Aptos" w:hAnsi="Aptos"/>
                <w:b/>
                <w:color w:val="FFFFFF"/>
                <w:sz w:val="17"/>
              </w:rPr>
              <w:t>What was missing or inconsistent</w:t>
            </w:r>
          </w:p>
        </w:tc>
        <w:tc>
          <w:tcPr>
            <w:tcW w:type="dxa" w:w="3389"/>
            <w:vAlign w:val="center"/>
            <w:shd w:fill="D13438"/>
          </w:tcPr>
          <w:p>
            <w:pPr>
              <w:spacing w:after="0"/>
            </w:pPr>
            <w:r/>
            <w:r>
              <w:rPr>
                <w:rFonts w:ascii="Aptos" w:hAnsi="Aptos"/>
                <w:b/>
                <w:color w:val="FFFFFF"/>
                <w:sz w:val="17"/>
              </w:rPr>
              <w:t>Required PRD decision</w:t>
            </w:r>
          </w:p>
        </w:tc>
      </w:tr>
      <w:tr>
        <w:tc>
          <w:tcPr>
            <w:tcW w:type="dxa" w:w="3389"/>
            <w:vAlign w:val="center"/>
            <w:shd w:fill="F5F8FA"/>
          </w:tcPr>
          <w:p>
            <w:pPr>
              <w:spacing w:after="0"/>
            </w:pPr>
            <w:r/>
            <w:r>
              <w:rPr>
                <w:rFonts w:ascii="Aptos" w:hAnsi="Aptos"/>
                <w:b w:val="0"/>
                <w:sz w:val="16"/>
              </w:rPr>
              <w:t>Campaign media metadata</w:t>
            </w:r>
          </w:p>
        </w:tc>
        <w:tc>
          <w:tcPr>
            <w:tcW w:type="dxa" w:w="3389"/>
            <w:vAlign w:val="center"/>
            <w:shd w:fill="F5F8FA"/>
          </w:tcPr>
          <w:p>
            <w:pPr>
              <w:spacing w:after="0"/>
            </w:pPr>
            <w:r/>
            <w:r>
              <w:rPr>
                <w:rFonts w:ascii="Aptos" w:hAnsi="Aptos"/>
                <w:b w:val="0"/>
                <w:sz w:val="16"/>
              </w:rPr>
              <w:t>The earlier hierarchy language implied parent-child nodes and recursive joins.</w:t>
            </w:r>
          </w:p>
        </w:tc>
        <w:tc>
          <w:tcPr>
            <w:tcW w:type="dxa" w:w="3389"/>
            <w:vAlign w:val="center"/>
            <w:shd w:fill="F5F8FA"/>
          </w:tcPr>
          <w:p>
            <w:pPr>
              <w:spacing w:after="0"/>
            </w:pPr>
            <w:r/>
            <w:r>
              <w:rPr>
                <w:rFonts w:ascii="Aptos" w:hAnsi="Aptos"/>
                <w:b w:val="0"/>
                <w:sz w:val="16"/>
              </w:rPr>
              <w:t>Use a flat campaign_media_dimension with campaign, ad group, line item, placement, creative, channel, tactic, objective, format and device columns. Unsupported levels remain null.</w:t>
            </w:r>
          </w:p>
        </w:tc>
      </w:tr>
      <w:tr>
        <w:tc>
          <w:tcPr>
            <w:tcW w:type="dxa" w:w="3389"/>
            <w:vAlign w:val="center"/>
            <w:shd w:fill="FFFFFF"/>
          </w:tcPr>
          <w:p>
            <w:pPr>
              <w:spacing w:after="0"/>
            </w:pPr>
            <w:r/>
            <w:r>
              <w:rPr>
                <w:rFonts w:ascii="Aptos" w:hAnsi="Aptos"/>
                <w:b w:val="0"/>
                <w:sz w:val="16"/>
              </w:rPr>
              <w:t>Campaign product scope</w:t>
            </w:r>
          </w:p>
        </w:tc>
        <w:tc>
          <w:tcPr>
            <w:tcW w:type="dxa" w:w="3389"/>
            <w:vAlign w:val="center"/>
            <w:shd w:fill="FFFFFF"/>
          </w:tcPr>
          <w:p>
            <w:pPr>
              <w:spacing w:after="0"/>
            </w:pPr>
            <w:r/>
            <w:r>
              <w:rPr>
                <w:rFonts w:ascii="Aptos" w:hAnsi="Aptos"/>
                <w:b w:val="0"/>
                <w:sz w:val="16"/>
              </w:rPr>
              <w:t>The advertised product scope was described, but the minimum returned fields were not explicit enough.</w:t>
            </w:r>
          </w:p>
        </w:tc>
        <w:tc>
          <w:tcPr>
            <w:tcW w:type="dxa" w:w="3389"/>
            <w:vAlign w:val="center"/>
            <w:shd w:fill="FFFFFF"/>
          </w:tcPr>
          <w:p>
            <w:pPr>
              <w:spacing w:after="0"/>
            </w:pPr>
            <w:r/>
            <w:r>
              <w:rPr>
                <w:rFonts w:ascii="Aptos" w:hAnsi="Aptos"/>
                <w:b w:val="0"/>
                <w:sz w:val="16"/>
              </w:rPr>
              <w:t>Require campaign_id, catalog_internal_id, brand_id and category_id for every directly advertised product.</w:t>
            </w:r>
          </w:p>
        </w:tc>
      </w:tr>
      <w:tr>
        <w:tc>
          <w:tcPr>
            <w:tcW w:type="dxa" w:w="3389"/>
            <w:vAlign w:val="center"/>
            <w:shd w:fill="F5F8FA"/>
          </w:tcPr>
          <w:p>
            <w:pPr>
              <w:spacing w:after="0"/>
            </w:pPr>
            <w:r/>
            <w:r>
              <w:rPr>
                <w:rFonts w:ascii="Aptos" w:hAnsi="Aptos"/>
                <w:b w:val="0"/>
                <w:sz w:val="16"/>
              </w:rPr>
              <w:t>Halo calculation</w:t>
            </w:r>
          </w:p>
        </w:tc>
        <w:tc>
          <w:tcPr>
            <w:tcW w:type="dxa" w:w="3389"/>
            <w:vAlign w:val="center"/>
            <w:shd w:fill="F5F8FA"/>
          </w:tcPr>
          <w:p>
            <w:pPr>
              <w:spacing w:after="0"/>
            </w:pPr>
            <w:r/>
            <w:r>
              <w:rPr>
                <w:rFonts w:ascii="Aptos" w:hAnsi="Aptos"/>
                <w:b w:val="0"/>
                <w:sz w:val="16"/>
              </w:rPr>
              <w:t>Halo was listed as a capability, but the source-versus-calculated behavior was not fully stated.</w:t>
            </w:r>
          </w:p>
        </w:tc>
        <w:tc>
          <w:tcPr>
            <w:tcW w:type="dxa" w:w="3389"/>
            <w:vAlign w:val="center"/>
            <w:shd w:fill="F5F8FA"/>
          </w:tcPr>
          <w:p>
            <w:pPr>
              <w:spacing w:after="0"/>
            </w:pPr>
            <w:r/>
            <w:r>
              <w:rPr>
                <w:rFonts w:ascii="Aptos" w:hAnsi="Aptos"/>
                <w:b w:val="0"/>
                <w:sz w:val="16"/>
              </w:rPr>
              <w:t>If the partner/client supplies approved halo results, store them as partner-reported. Activate must still support its own descriptive and attributed brand- and category-halo calculations from campaign product scope and TLOG.</w:t>
            </w:r>
          </w:p>
        </w:tc>
      </w:tr>
      <w:tr>
        <w:tc>
          <w:tcPr>
            <w:tcW w:type="dxa" w:w="3389"/>
            <w:vAlign w:val="center"/>
            <w:shd w:fill="FFFFFF"/>
          </w:tcPr>
          <w:p>
            <w:pPr>
              <w:spacing w:after="0"/>
            </w:pPr>
            <w:r/>
            <w:r>
              <w:rPr>
                <w:rFonts w:ascii="Aptos" w:hAnsi="Aptos"/>
                <w:b w:val="0"/>
                <w:sz w:val="16"/>
              </w:rPr>
              <w:t>Audience activation records</w:t>
            </w:r>
          </w:p>
        </w:tc>
        <w:tc>
          <w:tcPr>
            <w:tcW w:type="dxa" w:w="3389"/>
            <w:vAlign w:val="center"/>
            <w:shd w:fill="FFFFFF"/>
          </w:tcPr>
          <w:p>
            <w:pPr>
              <w:spacing w:after="0"/>
            </w:pPr>
            <w:r/>
            <w:r>
              <w:rPr>
                <w:rFonts w:ascii="Aptos" w:hAnsi="Aptos"/>
                <w:b w:val="0"/>
                <w:sz w:val="16"/>
              </w:rPr>
              <w:t>The KPI review found that selected, exported, returned, suppressed and missing populations need physical source records.</w:t>
            </w:r>
          </w:p>
        </w:tc>
        <w:tc>
          <w:tcPr>
            <w:tcW w:type="dxa" w:w="3389"/>
            <w:vAlign w:val="center"/>
            <w:shd w:fill="FFFFFF"/>
          </w:tcPr>
          <w:p>
            <w:pPr>
              <w:spacing w:after="0"/>
            </w:pPr>
            <w:r/>
            <w:r>
              <w:rPr>
                <w:rFonts w:ascii="Aptos" w:hAnsi="Aptos"/>
                <w:b w:val="0"/>
                <w:sz w:val="16"/>
              </w:rPr>
              <w:t>Add audience membership, export/distribution, partner-return and suppression-status objects to the data contract.</w:t>
            </w:r>
          </w:p>
        </w:tc>
      </w:tr>
      <w:tr>
        <w:tc>
          <w:tcPr>
            <w:tcW w:type="dxa" w:w="3389"/>
            <w:vAlign w:val="center"/>
            <w:shd w:fill="F5F8FA"/>
          </w:tcPr>
          <w:p>
            <w:pPr>
              <w:spacing w:after="0"/>
            </w:pPr>
            <w:r/>
            <w:r>
              <w:rPr>
                <w:rFonts w:ascii="Aptos" w:hAnsi="Aptos"/>
                <w:b w:val="0"/>
                <w:sz w:val="16"/>
              </w:rPr>
              <w:t>Control groups</w:t>
            </w:r>
          </w:p>
        </w:tc>
        <w:tc>
          <w:tcPr>
            <w:tcW w:type="dxa" w:w="3389"/>
            <w:vAlign w:val="center"/>
            <w:shd w:fill="F5F8FA"/>
          </w:tcPr>
          <w:p>
            <w:pPr>
              <w:spacing w:after="0"/>
            </w:pPr>
            <w:r/>
            <w:r>
              <w:rPr>
                <w:rFonts w:ascii="Aptos" w:hAnsi="Aptos"/>
                <w:b w:val="0"/>
                <w:sz w:val="16"/>
              </w:rPr>
              <w:t>The policy described two methods, but needed operational detail on assignment, matching, exclusions, gates, labels and publication.</w:t>
            </w:r>
          </w:p>
        </w:tc>
        <w:tc>
          <w:tcPr>
            <w:tcW w:type="dxa" w:w="3389"/>
            <w:vAlign w:val="center"/>
            <w:shd w:fill="F5F8FA"/>
          </w:tcPr>
          <w:p>
            <w:pPr>
              <w:spacing w:after="0"/>
            </w:pPr>
            <w:r/>
            <w:r>
              <w:rPr>
                <w:rFonts w:ascii="Aptos" w:hAnsi="Aptos"/>
                <w:b w:val="0"/>
                <w:sz w:val="16"/>
              </w:rPr>
              <w:t>Adopt the detailed aggregate random-holdout and shopper-level matched-control rules summarized below.</w:t>
            </w:r>
          </w:p>
        </w:tc>
      </w:tr>
      <w:tr>
        <w:tc>
          <w:tcPr>
            <w:tcW w:type="dxa" w:w="3389"/>
            <w:vAlign w:val="center"/>
            <w:shd w:fill="FFFFFF"/>
          </w:tcPr>
          <w:p>
            <w:pPr>
              <w:spacing w:after="0"/>
            </w:pPr>
            <w:r/>
            <w:r>
              <w:rPr>
                <w:rFonts w:ascii="Aptos" w:hAnsi="Aptos"/>
                <w:b w:val="0"/>
                <w:sz w:val="16"/>
              </w:rPr>
              <w:t>Model dependencies</w:t>
            </w:r>
          </w:p>
        </w:tc>
        <w:tc>
          <w:tcPr>
            <w:tcW w:type="dxa" w:w="3389"/>
            <w:vAlign w:val="center"/>
            <w:shd w:fill="FFFFFF"/>
          </w:tcPr>
          <w:p>
            <w:pPr>
              <w:spacing w:after="0"/>
            </w:pPr>
            <w:r/>
            <w:r>
              <w:rPr>
                <w:rFonts w:ascii="Aptos" w:hAnsi="Aptos"/>
                <w:b w:val="0"/>
                <w:sz w:val="16"/>
              </w:rPr>
              <w:t>The PRD did not provide one place showing which advanced capability requires which model.</w:t>
            </w:r>
          </w:p>
        </w:tc>
        <w:tc>
          <w:tcPr>
            <w:tcW w:type="dxa" w:w="3389"/>
            <w:vAlign w:val="center"/>
            <w:shd w:fill="FFFFFF"/>
          </w:tcPr>
          <w:p>
            <w:pPr>
              <w:spacing w:after="0"/>
            </w:pPr>
            <w:r/>
            <w:r>
              <w:rPr>
                <w:rFonts w:ascii="Aptos" w:hAnsi="Aptos"/>
                <w:b w:val="0"/>
                <w:sz w:val="16"/>
              </w:rPr>
              <w:t>Add the model dependency register in Section 14.4.</w:t>
            </w:r>
          </w:p>
        </w:tc>
      </w:tr>
      <w:tr>
        <w:tc>
          <w:tcPr>
            <w:tcW w:type="dxa" w:w="3389"/>
            <w:vAlign w:val="center"/>
            <w:shd w:fill="F5F8FA"/>
          </w:tcPr>
          <w:p>
            <w:pPr>
              <w:spacing w:after="0"/>
            </w:pPr>
            <w:r/>
            <w:r>
              <w:rPr>
                <w:rFonts w:ascii="Aptos" w:hAnsi="Aptos"/>
                <w:b w:val="0"/>
                <w:sz w:val="16"/>
              </w:rPr>
              <w:t>Purchase timing</w:t>
            </w:r>
          </w:p>
        </w:tc>
        <w:tc>
          <w:tcPr>
            <w:tcW w:type="dxa" w:w="3389"/>
            <w:vAlign w:val="center"/>
            <w:shd w:fill="F5F8FA"/>
          </w:tcPr>
          <w:p>
            <w:pPr>
              <w:spacing w:after="0"/>
            </w:pPr>
            <w:r/>
            <w:r>
              <w:rPr>
                <w:rFonts w:ascii="Aptos" w:hAnsi="Aptos"/>
                <w:b w:val="0"/>
                <w:sz w:val="16"/>
              </w:rPr>
              <w:t>Attribution requires event-before-purchase ordering, but Purchase History currently exposes purchase_date in the reviewed DDL.</w:t>
            </w:r>
          </w:p>
        </w:tc>
        <w:tc>
          <w:tcPr>
            <w:tcW w:type="dxa" w:w="3389"/>
            <w:vAlign w:val="center"/>
            <w:shd w:fill="F5F8FA"/>
          </w:tcPr>
          <w:p>
            <w:pPr>
              <w:spacing w:after="0"/>
            </w:pPr>
            <w:r/>
            <w:r>
              <w:rPr>
                <w:rFonts w:ascii="Aptos" w:hAnsi="Aptos"/>
                <w:b w:val="0"/>
                <w:sz w:val="16"/>
              </w:rPr>
              <w:t>Require purchase timestamp when exact same-day attribution or time-to-conversion is enabled; otherwise use an approved date-level fallback and label the limitation.</w:t>
            </w:r>
          </w:p>
        </w:tc>
      </w:tr>
      <w:tr>
        <w:tc>
          <w:tcPr>
            <w:tcW w:type="dxa" w:w="3389"/>
            <w:vAlign w:val="center"/>
            <w:shd w:fill="FFFFFF"/>
          </w:tcPr>
          <w:p>
            <w:pPr>
              <w:spacing w:after="0"/>
            </w:pPr>
            <w:r/>
            <w:r>
              <w:rPr>
                <w:rFonts w:ascii="Aptos" w:hAnsi="Aptos"/>
                <w:b w:val="0"/>
                <w:sz w:val="16"/>
              </w:rPr>
              <w:t>Published result readiness</w:t>
            </w:r>
          </w:p>
        </w:tc>
        <w:tc>
          <w:tcPr>
            <w:tcW w:type="dxa" w:w="3389"/>
            <w:vAlign w:val="center"/>
            <w:shd w:fill="FFFFFF"/>
          </w:tcPr>
          <w:p>
            <w:pPr>
              <w:spacing w:after="0"/>
            </w:pPr>
            <w:r/>
            <w:r>
              <w:rPr>
                <w:rFonts w:ascii="Aptos" w:hAnsi="Aptos"/>
                <w:b w:val="0"/>
                <w:sz w:val="16"/>
              </w:rPr>
              <w:t>A destination result table can exist before the method is operational.</w:t>
            </w:r>
          </w:p>
        </w:tc>
        <w:tc>
          <w:tcPr>
            <w:tcW w:type="dxa" w:w="3389"/>
            <w:vAlign w:val="center"/>
            <w:shd w:fill="FFFFFF"/>
          </w:tcPr>
          <w:p>
            <w:pPr>
              <w:spacing w:after="0"/>
            </w:pPr>
            <w:r/>
            <w:r>
              <w:rPr>
                <w:rFonts w:ascii="Aptos" w:hAnsi="Aptos"/>
                <w:b w:val="0"/>
                <w:sz w:val="16"/>
              </w:rPr>
              <w:t>Readiness must separately report source readiness, method/model readiness, quality-gate status and publication approval.</w:t>
            </w:r>
          </w:p>
        </w:tc>
      </w:tr>
    </w:tbl>
    <w:p>
      <w:pPr>
        <w:pStyle w:val="Heading2"/>
      </w:pPr>
      <w:r>
        <w:t>14.2 Flat campaign media metadata</w:t>
      </w:r>
    </w:p>
    <w:p>
      <w:r>
        <w:t>Campaign media metadata is stored as a flat, read-optimized dimension. The product does not require a recursive parent-node hierarchy for reporting. This reduces join complexity and supports faster Overview, Campaign Story, Explorer and export queries.</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F6CBD"/>
          </w:tcPr>
          <w:p>
            <w:pPr>
              <w:spacing w:after="0"/>
            </w:pPr>
            <w:r/>
            <w:r>
              <w:rPr>
                <w:rFonts w:ascii="Aptos" w:hAnsi="Aptos"/>
                <w:b/>
                <w:color w:val="FFFFFF"/>
                <w:sz w:val="17"/>
              </w:rPr>
              <w:t>Field group</w:t>
            </w:r>
          </w:p>
        </w:tc>
        <w:tc>
          <w:tcPr>
            <w:tcW w:type="dxa" w:w="3389"/>
            <w:vAlign w:val="center"/>
            <w:shd w:fill="0F6CBD"/>
          </w:tcPr>
          <w:p>
            <w:pPr>
              <w:spacing w:after="0"/>
            </w:pPr>
            <w:r/>
            <w:r>
              <w:rPr>
                <w:rFonts w:ascii="Aptos" w:hAnsi="Aptos"/>
                <w:b/>
                <w:color w:val="FFFFFF"/>
                <w:sz w:val="17"/>
              </w:rPr>
              <w:t>Minimum columns</w:t>
            </w:r>
          </w:p>
        </w:tc>
        <w:tc>
          <w:tcPr>
            <w:tcW w:type="dxa" w:w="3389"/>
            <w:vAlign w:val="center"/>
            <w:shd w:fill="0F6CBD"/>
          </w:tcPr>
          <w:p>
            <w:pPr>
              <w:spacing w:after="0"/>
            </w:pPr>
            <w:r/>
            <w:r>
              <w:rPr>
                <w:rFonts w:ascii="Aptos" w:hAnsi="Aptos"/>
                <w:b/>
                <w:color w:val="FFFFFF"/>
                <w:sz w:val="17"/>
              </w:rPr>
              <w:t>Rule</w:t>
            </w:r>
          </w:p>
        </w:tc>
      </w:tr>
      <w:tr>
        <w:tc>
          <w:tcPr>
            <w:tcW w:type="dxa" w:w="3389"/>
            <w:vAlign w:val="center"/>
            <w:shd w:fill="F5F8FA"/>
          </w:tcPr>
          <w:p>
            <w:pPr>
              <w:spacing w:after="0"/>
            </w:pPr>
            <w:r/>
            <w:r>
              <w:rPr>
                <w:rFonts w:ascii="Aptos" w:hAnsi="Aptos"/>
                <w:b w:val="0"/>
                <w:sz w:val="16"/>
              </w:rPr>
              <w:t>Key and ownership</w:t>
            </w:r>
          </w:p>
        </w:tc>
        <w:tc>
          <w:tcPr>
            <w:tcW w:type="dxa" w:w="3389"/>
            <w:vAlign w:val="center"/>
            <w:shd w:fill="F5F8FA"/>
          </w:tcPr>
          <w:p>
            <w:pPr>
              <w:spacing w:after="0"/>
            </w:pPr>
            <w:r/>
            <w:r>
              <w:rPr>
                <w:rFonts w:ascii="Aptos" w:hAnsi="Aptos"/>
                <w:b w:val="0"/>
                <w:sz w:val="16"/>
              </w:rPr>
              <w:t>campaign_media_key, partner_id</w:t>
            </w:r>
          </w:p>
        </w:tc>
        <w:tc>
          <w:tcPr>
            <w:tcW w:type="dxa" w:w="3389"/>
            <w:vAlign w:val="center"/>
            <w:shd w:fill="F5F8FA"/>
          </w:tcPr>
          <w:p>
            <w:pPr>
              <w:spacing w:after="0"/>
            </w:pPr>
            <w:r/>
            <w:r>
              <w:rPr>
                <w:rFonts w:ascii="Aptos" w:hAnsi="Aptos"/>
                <w:b w:val="0"/>
                <w:sz w:val="16"/>
              </w:rPr>
              <w:t>media_event_fact joins through campaign_media_key. Retailer context is already known by the Activate environment.</w:t>
            </w:r>
          </w:p>
        </w:tc>
      </w:tr>
      <w:tr>
        <w:tc>
          <w:tcPr>
            <w:tcW w:type="dxa" w:w="3389"/>
            <w:vAlign w:val="center"/>
            <w:shd w:fill="FFFFFF"/>
          </w:tcPr>
          <w:p>
            <w:pPr>
              <w:spacing w:after="0"/>
            </w:pPr>
            <w:r/>
            <w:r>
              <w:rPr>
                <w:rFonts w:ascii="Aptos" w:hAnsi="Aptos"/>
                <w:b w:val="0"/>
                <w:sz w:val="16"/>
              </w:rPr>
              <w:t>Campaign</w:t>
            </w:r>
          </w:p>
        </w:tc>
        <w:tc>
          <w:tcPr>
            <w:tcW w:type="dxa" w:w="3389"/>
            <w:vAlign w:val="center"/>
            <w:shd w:fill="FFFFFF"/>
          </w:tcPr>
          <w:p>
            <w:pPr>
              <w:spacing w:after="0"/>
            </w:pPr>
            <w:r/>
            <w:r>
              <w:rPr>
                <w:rFonts w:ascii="Aptos" w:hAnsi="Aptos"/>
                <w:b w:val="0"/>
                <w:sz w:val="16"/>
              </w:rPr>
              <w:t>campaign_id, campaign_name</w:t>
            </w:r>
          </w:p>
        </w:tc>
        <w:tc>
          <w:tcPr>
            <w:tcW w:type="dxa" w:w="3389"/>
            <w:vAlign w:val="center"/>
            <w:shd w:fill="FFFFFF"/>
          </w:tcPr>
          <w:p>
            <w:pPr>
              <w:spacing w:after="0"/>
            </w:pPr>
            <w:r/>
            <w:r>
              <w:rPr>
                <w:rFonts w:ascii="Aptos" w:hAnsi="Aptos"/>
                <w:b w:val="0"/>
                <w:sz w:val="16"/>
              </w:rPr>
              <w:t>Campaign is mandatory; name may be null until mapped.</w:t>
            </w:r>
          </w:p>
        </w:tc>
      </w:tr>
      <w:tr>
        <w:tc>
          <w:tcPr>
            <w:tcW w:type="dxa" w:w="3389"/>
            <w:vAlign w:val="center"/>
            <w:shd w:fill="F5F8FA"/>
          </w:tcPr>
          <w:p>
            <w:pPr>
              <w:spacing w:after="0"/>
            </w:pPr>
            <w:r/>
            <w:r>
              <w:rPr>
                <w:rFonts w:ascii="Aptos" w:hAnsi="Aptos"/>
                <w:b w:val="0"/>
                <w:sz w:val="16"/>
              </w:rPr>
              <w:t>Execution levels</w:t>
            </w:r>
          </w:p>
        </w:tc>
        <w:tc>
          <w:tcPr>
            <w:tcW w:type="dxa" w:w="3389"/>
            <w:vAlign w:val="center"/>
            <w:shd w:fill="F5F8FA"/>
          </w:tcPr>
          <w:p>
            <w:pPr>
              <w:spacing w:after="0"/>
            </w:pPr>
            <w:r/>
            <w:r>
              <w:rPr>
                <w:rFonts w:ascii="Aptos" w:hAnsi="Aptos"/>
                <w:b w:val="0"/>
                <w:sz w:val="16"/>
              </w:rPr>
              <w:t>ad_group_id/name, line_item_id/name</w:t>
            </w:r>
          </w:p>
        </w:tc>
        <w:tc>
          <w:tcPr>
            <w:tcW w:type="dxa" w:w="3389"/>
            <w:vAlign w:val="center"/>
            <w:shd w:fill="F5F8FA"/>
          </w:tcPr>
          <w:p>
            <w:pPr>
              <w:spacing w:after="0"/>
            </w:pPr>
            <w:r/>
            <w:r>
              <w:rPr>
                <w:rFonts w:ascii="Aptos" w:hAnsi="Aptos"/>
                <w:b w:val="0"/>
                <w:sz w:val="16"/>
              </w:rPr>
              <w:t>Use the partner levels that exist; do not infer missing levels.</w:t>
            </w:r>
          </w:p>
        </w:tc>
      </w:tr>
      <w:tr>
        <w:tc>
          <w:tcPr>
            <w:tcW w:type="dxa" w:w="3389"/>
            <w:vAlign w:val="center"/>
            <w:shd w:fill="FFFFFF"/>
          </w:tcPr>
          <w:p>
            <w:pPr>
              <w:spacing w:after="0"/>
            </w:pPr>
            <w:r/>
            <w:r>
              <w:rPr>
                <w:rFonts w:ascii="Aptos" w:hAnsi="Aptos"/>
                <w:b w:val="0"/>
                <w:sz w:val="16"/>
              </w:rPr>
              <w:t>Delivery levels</w:t>
            </w:r>
          </w:p>
        </w:tc>
        <w:tc>
          <w:tcPr>
            <w:tcW w:type="dxa" w:w="3389"/>
            <w:vAlign w:val="center"/>
            <w:shd w:fill="FFFFFF"/>
          </w:tcPr>
          <w:p>
            <w:pPr>
              <w:spacing w:after="0"/>
            </w:pPr>
            <w:r/>
            <w:r>
              <w:rPr>
                <w:rFonts w:ascii="Aptos" w:hAnsi="Aptos"/>
                <w:b w:val="0"/>
                <w:sz w:val="16"/>
              </w:rPr>
              <w:t>placement_id/name, creative_id/name</w:t>
            </w:r>
          </w:p>
        </w:tc>
        <w:tc>
          <w:tcPr>
            <w:tcW w:type="dxa" w:w="3389"/>
            <w:vAlign w:val="center"/>
            <w:shd w:fill="FFFFFF"/>
          </w:tcPr>
          <w:p>
            <w:pPr>
              <w:spacing w:after="0"/>
            </w:pPr>
            <w:r/>
            <w:r>
              <w:rPr>
                <w:rFonts w:ascii="Aptos" w:hAnsi="Aptos"/>
                <w:b w:val="0"/>
                <w:sz w:val="16"/>
              </w:rPr>
              <w:t>Keep stable source IDs and display names.</w:t>
            </w:r>
          </w:p>
        </w:tc>
      </w:tr>
      <w:tr>
        <w:tc>
          <w:tcPr>
            <w:tcW w:type="dxa" w:w="3389"/>
            <w:vAlign w:val="center"/>
            <w:shd w:fill="F5F8FA"/>
          </w:tcPr>
          <w:p>
            <w:pPr>
              <w:spacing w:after="0"/>
            </w:pPr>
            <w:r/>
            <w:r>
              <w:rPr>
                <w:rFonts w:ascii="Aptos" w:hAnsi="Aptos"/>
                <w:b w:val="0"/>
                <w:sz w:val="16"/>
              </w:rPr>
              <w:t>Classifications</w:t>
            </w:r>
          </w:p>
        </w:tc>
        <w:tc>
          <w:tcPr>
            <w:tcW w:type="dxa" w:w="3389"/>
            <w:vAlign w:val="center"/>
            <w:shd w:fill="F5F8FA"/>
          </w:tcPr>
          <w:p>
            <w:pPr>
              <w:spacing w:after="0"/>
            </w:pPr>
            <w:r/>
            <w:r>
              <w:rPr>
                <w:rFonts w:ascii="Aptos" w:hAnsi="Aptos"/>
                <w:b w:val="0"/>
                <w:sz w:val="16"/>
              </w:rPr>
              <w:t>channel_code, tactic_code, objective_code, ad_format_code, device_type</w:t>
            </w:r>
          </w:p>
        </w:tc>
        <w:tc>
          <w:tcPr>
            <w:tcW w:type="dxa" w:w="3389"/>
            <w:vAlign w:val="center"/>
            <w:shd w:fill="F5F8FA"/>
          </w:tcPr>
          <w:p>
            <w:pPr>
              <w:spacing w:after="0"/>
            </w:pPr>
            <w:r/>
            <w:r>
              <w:rPr>
                <w:rFonts w:ascii="Aptos" w:hAnsi="Aptos"/>
                <w:b w:val="0"/>
                <w:sz w:val="16"/>
              </w:rPr>
              <w:t>Use governed mappings. Null means unavailable, not zero or unknown activity.</w:t>
            </w:r>
          </w:p>
        </w:tc>
      </w:tr>
      <w:tr>
        <w:tc>
          <w:tcPr>
            <w:tcW w:type="dxa" w:w="3389"/>
            <w:vAlign w:val="center"/>
            <w:shd w:fill="FFFFFF"/>
          </w:tcPr>
          <w:p>
            <w:pPr>
              <w:spacing w:after="0"/>
            </w:pPr>
            <w:r/>
            <w:r>
              <w:rPr>
                <w:rFonts w:ascii="Aptos" w:hAnsi="Aptos"/>
                <w:b w:val="0"/>
                <w:sz w:val="16"/>
              </w:rPr>
              <w:t>Lineage</w:t>
            </w:r>
          </w:p>
        </w:tc>
        <w:tc>
          <w:tcPr>
            <w:tcW w:type="dxa" w:w="3389"/>
            <w:vAlign w:val="center"/>
            <w:shd w:fill="FFFFFF"/>
          </w:tcPr>
          <w:p>
            <w:pPr>
              <w:spacing w:after="0"/>
            </w:pPr>
            <w:r/>
            <w:r>
              <w:rPr>
                <w:rFonts w:ascii="Aptos" w:hAnsi="Aptos"/>
                <w:b w:val="0"/>
                <w:sz w:val="16"/>
              </w:rPr>
              <w:t>source_version, source_received_at</w:t>
            </w:r>
          </w:p>
        </w:tc>
        <w:tc>
          <w:tcPr>
            <w:tcW w:type="dxa" w:w="3389"/>
            <w:vAlign w:val="center"/>
            <w:shd w:fill="FFFFFF"/>
          </w:tcPr>
          <w:p>
            <w:pPr>
              <w:spacing w:after="0"/>
            </w:pPr>
            <w:r/>
            <w:r>
              <w:rPr>
                <w:rFonts w:ascii="Aptos" w:hAnsi="Aptos"/>
                <w:b w:val="0"/>
                <w:sz w:val="16"/>
              </w:rPr>
              <w:t>Retain enough lineage to reproduce reporting.</w:t>
            </w:r>
          </w:p>
        </w:tc>
      </w:tr>
    </w:tbl>
    <w:p>
      <w:pPr>
        <w:pStyle w:val="Heading2"/>
      </w:pPr>
      <w:r>
        <w:t>14.3 Product scope and halo methodology</w:t>
      </w:r>
    </w:p>
    <w:p>
      <w:r>
        <w:t>Halo outcomes answer what happened beyond the directly advertised product. The product must calculate brand halo and category halo consistently even when the client or media partner does not return a ready-made halo result.</w:t>
      </w:r>
    </w:p>
    <w:p>
      <w:pPr>
        <w:spacing w:before="100" w:after="140"/>
        <w:ind w:left="230" w:right="230"/>
        <w:shd w:fill="DCEAF7"/>
      </w:pPr>
      <w:r>
        <w:rPr>
          <w:b/>
          <w:color w:val="082B5C"/>
        </w:rPr>
        <w:t>Minimum campaign scope contract: campaign_id + catalog_internal_id + brand_id + category_id for each directly advertised product.</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0F6CBD"/>
          </w:tcPr>
          <w:p>
            <w:pPr>
              <w:spacing w:after="0"/>
            </w:pPr>
            <w:r/>
            <w:r>
              <w:rPr>
                <w:rFonts w:ascii="Aptos" w:hAnsi="Aptos"/>
                <w:b/>
                <w:color w:val="FFFFFF"/>
                <w:sz w:val="17"/>
              </w:rPr>
              <w:t>Outcome scope</w:t>
            </w:r>
          </w:p>
        </w:tc>
        <w:tc>
          <w:tcPr>
            <w:tcW w:type="dxa" w:w="2541"/>
            <w:vAlign w:val="center"/>
            <w:shd w:fill="0F6CBD"/>
          </w:tcPr>
          <w:p>
            <w:pPr>
              <w:spacing w:after="0"/>
            </w:pPr>
            <w:r/>
            <w:r>
              <w:rPr>
                <w:rFonts w:ascii="Aptos" w:hAnsi="Aptos"/>
                <w:b/>
                <w:color w:val="FFFFFF"/>
                <w:sz w:val="17"/>
              </w:rPr>
              <w:t>Definition</w:t>
            </w:r>
          </w:p>
        </w:tc>
        <w:tc>
          <w:tcPr>
            <w:tcW w:type="dxa" w:w="2541"/>
            <w:vAlign w:val="center"/>
            <w:shd w:fill="0F6CBD"/>
          </w:tcPr>
          <w:p>
            <w:pPr>
              <w:spacing w:after="0"/>
            </w:pPr>
            <w:r/>
            <w:r>
              <w:rPr>
                <w:rFonts w:ascii="Aptos" w:hAnsi="Aptos"/>
                <w:b/>
                <w:color w:val="FFFFFF"/>
                <w:sz w:val="17"/>
              </w:rPr>
              <w:t>Activate calculation rule</w:t>
            </w:r>
          </w:p>
        </w:tc>
        <w:tc>
          <w:tcPr>
            <w:tcW w:type="dxa" w:w="2541"/>
            <w:vAlign w:val="center"/>
            <w:shd w:fill="0F6CBD"/>
          </w:tcPr>
          <w:p>
            <w:pPr>
              <w:spacing w:after="0"/>
            </w:pPr>
            <w:r/>
            <w:r>
              <w:rPr>
                <w:rFonts w:ascii="Aptos" w:hAnsi="Aptos"/>
                <w:b/>
                <w:color w:val="FFFFFF"/>
                <w:sz w:val="17"/>
              </w:rPr>
              <w:t>Result class</w:t>
            </w:r>
          </w:p>
        </w:tc>
      </w:tr>
      <w:tr>
        <w:tc>
          <w:tcPr>
            <w:tcW w:type="dxa" w:w="2541"/>
            <w:vAlign w:val="center"/>
            <w:shd w:fill="F5F8FA"/>
          </w:tcPr>
          <w:p>
            <w:pPr>
              <w:spacing w:after="0"/>
            </w:pPr>
            <w:r/>
            <w:r>
              <w:rPr>
                <w:rFonts w:ascii="Aptos" w:hAnsi="Aptos"/>
                <w:b w:val="0"/>
                <w:sz w:val="16"/>
              </w:rPr>
              <w:t>Direct product</w:t>
            </w:r>
          </w:p>
        </w:tc>
        <w:tc>
          <w:tcPr>
            <w:tcW w:type="dxa" w:w="2541"/>
            <w:vAlign w:val="center"/>
            <w:shd w:fill="F5F8FA"/>
          </w:tcPr>
          <w:p>
            <w:pPr>
              <w:spacing w:after="0"/>
            </w:pPr>
            <w:r/>
            <w:r>
              <w:rPr>
                <w:rFonts w:ascii="Aptos" w:hAnsi="Aptos"/>
                <w:b w:val="0"/>
                <w:sz w:val="16"/>
              </w:rPr>
              <w:t>Purchased catalog_internal_id is in the campaign advertised-product set.</w:t>
            </w:r>
          </w:p>
        </w:tc>
        <w:tc>
          <w:tcPr>
            <w:tcW w:type="dxa" w:w="2541"/>
            <w:vAlign w:val="center"/>
            <w:shd w:fill="F5F8FA"/>
          </w:tcPr>
          <w:p>
            <w:pPr>
              <w:spacing w:after="0"/>
            </w:pPr>
            <w:r/>
            <w:r>
              <w:rPr>
                <w:rFonts w:ascii="Aptos" w:hAnsi="Aptos"/>
                <w:b w:val="0"/>
                <w:sz w:val="16"/>
              </w:rPr>
              <w:t>Join the purchased catalog_internal_id to campaign_product_scope for the campaign.</w:t>
            </w:r>
          </w:p>
        </w:tc>
        <w:tc>
          <w:tcPr>
            <w:tcW w:type="dxa" w:w="2541"/>
            <w:vAlign w:val="center"/>
            <w:shd w:fill="F5F8FA"/>
          </w:tcPr>
          <w:p>
            <w:pPr>
              <w:spacing w:after="0"/>
            </w:pPr>
            <w:r/>
            <w:r>
              <w:rPr>
                <w:rFonts w:ascii="Aptos" w:hAnsi="Aptos"/>
                <w:b w:val="0"/>
                <w:sz w:val="16"/>
              </w:rPr>
              <w:t>Descriptive, attributed or incremental depending on method.</w:t>
            </w:r>
          </w:p>
        </w:tc>
      </w:tr>
      <w:tr>
        <w:tc>
          <w:tcPr>
            <w:tcW w:type="dxa" w:w="2541"/>
            <w:vAlign w:val="center"/>
            <w:shd w:fill="FFFFFF"/>
          </w:tcPr>
          <w:p>
            <w:pPr>
              <w:spacing w:after="0"/>
            </w:pPr>
            <w:r/>
            <w:r>
              <w:rPr>
                <w:rFonts w:ascii="Aptos" w:hAnsi="Aptos"/>
                <w:b w:val="0"/>
                <w:sz w:val="16"/>
              </w:rPr>
              <w:t>Brand halo</w:t>
            </w:r>
          </w:p>
        </w:tc>
        <w:tc>
          <w:tcPr>
            <w:tcW w:type="dxa" w:w="2541"/>
            <w:vAlign w:val="center"/>
            <w:shd w:fill="FFFFFF"/>
          </w:tcPr>
          <w:p>
            <w:pPr>
              <w:spacing w:after="0"/>
            </w:pPr>
            <w:r/>
            <w:r>
              <w:rPr>
                <w:rFonts w:ascii="Aptos" w:hAnsi="Aptos"/>
                <w:b w:val="0"/>
                <w:sz w:val="16"/>
              </w:rPr>
              <w:t>Purchased product is not direct, but its brand_id is in the campaign brand set.</w:t>
            </w:r>
          </w:p>
        </w:tc>
        <w:tc>
          <w:tcPr>
            <w:tcW w:type="dxa" w:w="2541"/>
            <w:vAlign w:val="center"/>
            <w:shd w:fill="FFFFFF"/>
          </w:tcPr>
          <w:p>
            <w:pPr>
              <w:spacing w:after="0"/>
            </w:pPr>
            <w:r/>
            <w:r>
              <w:rPr>
                <w:rFonts w:ascii="Aptos" w:hAnsi="Aptos"/>
                <w:b w:val="0"/>
                <w:sz w:val="16"/>
              </w:rPr>
              <w:t>Resolve purchased brand_id from Activate product hierarchy and compare it with distinct campaign_product_scope.brand_id values. Exclude direct products.</w:t>
            </w:r>
          </w:p>
        </w:tc>
        <w:tc>
          <w:tcPr>
            <w:tcW w:type="dxa" w:w="2541"/>
            <w:vAlign w:val="center"/>
            <w:shd w:fill="FFFFFF"/>
          </w:tcPr>
          <w:p>
            <w:pPr>
              <w:spacing w:after="0"/>
            </w:pPr>
            <w:r/>
            <w:r>
              <w:rPr>
                <w:rFonts w:ascii="Aptos" w:hAnsi="Aptos"/>
                <w:b w:val="0"/>
                <w:sz w:val="16"/>
              </w:rPr>
              <w:t>Descriptive and attributed by default; incremental only with approved causal method.</w:t>
            </w:r>
          </w:p>
        </w:tc>
      </w:tr>
      <w:tr>
        <w:tc>
          <w:tcPr>
            <w:tcW w:type="dxa" w:w="2541"/>
            <w:vAlign w:val="center"/>
            <w:shd w:fill="F5F8FA"/>
          </w:tcPr>
          <w:p>
            <w:pPr>
              <w:spacing w:after="0"/>
            </w:pPr>
            <w:r/>
            <w:r>
              <w:rPr>
                <w:rFonts w:ascii="Aptos" w:hAnsi="Aptos"/>
                <w:b w:val="0"/>
                <w:sz w:val="16"/>
              </w:rPr>
              <w:t>Category halo</w:t>
            </w:r>
          </w:p>
        </w:tc>
        <w:tc>
          <w:tcPr>
            <w:tcW w:type="dxa" w:w="2541"/>
            <w:vAlign w:val="center"/>
            <w:shd w:fill="F5F8FA"/>
          </w:tcPr>
          <w:p>
            <w:pPr>
              <w:spacing w:after="0"/>
            </w:pPr>
            <w:r/>
            <w:r>
              <w:rPr>
                <w:rFonts w:ascii="Aptos" w:hAnsi="Aptos"/>
                <w:b w:val="0"/>
                <w:sz w:val="16"/>
              </w:rPr>
              <w:t>Purchased product is neither direct nor brand halo, but its category_id is in the campaign category set.</w:t>
            </w:r>
          </w:p>
        </w:tc>
        <w:tc>
          <w:tcPr>
            <w:tcW w:type="dxa" w:w="2541"/>
            <w:vAlign w:val="center"/>
            <w:shd w:fill="F5F8FA"/>
          </w:tcPr>
          <w:p>
            <w:pPr>
              <w:spacing w:after="0"/>
            </w:pPr>
            <w:r/>
            <w:r>
              <w:rPr>
                <w:rFonts w:ascii="Aptos" w:hAnsi="Aptos"/>
                <w:b w:val="0"/>
                <w:sz w:val="16"/>
              </w:rPr>
              <w:t>Resolve purchased category_id from Activate product hierarchy and compare it with distinct campaign_product_scope.category_id values. Exclude direct and brand-halo products.</w:t>
            </w:r>
          </w:p>
        </w:tc>
        <w:tc>
          <w:tcPr>
            <w:tcW w:type="dxa" w:w="2541"/>
            <w:vAlign w:val="center"/>
            <w:shd w:fill="F5F8FA"/>
          </w:tcPr>
          <w:p>
            <w:pPr>
              <w:spacing w:after="0"/>
            </w:pPr>
            <w:r/>
            <w:r>
              <w:rPr>
                <w:rFonts w:ascii="Aptos" w:hAnsi="Aptos"/>
                <w:b w:val="0"/>
                <w:sz w:val="16"/>
              </w:rPr>
              <w:t>Descriptive and attributed by default; incremental only with approved causal method.</w:t>
            </w:r>
          </w:p>
        </w:tc>
      </w:tr>
      <w:tr>
        <w:tc>
          <w:tcPr>
            <w:tcW w:type="dxa" w:w="2541"/>
            <w:vAlign w:val="center"/>
            <w:shd w:fill="FFFFFF"/>
          </w:tcPr>
          <w:p>
            <w:pPr>
              <w:spacing w:after="0"/>
            </w:pPr>
            <w:r/>
            <w:r>
              <w:rPr>
                <w:rFonts w:ascii="Aptos" w:hAnsi="Aptos"/>
                <w:b w:val="0"/>
                <w:sz w:val="16"/>
              </w:rPr>
              <w:t>Cross-category halo</w:t>
            </w:r>
          </w:p>
        </w:tc>
        <w:tc>
          <w:tcPr>
            <w:tcW w:type="dxa" w:w="2541"/>
            <w:vAlign w:val="center"/>
            <w:shd w:fill="FFFFFF"/>
          </w:tcPr>
          <w:p>
            <w:pPr>
              <w:spacing w:after="0"/>
            </w:pPr>
            <w:r/>
            <w:r>
              <w:rPr>
                <w:rFonts w:ascii="Aptos" w:hAnsi="Aptos"/>
                <w:b w:val="0"/>
                <w:sz w:val="16"/>
              </w:rPr>
              <w:t>Purchased product is inside an explicitly approved related category outside the advertised category set.</w:t>
            </w:r>
          </w:p>
        </w:tc>
        <w:tc>
          <w:tcPr>
            <w:tcW w:type="dxa" w:w="2541"/>
            <w:vAlign w:val="center"/>
            <w:shd w:fill="FFFFFF"/>
          </w:tcPr>
          <w:p>
            <w:pPr>
              <w:spacing w:after="0"/>
            </w:pPr>
            <w:r/>
            <w:r>
              <w:rPr>
                <w:rFonts w:ascii="Aptos" w:hAnsi="Aptos"/>
                <w:b w:val="0"/>
                <w:sz w:val="16"/>
              </w:rPr>
              <w:t>Requires a configured related-category scope or approved model. Do not infer the relationship from sales alone in early phases.</w:t>
            </w:r>
          </w:p>
        </w:tc>
        <w:tc>
          <w:tcPr>
            <w:tcW w:type="dxa" w:w="2541"/>
            <w:vAlign w:val="center"/>
            <w:shd w:fill="FFFFFF"/>
          </w:tcPr>
          <w:p>
            <w:pPr>
              <w:spacing w:after="0"/>
            </w:pPr>
            <w:r/>
            <w:r>
              <w:rPr>
                <w:rFonts w:ascii="Aptos" w:hAnsi="Aptos"/>
                <w:b w:val="0"/>
                <w:sz w:val="16"/>
              </w:rPr>
              <w:t>Roadmap; descriptive/attributed before incremental.</w:t>
            </w:r>
          </w:p>
        </w:tc>
      </w:tr>
      <w:tr>
        <w:tc>
          <w:tcPr>
            <w:tcW w:type="dxa" w:w="2541"/>
            <w:vAlign w:val="center"/>
            <w:shd w:fill="F5F8FA"/>
          </w:tcPr>
          <w:p>
            <w:pPr>
              <w:spacing w:after="0"/>
            </w:pPr>
            <w:r/>
            <w:r>
              <w:rPr>
                <w:rFonts w:ascii="Aptos" w:hAnsi="Aptos"/>
                <w:b w:val="0"/>
                <w:sz w:val="16"/>
              </w:rPr>
              <w:t>Partner-reported halo</w:t>
            </w:r>
          </w:p>
        </w:tc>
        <w:tc>
          <w:tcPr>
            <w:tcW w:type="dxa" w:w="2541"/>
            <w:vAlign w:val="center"/>
            <w:shd w:fill="F5F8FA"/>
          </w:tcPr>
          <w:p>
            <w:pPr>
              <w:spacing w:after="0"/>
            </w:pPr>
            <w:r/>
            <w:r>
              <w:rPr>
                <w:rFonts w:ascii="Aptos" w:hAnsi="Aptos"/>
                <w:b w:val="0"/>
                <w:sz w:val="16"/>
              </w:rPr>
              <w:t>Partner supplies a halo result and its method/scope.</w:t>
            </w:r>
          </w:p>
        </w:tc>
        <w:tc>
          <w:tcPr>
            <w:tcW w:type="dxa" w:w="2541"/>
            <w:vAlign w:val="center"/>
            <w:shd w:fill="F5F8FA"/>
          </w:tcPr>
          <w:p>
            <w:pPr>
              <w:spacing w:after="0"/>
            </w:pPr>
            <w:r/>
            <w:r>
              <w:rPr>
                <w:rFonts w:ascii="Aptos" w:hAnsi="Aptos"/>
                <w:b w:val="0"/>
                <w:sz w:val="16"/>
              </w:rPr>
              <w:t>Store in partner_attribution_result or partner_aggregate_result with product_scope_code and method metadata. Do not relabel as Activate-calculated.</w:t>
            </w:r>
          </w:p>
        </w:tc>
        <w:tc>
          <w:tcPr>
            <w:tcW w:type="dxa" w:w="2541"/>
            <w:vAlign w:val="center"/>
            <w:shd w:fill="F5F8FA"/>
          </w:tcPr>
          <w:p>
            <w:pPr>
              <w:spacing w:after="0"/>
            </w:pPr>
            <w:r/>
            <w:r>
              <w:rPr>
                <w:rFonts w:ascii="Aptos" w:hAnsi="Aptos"/>
                <w:b w:val="0"/>
                <w:sz w:val="16"/>
              </w:rPr>
              <w:t>Partner-reported.</w:t>
            </w:r>
          </w:p>
        </w:tc>
      </w:tr>
    </w:tbl>
    <w:p>
      <w:r>
        <w:t>The campaign-level brand and category sets may contain multiple values. Activate calculates each outcome once at transaction-product grain, using a mutually exclusive precedence of DIRECT, BRAND_HALO, CATEGORY_HALO, CROSS_CATEGORY_HALO and UNRELATED. This prevents the same purchase line from being counted in more than one product scope.</w:t>
      </w:r>
    </w:p>
    <w:p>
      <w:pPr>
        <w:pStyle w:val="ListBullet"/>
      </w:pPr>
      <w:r>
        <w:t>If Brand ID or Category ID is not returned, Activate may derive it from catalog_internal_id only when the product hierarchy mapping is complete and historically reproducible.</w:t>
      </w:r>
    </w:p>
    <w:p>
      <w:pPr>
        <w:pStyle w:val="ListBullet"/>
      </w:pPr>
      <w:r>
        <w:t>If both the partner and Activate provide halo results, show them separately with method labels and a reconciliation view. Do not average them.</w:t>
      </w:r>
    </w:p>
    <w:p>
      <w:pPr>
        <w:pStyle w:val="ListBullet"/>
      </w:pPr>
      <w:r>
        <w:t>Descriptive halo is observed sales within the approved population and window. Attributed halo requires an attribution link. Incremental halo requires an approved control method and uncertainty.</w:t>
      </w:r>
    </w:p>
    <w:p>
      <w:pPr>
        <w:pStyle w:val="ListBullet"/>
      </w:pPr>
      <w:r>
        <w:t>New-to-brand and new-to-category calculations use the same brand/category scope but additionally require a sufficient historical lookback.</w:t>
      </w:r>
    </w:p>
    <w:p>
      <w:pPr>
        <w:pStyle w:val="Heading2"/>
      </w:pPr>
      <w:r>
        <w:t>14.4 Model and method dependency register</w:t>
      </w:r>
    </w:p>
    <w:tbl>
      <w:tblPr>
        <w:tblStyle w:val="LightShading-Accent1"/>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0F6CBD"/>
          </w:tcPr>
          <w:p>
            <w:pPr>
              <w:spacing w:after="0"/>
            </w:pPr>
            <w:r/>
            <w:r>
              <w:rPr>
                <w:rFonts w:ascii="Aptos" w:hAnsi="Aptos"/>
                <w:b/>
                <w:color w:val="FFFFFF"/>
                <w:sz w:val="17"/>
              </w:rPr>
              <w:t>Capability</w:t>
            </w:r>
          </w:p>
        </w:tc>
        <w:tc>
          <w:tcPr>
            <w:tcW w:type="dxa" w:w="2033"/>
            <w:vAlign w:val="center"/>
            <w:shd w:fill="0F6CBD"/>
          </w:tcPr>
          <w:p>
            <w:pPr>
              <w:spacing w:after="0"/>
            </w:pPr>
            <w:r/>
            <w:r>
              <w:rPr>
                <w:rFonts w:ascii="Aptos" w:hAnsi="Aptos"/>
                <w:b/>
                <w:color w:val="FFFFFF"/>
                <w:sz w:val="17"/>
              </w:rPr>
              <w:t>Required model or method</w:t>
            </w:r>
          </w:p>
        </w:tc>
        <w:tc>
          <w:tcPr>
            <w:tcW w:type="dxa" w:w="2033"/>
            <w:vAlign w:val="center"/>
            <w:shd w:fill="0F6CBD"/>
          </w:tcPr>
          <w:p>
            <w:pPr>
              <w:spacing w:after="0"/>
            </w:pPr>
            <w:r/>
            <w:r>
              <w:rPr>
                <w:rFonts w:ascii="Aptos" w:hAnsi="Aptos"/>
                <w:b/>
                <w:color w:val="FFFFFF"/>
                <w:sz w:val="17"/>
              </w:rPr>
              <w:t>Minimum inputs</w:t>
            </w:r>
          </w:p>
        </w:tc>
        <w:tc>
          <w:tcPr>
            <w:tcW w:type="dxa" w:w="2033"/>
            <w:vAlign w:val="center"/>
            <w:shd w:fill="0F6CBD"/>
          </w:tcPr>
          <w:p>
            <w:pPr>
              <w:spacing w:after="0"/>
            </w:pPr>
            <w:r/>
            <w:r>
              <w:rPr>
                <w:rFonts w:ascii="Aptos" w:hAnsi="Aptos"/>
                <w:b/>
                <w:color w:val="FFFFFF"/>
                <w:sz w:val="17"/>
              </w:rPr>
              <w:t>Output / storage</w:t>
            </w:r>
          </w:p>
        </w:tc>
        <w:tc>
          <w:tcPr>
            <w:tcW w:type="dxa" w:w="2033"/>
            <w:vAlign w:val="center"/>
            <w:shd w:fill="0F6CBD"/>
          </w:tcPr>
          <w:p>
            <w:pPr>
              <w:spacing w:after="0"/>
            </w:pPr>
            <w:r/>
            <w:r>
              <w:rPr>
                <w:rFonts w:ascii="Aptos" w:hAnsi="Aptos"/>
                <w:b/>
                <w:color w:val="FFFFFF"/>
                <w:sz w:val="17"/>
              </w:rPr>
              <w:t>Publication rule</w:t>
            </w:r>
          </w:p>
        </w:tc>
      </w:tr>
      <w:tr>
        <w:tc>
          <w:tcPr>
            <w:tcW w:type="dxa" w:w="2033"/>
            <w:vAlign w:val="center"/>
            <w:shd w:fill="F5F8FA"/>
          </w:tcPr>
          <w:p>
            <w:pPr>
              <w:spacing w:after="0"/>
            </w:pPr>
            <w:r/>
            <w:r>
              <w:rPr>
                <w:rFonts w:ascii="Aptos" w:hAnsi="Aptos"/>
                <w:b w:val="0"/>
                <w:sz w:val="16"/>
              </w:rPr>
              <w:t>Direct, brand and category halo</w:t>
            </w:r>
          </w:p>
        </w:tc>
        <w:tc>
          <w:tcPr>
            <w:tcW w:type="dxa" w:w="2033"/>
            <w:vAlign w:val="center"/>
            <w:shd w:fill="F5F8FA"/>
          </w:tcPr>
          <w:p>
            <w:pPr>
              <w:spacing w:after="0"/>
            </w:pPr>
            <w:r/>
            <w:r>
              <w:rPr>
                <w:rFonts w:ascii="Aptos" w:hAnsi="Aptos"/>
                <w:b w:val="0"/>
                <w:sz w:val="16"/>
              </w:rPr>
              <w:t>Deterministic scope-classification rules</w:t>
            </w:r>
          </w:p>
        </w:tc>
        <w:tc>
          <w:tcPr>
            <w:tcW w:type="dxa" w:w="2033"/>
            <w:vAlign w:val="center"/>
            <w:shd w:fill="F5F8FA"/>
          </w:tcPr>
          <w:p>
            <w:pPr>
              <w:spacing w:after="0"/>
            </w:pPr>
            <w:r/>
            <w:r>
              <w:rPr>
                <w:rFonts w:ascii="Aptos" w:hAnsi="Aptos"/>
                <w:b w:val="0"/>
                <w:sz w:val="16"/>
              </w:rPr>
              <w:t>campaign_product_scope, product hierarchy, TLOG; attribution_link_fact for attributed halo</w:t>
            </w:r>
          </w:p>
        </w:tc>
        <w:tc>
          <w:tcPr>
            <w:tcW w:type="dxa" w:w="2033"/>
            <w:vAlign w:val="center"/>
            <w:shd w:fill="F5F8FA"/>
          </w:tcPr>
          <w:p>
            <w:pPr>
              <w:spacing w:after="0"/>
            </w:pPr>
            <w:r/>
            <w:r>
              <w:rPr>
                <w:rFonts w:ascii="Aptos" w:hAnsi="Aptos"/>
                <w:b w:val="0"/>
                <w:sz w:val="16"/>
              </w:rPr>
              <w:t>Classification on eligible purchase or attribution link; governed KPI result</w:t>
            </w:r>
          </w:p>
        </w:tc>
        <w:tc>
          <w:tcPr>
            <w:tcW w:type="dxa" w:w="2033"/>
            <w:vAlign w:val="center"/>
            <w:shd w:fill="F5F8FA"/>
          </w:tcPr>
          <w:p>
            <w:pPr>
              <w:spacing w:after="0"/>
            </w:pPr>
            <w:r/>
            <w:r>
              <w:rPr>
                <w:rFonts w:ascii="Aptos" w:hAnsi="Aptos"/>
                <w:b w:val="0"/>
                <w:sz w:val="16"/>
              </w:rPr>
              <w:t>Publish when product mappings and mutual-exclusion checks pass.</w:t>
            </w:r>
          </w:p>
        </w:tc>
      </w:tr>
      <w:tr>
        <w:tc>
          <w:tcPr>
            <w:tcW w:type="dxa" w:w="2033"/>
            <w:vAlign w:val="center"/>
            <w:shd w:fill="FFFFFF"/>
          </w:tcPr>
          <w:p>
            <w:pPr>
              <w:spacing w:after="0"/>
            </w:pPr>
            <w:r/>
            <w:r>
              <w:rPr>
                <w:rFonts w:ascii="Aptos" w:hAnsi="Aptos"/>
                <w:b w:val="0"/>
                <w:sz w:val="16"/>
              </w:rPr>
              <w:t>Cross-category halo</w:t>
            </w:r>
          </w:p>
        </w:tc>
        <w:tc>
          <w:tcPr>
            <w:tcW w:type="dxa" w:w="2033"/>
            <w:vAlign w:val="center"/>
            <w:shd w:fill="FFFFFF"/>
          </w:tcPr>
          <w:p>
            <w:pPr>
              <w:spacing w:after="0"/>
            </w:pPr>
            <w:r/>
            <w:r>
              <w:rPr>
                <w:rFonts w:ascii="Aptos" w:hAnsi="Aptos"/>
                <w:b w:val="0"/>
                <w:sz w:val="16"/>
              </w:rPr>
              <w:t>Configured relationship scope or approved association model</w:t>
            </w:r>
          </w:p>
        </w:tc>
        <w:tc>
          <w:tcPr>
            <w:tcW w:type="dxa" w:w="2033"/>
            <w:vAlign w:val="center"/>
            <w:shd w:fill="FFFFFF"/>
          </w:tcPr>
          <w:p>
            <w:pPr>
              <w:spacing w:after="0"/>
            </w:pPr>
            <w:r/>
            <w:r>
              <w:rPr>
                <w:rFonts w:ascii="Aptos" w:hAnsi="Aptos"/>
                <w:b w:val="0"/>
                <w:sz w:val="16"/>
              </w:rPr>
              <w:t>Approved related-category mapping, TLOG, campaign scope</w:t>
            </w:r>
          </w:p>
        </w:tc>
        <w:tc>
          <w:tcPr>
            <w:tcW w:type="dxa" w:w="2033"/>
            <w:vAlign w:val="center"/>
            <w:shd w:fill="FFFFFF"/>
          </w:tcPr>
          <w:p>
            <w:pPr>
              <w:spacing w:after="0"/>
            </w:pPr>
            <w:r/>
            <w:r>
              <w:rPr>
                <w:rFonts w:ascii="Aptos" w:hAnsi="Aptos"/>
                <w:b w:val="0"/>
                <w:sz w:val="16"/>
              </w:rPr>
              <w:t>Governed result with scope/method</w:t>
            </w:r>
          </w:p>
        </w:tc>
        <w:tc>
          <w:tcPr>
            <w:tcW w:type="dxa" w:w="2033"/>
            <w:vAlign w:val="center"/>
            <w:shd w:fill="FFFFFF"/>
          </w:tcPr>
          <w:p>
            <w:pPr>
              <w:spacing w:after="0"/>
            </w:pPr>
            <w:r/>
            <w:r>
              <w:rPr>
                <w:rFonts w:ascii="Aptos" w:hAnsi="Aptos"/>
                <w:b w:val="0"/>
                <w:sz w:val="16"/>
              </w:rPr>
              <w:t>Do not infer causation. Model version and coverage required if modelled.</w:t>
            </w:r>
          </w:p>
        </w:tc>
      </w:tr>
      <w:tr>
        <w:tc>
          <w:tcPr>
            <w:tcW w:type="dxa" w:w="2033"/>
            <w:vAlign w:val="center"/>
            <w:shd w:fill="F5F8FA"/>
          </w:tcPr>
          <w:p>
            <w:pPr>
              <w:spacing w:after="0"/>
            </w:pPr>
            <w:r/>
            <w:r>
              <w:rPr>
                <w:rFonts w:ascii="Aptos" w:hAnsi="Aptos"/>
                <w:b w:val="0"/>
                <w:sz w:val="16"/>
              </w:rPr>
              <w:t>Random holdout incrementality</w:t>
            </w:r>
          </w:p>
        </w:tc>
        <w:tc>
          <w:tcPr>
            <w:tcW w:type="dxa" w:w="2033"/>
            <w:vAlign w:val="center"/>
            <w:shd w:fill="F5F8FA"/>
          </w:tcPr>
          <w:p>
            <w:pPr>
              <w:spacing w:after="0"/>
            </w:pPr>
            <w:r/>
            <w:r>
              <w:rPr>
                <w:rFonts w:ascii="Aptos" w:hAnsi="Aptos"/>
                <w:b w:val="0"/>
                <w:sz w:val="16"/>
              </w:rPr>
              <w:t>Experiment-based intent-to-treat estimator with pre-period adjustment</w:t>
            </w:r>
          </w:p>
        </w:tc>
        <w:tc>
          <w:tcPr>
            <w:tcW w:type="dxa" w:w="2033"/>
            <w:vAlign w:val="center"/>
            <w:shd w:fill="F5F8FA"/>
          </w:tcPr>
          <w:p>
            <w:pPr>
              <w:spacing w:after="0"/>
            </w:pPr>
            <w:r/>
            <w:r>
              <w:rPr>
                <w:rFonts w:ascii="Aptos" w:hAnsi="Aptos"/>
                <w:b w:val="0"/>
                <w:sz w:val="16"/>
              </w:rPr>
              <w:t>Frozen audience, treatment/control assignment, TLOG, periods, parallel-campaign register, aggregate partner totals</w:t>
            </w:r>
          </w:p>
        </w:tc>
        <w:tc>
          <w:tcPr>
            <w:tcW w:type="dxa" w:w="2033"/>
            <w:vAlign w:val="center"/>
            <w:shd w:fill="F5F8FA"/>
          </w:tcPr>
          <w:p>
            <w:pPr>
              <w:spacing w:after="0"/>
            </w:pPr>
            <w:r/>
            <w:r>
              <w:rPr>
                <w:rFonts w:ascii="Aptos" w:hAnsi="Aptos"/>
                <w:b w:val="0"/>
                <w:sz w:val="16"/>
              </w:rPr>
              <w:t>incrementality_result and quality gates</w:t>
            </w:r>
          </w:p>
        </w:tc>
        <w:tc>
          <w:tcPr>
            <w:tcW w:type="dxa" w:w="2033"/>
            <w:vAlign w:val="center"/>
            <w:shd w:fill="F5F8FA"/>
          </w:tcPr>
          <w:p>
            <w:pPr>
              <w:spacing w:after="0"/>
            </w:pPr>
            <w:r/>
            <w:r>
              <w:rPr>
                <w:rFonts w:ascii="Aptos" w:hAnsi="Aptos"/>
                <w:b w:val="0"/>
                <w:sz w:val="16"/>
              </w:rPr>
              <w:t>Label Measured. Publish only when randomization, contamination, balance and completeness gates pass.</w:t>
            </w:r>
          </w:p>
        </w:tc>
      </w:tr>
      <w:tr>
        <w:tc>
          <w:tcPr>
            <w:tcW w:type="dxa" w:w="2033"/>
            <w:vAlign w:val="center"/>
            <w:shd w:fill="FFFFFF"/>
          </w:tcPr>
          <w:p>
            <w:pPr>
              <w:spacing w:after="0"/>
            </w:pPr>
            <w:r/>
            <w:r>
              <w:rPr>
                <w:rFonts w:ascii="Aptos" w:hAnsi="Aptos"/>
                <w:b w:val="0"/>
                <w:sz w:val="16"/>
              </w:rPr>
              <w:t>Matched-control incrementality</w:t>
            </w:r>
          </w:p>
        </w:tc>
        <w:tc>
          <w:tcPr>
            <w:tcW w:type="dxa" w:w="2033"/>
            <w:vAlign w:val="center"/>
            <w:shd w:fill="FFFFFF"/>
          </w:tcPr>
          <w:p>
            <w:pPr>
              <w:spacing w:after="0"/>
            </w:pPr>
            <w:r/>
            <w:r>
              <w:rPr>
                <w:rFonts w:ascii="Aptos" w:hAnsi="Aptos"/>
                <w:b w:val="0"/>
                <w:sz w:val="16"/>
              </w:rPr>
              <w:t>Propensity or approved matching model plus adjusted matched-difference estimator</w:t>
            </w:r>
          </w:p>
        </w:tc>
        <w:tc>
          <w:tcPr>
            <w:tcW w:type="dxa" w:w="2033"/>
            <w:vAlign w:val="center"/>
            <w:shd w:fill="FFFFFF"/>
          </w:tcPr>
          <w:p>
            <w:pPr>
              <w:spacing w:after="0"/>
            </w:pPr>
            <w:r/>
            <w:r>
              <w:rPr>
                <w:rFonts w:ascii="Aptos" w:hAnsi="Aptos"/>
                <w:b w:val="0"/>
                <w:sz w:val="16"/>
              </w:rPr>
              <w:t>Frozen audience, partner targeted list, 52-week and pre-period behavior, digital activity where available, parallel campaigns, negative-control outcome</w:t>
            </w:r>
          </w:p>
        </w:tc>
        <w:tc>
          <w:tcPr>
            <w:tcW w:type="dxa" w:w="2033"/>
            <w:vAlign w:val="center"/>
            <w:shd w:fill="FFFFFF"/>
          </w:tcPr>
          <w:p>
            <w:pPr>
              <w:spacing w:after="0"/>
            </w:pPr>
            <w:r/>
            <w:r>
              <w:rPr>
                <w:rFonts w:ascii="Aptos" w:hAnsi="Aptos"/>
                <w:b w:val="0"/>
                <w:sz w:val="16"/>
              </w:rPr>
              <w:t>treatment_control_assignment, incrementality_balance_detail, incrementality_result</w:t>
            </w:r>
          </w:p>
        </w:tc>
        <w:tc>
          <w:tcPr>
            <w:tcW w:type="dxa" w:w="2033"/>
            <w:vAlign w:val="center"/>
            <w:shd w:fill="FFFFFF"/>
          </w:tcPr>
          <w:p>
            <w:pPr>
              <w:spacing w:after="0"/>
            </w:pPr>
            <w:r/>
            <w:r>
              <w:rPr>
                <w:rFonts w:ascii="Aptos" w:hAnsi="Aptos"/>
                <w:b w:val="0"/>
                <w:sz w:val="16"/>
              </w:rPr>
              <w:t>Label Modelled. Publish only when coverage, balance, trend and negative-control gates pass.</w:t>
            </w:r>
          </w:p>
        </w:tc>
      </w:tr>
      <w:tr>
        <w:tc>
          <w:tcPr>
            <w:tcW w:type="dxa" w:w="2033"/>
            <w:vAlign w:val="center"/>
            <w:shd w:fill="F5F8FA"/>
          </w:tcPr>
          <w:p>
            <w:pPr>
              <w:spacing w:after="0"/>
            </w:pPr>
            <w:r/>
            <w:r>
              <w:rPr>
                <w:rFonts w:ascii="Aptos" w:hAnsi="Aptos"/>
                <w:b w:val="0"/>
                <w:sz w:val="16"/>
              </w:rPr>
              <w:t>Cannibalization</w:t>
            </w:r>
          </w:p>
        </w:tc>
        <w:tc>
          <w:tcPr>
            <w:tcW w:type="dxa" w:w="2033"/>
            <w:vAlign w:val="center"/>
            <w:shd w:fill="F5F8FA"/>
          </w:tcPr>
          <w:p>
            <w:pPr>
              <w:spacing w:after="0"/>
            </w:pPr>
            <w:r/>
            <w:r>
              <w:rPr>
                <w:rFonts w:ascii="Aptos" w:hAnsi="Aptos"/>
                <w:b w:val="0"/>
                <w:sz w:val="16"/>
              </w:rPr>
              <w:t>Causal product-substitution decomposition</w:t>
            </w:r>
          </w:p>
        </w:tc>
        <w:tc>
          <w:tcPr>
            <w:tcW w:type="dxa" w:w="2033"/>
            <w:vAlign w:val="center"/>
            <w:shd w:fill="F5F8FA"/>
          </w:tcPr>
          <w:p>
            <w:pPr>
              <w:spacing w:after="0"/>
            </w:pPr>
            <w:r/>
            <w:r>
              <w:rPr>
                <w:rFonts w:ascii="Aptos" w:hAnsi="Aptos"/>
                <w:b w:val="0"/>
                <w:sz w:val="16"/>
              </w:rPr>
              <w:t>Incremental direct/halo outcomes, substitute set, product ownership, pre/post TLOG</w:t>
            </w:r>
          </w:p>
        </w:tc>
        <w:tc>
          <w:tcPr>
            <w:tcW w:type="dxa" w:w="2033"/>
            <w:vAlign w:val="center"/>
            <w:shd w:fill="F5F8FA"/>
          </w:tcPr>
          <w:p>
            <w:pPr>
              <w:spacing w:after="0"/>
            </w:pPr>
            <w:r/>
            <w:r>
              <w:rPr>
                <w:rFonts w:ascii="Aptos" w:hAnsi="Aptos"/>
                <w:b w:val="0"/>
                <w:sz w:val="16"/>
              </w:rPr>
              <w:t>incrementality_result or governed consequence result</w:t>
            </w:r>
          </w:p>
        </w:tc>
        <w:tc>
          <w:tcPr>
            <w:tcW w:type="dxa" w:w="2033"/>
            <w:vAlign w:val="center"/>
            <w:shd w:fill="F5F8FA"/>
          </w:tcPr>
          <w:p>
            <w:pPr>
              <w:spacing w:after="0"/>
            </w:pPr>
            <w:r/>
            <w:r>
              <w:rPr>
                <w:rFonts w:ascii="Aptos" w:hAnsi="Aptos"/>
                <w:b w:val="0"/>
                <w:sz w:val="16"/>
              </w:rPr>
              <w:t>Phase 3. Point estimate requires uncertainty and approved substitute rules.</w:t>
            </w:r>
          </w:p>
        </w:tc>
      </w:tr>
      <w:tr>
        <w:tc>
          <w:tcPr>
            <w:tcW w:type="dxa" w:w="2033"/>
            <w:vAlign w:val="center"/>
            <w:shd w:fill="FFFFFF"/>
          </w:tcPr>
          <w:p>
            <w:pPr>
              <w:spacing w:after="0"/>
            </w:pPr>
            <w:r/>
            <w:r>
              <w:rPr>
                <w:rFonts w:ascii="Aptos" w:hAnsi="Aptos"/>
                <w:b w:val="0"/>
                <w:sz w:val="16"/>
              </w:rPr>
              <w:t>Pull-forward</w:t>
            </w:r>
          </w:p>
        </w:tc>
        <w:tc>
          <w:tcPr>
            <w:tcW w:type="dxa" w:w="2033"/>
            <w:vAlign w:val="center"/>
            <w:shd w:fill="FFFFFF"/>
          </w:tcPr>
          <w:p>
            <w:pPr>
              <w:spacing w:after="0"/>
            </w:pPr>
            <w:r/>
            <w:r>
              <w:rPr>
                <w:rFonts w:ascii="Aptos" w:hAnsi="Aptos"/>
                <w:b w:val="0"/>
                <w:sz w:val="16"/>
              </w:rPr>
              <w:t>Longitudinal purchase-timing model</w:t>
            </w:r>
          </w:p>
        </w:tc>
        <w:tc>
          <w:tcPr>
            <w:tcW w:type="dxa" w:w="2033"/>
            <w:vAlign w:val="center"/>
            <w:shd w:fill="FFFFFF"/>
          </w:tcPr>
          <w:p>
            <w:pPr>
              <w:spacing w:after="0"/>
            </w:pPr>
            <w:r/>
            <w:r>
              <w:rPr>
                <w:rFonts w:ascii="Aptos" w:hAnsi="Aptos"/>
                <w:b w:val="0"/>
                <w:sz w:val="16"/>
              </w:rPr>
              <w:t>Purchase history, expected purchase cycle, campaign and post period, counterfactual timing</w:t>
            </w:r>
          </w:p>
        </w:tc>
        <w:tc>
          <w:tcPr>
            <w:tcW w:type="dxa" w:w="2033"/>
            <w:vAlign w:val="center"/>
            <w:shd w:fill="FFFFFF"/>
          </w:tcPr>
          <w:p>
            <w:pPr>
              <w:spacing w:after="0"/>
            </w:pPr>
            <w:r/>
            <w:r>
              <w:rPr>
                <w:rFonts w:ascii="Aptos" w:hAnsi="Aptos"/>
                <w:b w:val="0"/>
                <w:sz w:val="16"/>
              </w:rPr>
              <w:t>Governed consequence result</w:t>
            </w:r>
          </w:p>
        </w:tc>
        <w:tc>
          <w:tcPr>
            <w:tcW w:type="dxa" w:w="2033"/>
            <w:vAlign w:val="center"/>
            <w:shd w:fill="FFFFFF"/>
          </w:tcPr>
          <w:p>
            <w:pPr>
              <w:spacing w:after="0"/>
            </w:pPr>
            <w:r/>
            <w:r>
              <w:rPr>
                <w:rFonts w:ascii="Aptos" w:hAnsi="Aptos"/>
                <w:b w:val="0"/>
                <w:sz w:val="16"/>
              </w:rPr>
              <w:t>Phase 3. Must show post-period and persistence assumptions.</w:t>
            </w:r>
          </w:p>
        </w:tc>
      </w:tr>
      <w:tr>
        <w:tc>
          <w:tcPr>
            <w:tcW w:type="dxa" w:w="2033"/>
            <w:vAlign w:val="center"/>
            <w:shd w:fill="F5F8FA"/>
          </w:tcPr>
          <w:p>
            <w:pPr>
              <w:spacing w:after="0"/>
            </w:pPr>
            <w:r/>
            <w:r>
              <w:rPr>
                <w:rFonts w:ascii="Aptos" w:hAnsi="Aptos"/>
                <w:b w:val="0"/>
                <w:sz w:val="16"/>
              </w:rPr>
              <w:t>Trade-up / trade-down</w:t>
            </w:r>
          </w:p>
        </w:tc>
        <w:tc>
          <w:tcPr>
            <w:tcW w:type="dxa" w:w="2033"/>
            <w:vAlign w:val="center"/>
            <w:shd w:fill="F5F8FA"/>
          </w:tcPr>
          <w:p>
            <w:pPr>
              <w:spacing w:after="0"/>
            </w:pPr>
            <w:r/>
            <w:r>
              <w:rPr>
                <w:rFonts w:ascii="Aptos" w:hAnsi="Aptos"/>
                <w:b w:val="0"/>
                <w:sz w:val="16"/>
              </w:rPr>
              <w:t>Switching classification model or governed deterministic rule</w:t>
            </w:r>
          </w:p>
        </w:tc>
        <w:tc>
          <w:tcPr>
            <w:tcW w:type="dxa" w:w="2033"/>
            <w:vAlign w:val="center"/>
            <w:shd w:fill="F5F8FA"/>
          </w:tcPr>
          <w:p>
            <w:pPr>
              <w:spacing w:after="0"/>
            </w:pPr>
            <w:r/>
            <w:r>
              <w:rPr>
                <w:rFonts w:ascii="Aptos" w:hAnsi="Aptos"/>
                <w:b w:val="0"/>
                <w:sz w:val="16"/>
              </w:rPr>
              <w:t>Historical product purchases, price/value tiers, product hierarchy</w:t>
            </w:r>
          </w:p>
        </w:tc>
        <w:tc>
          <w:tcPr>
            <w:tcW w:type="dxa" w:w="2033"/>
            <w:vAlign w:val="center"/>
            <w:shd w:fill="F5F8FA"/>
          </w:tcPr>
          <w:p>
            <w:pPr>
              <w:spacing w:after="0"/>
            </w:pPr>
            <w:r/>
            <w:r>
              <w:rPr>
                <w:rFonts w:ascii="Aptos" w:hAnsi="Aptos"/>
                <w:b w:val="0"/>
                <w:sz w:val="16"/>
              </w:rPr>
              <w:t>Governed consequence result</w:t>
            </w:r>
          </w:p>
        </w:tc>
        <w:tc>
          <w:tcPr>
            <w:tcW w:type="dxa" w:w="2033"/>
            <w:vAlign w:val="center"/>
            <w:shd w:fill="F5F8FA"/>
          </w:tcPr>
          <w:p>
            <w:pPr>
              <w:spacing w:after="0"/>
            </w:pPr>
            <w:r/>
            <w:r>
              <w:rPr>
                <w:rFonts w:ascii="Aptos" w:hAnsi="Aptos"/>
                <w:b w:val="0"/>
                <w:sz w:val="16"/>
              </w:rPr>
              <w:t>Publish only with approved switching and tier definitions.</w:t>
            </w:r>
          </w:p>
        </w:tc>
      </w:tr>
      <w:tr>
        <w:tc>
          <w:tcPr>
            <w:tcW w:type="dxa" w:w="2033"/>
            <w:vAlign w:val="center"/>
            <w:shd w:fill="FFFFFF"/>
          </w:tcPr>
          <w:p>
            <w:pPr>
              <w:spacing w:after="0"/>
            </w:pPr>
            <w:r/>
            <w:r>
              <w:rPr>
                <w:rFonts w:ascii="Aptos" w:hAnsi="Aptos"/>
                <w:b w:val="0"/>
                <w:sz w:val="16"/>
              </w:rPr>
              <w:t>Cross-channel overlap</w:t>
            </w:r>
          </w:p>
        </w:tc>
        <w:tc>
          <w:tcPr>
            <w:tcW w:type="dxa" w:w="2033"/>
            <w:vAlign w:val="center"/>
            <w:shd w:fill="FFFFFF"/>
          </w:tcPr>
          <w:p>
            <w:pPr>
              <w:spacing w:after="0"/>
            </w:pPr>
            <w:r/>
            <w:r>
              <w:rPr>
                <w:rFonts w:ascii="Aptos" w:hAnsi="Aptos"/>
                <w:b w:val="0"/>
                <w:sz w:val="16"/>
              </w:rPr>
              <w:t>Identity-based deterministic deduplication</w:t>
            </w:r>
          </w:p>
        </w:tc>
        <w:tc>
          <w:tcPr>
            <w:tcW w:type="dxa" w:w="2033"/>
            <w:vAlign w:val="center"/>
            <w:shd w:fill="FFFFFF"/>
          </w:tcPr>
          <w:p>
            <w:pPr>
              <w:spacing w:after="0"/>
            </w:pPr>
            <w:r/>
            <w:r>
              <w:rPr>
                <w:rFonts w:ascii="Aptos" w:hAnsi="Aptos"/>
                <w:b w:val="0"/>
                <w:sz w:val="16"/>
              </w:rPr>
              <w:t>Resolved shopper identity across channels and media events</w:t>
            </w:r>
          </w:p>
        </w:tc>
        <w:tc>
          <w:tcPr>
            <w:tcW w:type="dxa" w:w="2033"/>
            <w:vAlign w:val="center"/>
            <w:shd w:fill="FFFFFF"/>
          </w:tcPr>
          <w:p>
            <w:pPr>
              <w:spacing w:after="0"/>
            </w:pPr>
            <w:r/>
            <w:r>
              <w:rPr>
                <w:rFonts w:ascii="Aptos" w:hAnsi="Aptos"/>
                <w:b w:val="0"/>
                <w:sz w:val="16"/>
              </w:rPr>
              <w:t>Deduplicated reach / overlap result</w:t>
            </w:r>
          </w:p>
        </w:tc>
        <w:tc>
          <w:tcPr>
            <w:tcW w:type="dxa" w:w="2033"/>
            <w:vAlign w:val="center"/>
            <w:shd w:fill="FFFFFF"/>
          </w:tcPr>
          <w:p>
            <w:pPr>
              <w:spacing w:after="0"/>
            </w:pPr>
            <w:r/>
            <w:r>
              <w:rPr>
                <w:rFonts w:ascii="Aptos" w:hAnsi="Aptos"/>
                <w:b w:val="0"/>
                <w:sz w:val="16"/>
              </w:rPr>
              <w:t>Descriptive only unless a causal channel-contribution model is approved.</w:t>
            </w:r>
          </w:p>
        </w:tc>
      </w:tr>
      <w:tr>
        <w:tc>
          <w:tcPr>
            <w:tcW w:type="dxa" w:w="2033"/>
            <w:vAlign w:val="center"/>
            <w:shd w:fill="F5F8FA"/>
          </w:tcPr>
          <w:p>
            <w:pPr>
              <w:spacing w:after="0"/>
            </w:pPr>
            <w:r/>
            <w:r>
              <w:rPr>
                <w:rFonts w:ascii="Aptos" w:hAnsi="Aptos"/>
                <w:b w:val="0"/>
                <w:sz w:val="16"/>
              </w:rPr>
              <w:t>Cross-channel contribution</w:t>
            </w:r>
          </w:p>
        </w:tc>
        <w:tc>
          <w:tcPr>
            <w:tcW w:type="dxa" w:w="2033"/>
            <w:vAlign w:val="center"/>
            <w:shd w:fill="F5F8FA"/>
          </w:tcPr>
          <w:p>
            <w:pPr>
              <w:spacing w:after="0"/>
            </w:pPr>
            <w:r/>
            <w:r>
              <w:rPr>
                <w:rFonts w:ascii="Aptos" w:hAnsi="Aptos"/>
                <w:b w:val="0"/>
                <w:sz w:val="16"/>
              </w:rPr>
              <w:t>Causal multi-channel design or contribution model</w:t>
            </w:r>
          </w:p>
        </w:tc>
        <w:tc>
          <w:tcPr>
            <w:tcW w:type="dxa" w:w="2033"/>
            <w:vAlign w:val="center"/>
            <w:shd w:fill="F5F8FA"/>
          </w:tcPr>
          <w:p>
            <w:pPr>
              <w:spacing w:after="0"/>
            </w:pPr>
            <w:r/>
            <w:r>
              <w:rPr>
                <w:rFonts w:ascii="Aptos" w:hAnsi="Aptos"/>
                <w:b w:val="0"/>
                <w:sz w:val="16"/>
              </w:rPr>
              <w:t>Exposure sequence, controls, outcome history, sufficient overlap and sample</w:t>
            </w:r>
          </w:p>
        </w:tc>
        <w:tc>
          <w:tcPr>
            <w:tcW w:type="dxa" w:w="2033"/>
            <w:vAlign w:val="center"/>
            <w:shd w:fill="F5F8FA"/>
          </w:tcPr>
          <w:p>
            <w:pPr>
              <w:spacing w:after="0"/>
            </w:pPr>
            <w:r/>
            <w:r>
              <w:rPr>
                <w:rFonts w:ascii="Aptos" w:hAnsi="Aptos"/>
                <w:b w:val="0"/>
                <w:sz w:val="16"/>
              </w:rPr>
              <w:t>incrementality_result / model output</w:t>
            </w:r>
          </w:p>
        </w:tc>
        <w:tc>
          <w:tcPr>
            <w:tcW w:type="dxa" w:w="2033"/>
            <w:vAlign w:val="center"/>
            <w:shd w:fill="F5F8FA"/>
          </w:tcPr>
          <w:p>
            <w:pPr>
              <w:spacing w:after="0"/>
            </w:pPr>
            <w:r/>
            <w:r>
              <w:rPr>
                <w:rFonts w:ascii="Aptos" w:hAnsi="Aptos"/>
                <w:b w:val="0"/>
                <w:sz w:val="16"/>
              </w:rPr>
              <w:t>Phase 3; do not use attributed shares as causal contribution.</w:t>
            </w:r>
          </w:p>
        </w:tc>
      </w:tr>
      <w:tr>
        <w:tc>
          <w:tcPr>
            <w:tcW w:type="dxa" w:w="2033"/>
            <w:vAlign w:val="center"/>
            <w:shd w:fill="FFFFFF"/>
          </w:tcPr>
          <w:p>
            <w:pPr>
              <w:spacing w:after="0"/>
            </w:pPr>
            <w:r/>
            <w:r>
              <w:rPr>
                <w:rFonts w:ascii="Aptos" w:hAnsi="Aptos"/>
                <w:b w:val="0"/>
                <w:sz w:val="16"/>
              </w:rPr>
              <w:t>Forecast revenue</w:t>
            </w:r>
          </w:p>
        </w:tc>
        <w:tc>
          <w:tcPr>
            <w:tcW w:type="dxa" w:w="2033"/>
            <w:vAlign w:val="center"/>
            <w:shd w:fill="FFFFFF"/>
          </w:tcPr>
          <w:p>
            <w:pPr>
              <w:spacing w:after="0"/>
            </w:pPr>
            <w:r/>
            <w:r>
              <w:rPr>
                <w:rFonts w:ascii="Aptos" w:hAnsi="Aptos"/>
                <w:b w:val="0"/>
                <w:sz w:val="16"/>
              </w:rPr>
              <w:t>Time-series or supervised forecast model</w:t>
            </w:r>
          </w:p>
        </w:tc>
        <w:tc>
          <w:tcPr>
            <w:tcW w:type="dxa" w:w="2033"/>
            <w:vAlign w:val="center"/>
            <w:shd w:fill="FFFFFF"/>
          </w:tcPr>
          <w:p>
            <w:pPr>
              <w:spacing w:after="0"/>
            </w:pPr>
            <w:r/>
            <w:r>
              <w:rPr>
                <w:rFonts w:ascii="Aptos" w:hAnsi="Aptos"/>
                <w:b w:val="0"/>
                <w:sz w:val="16"/>
              </w:rPr>
              <w:t>Historical governed outcomes, campaign plan, seasonality, product and market context</w:t>
            </w:r>
          </w:p>
        </w:tc>
        <w:tc>
          <w:tcPr>
            <w:tcW w:type="dxa" w:w="2033"/>
            <w:vAlign w:val="center"/>
            <w:shd w:fill="FFFFFF"/>
          </w:tcPr>
          <w:p>
            <w:pPr>
              <w:spacing w:after="0"/>
            </w:pPr>
            <w:r/>
            <w:r>
              <w:rPr>
                <w:rFonts w:ascii="Aptos" w:hAnsi="Aptos"/>
                <w:b w:val="0"/>
                <w:sz w:val="16"/>
              </w:rPr>
              <w:t>predictive_result_fact</w:t>
            </w:r>
          </w:p>
        </w:tc>
        <w:tc>
          <w:tcPr>
            <w:tcW w:type="dxa" w:w="2033"/>
            <w:vAlign w:val="center"/>
            <w:shd w:fill="FFFFFF"/>
          </w:tcPr>
          <w:p>
            <w:pPr>
              <w:spacing w:after="0"/>
            </w:pPr>
            <w:r/>
            <w:r>
              <w:rPr>
                <w:rFonts w:ascii="Aptos" w:hAnsi="Aptos"/>
                <w:b w:val="0"/>
                <w:sz w:val="16"/>
              </w:rPr>
              <w:t>Future. Show model version, horizon and confidence range.</w:t>
            </w:r>
          </w:p>
        </w:tc>
      </w:tr>
      <w:tr>
        <w:tc>
          <w:tcPr>
            <w:tcW w:type="dxa" w:w="2033"/>
            <w:vAlign w:val="center"/>
            <w:shd w:fill="F5F8FA"/>
          </w:tcPr>
          <w:p>
            <w:pPr>
              <w:spacing w:after="0"/>
            </w:pPr>
            <w:r/>
            <w:r>
              <w:rPr>
                <w:rFonts w:ascii="Aptos" w:hAnsi="Aptos"/>
                <w:b w:val="0"/>
                <w:sz w:val="16"/>
              </w:rPr>
              <w:t>Predicted incremental revenue / buyer probability</w:t>
            </w:r>
          </w:p>
        </w:tc>
        <w:tc>
          <w:tcPr>
            <w:tcW w:type="dxa" w:w="2033"/>
            <w:vAlign w:val="center"/>
            <w:shd w:fill="F5F8FA"/>
          </w:tcPr>
          <w:p>
            <w:pPr>
              <w:spacing w:after="0"/>
            </w:pPr>
            <w:r/>
            <w:r>
              <w:rPr>
                <w:rFonts w:ascii="Aptos" w:hAnsi="Aptos"/>
                <w:b w:val="0"/>
                <w:sz w:val="16"/>
              </w:rPr>
              <w:t>Validated uplift or treatment-effect model</w:t>
            </w:r>
          </w:p>
        </w:tc>
        <w:tc>
          <w:tcPr>
            <w:tcW w:type="dxa" w:w="2033"/>
            <w:vAlign w:val="center"/>
            <w:shd w:fill="F5F8FA"/>
          </w:tcPr>
          <w:p>
            <w:pPr>
              <w:spacing w:after="0"/>
            </w:pPr>
            <w:r/>
            <w:r>
              <w:rPr>
                <w:rFonts w:ascii="Aptos" w:hAnsi="Aptos"/>
                <w:b w:val="0"/>
                <w:sz w:val="16"/>
              </w:rPr>
              <w:t>Historical treatment/control studies, shopper/campaign features, outcome definitions</w:t>
            </w:r>
          </w:p>
        </w:tc>
        <w:tc>
          <w:tcPr>
            <w:tcW w:type="dxa" w:w="2033"/>
            <w:vAlign w:val="center"/>
            <w:shd w:fill="F5F8FA"/>
          </w:tcPr>
          <w:p>
            <w:pPr>
              <w:spacing w:after="0"/>
            </w:pPr>
            <w:r/>
            <w:r>
              <w:rPr>
                <w:rFonts w:ascii="Aptos" w:hAnsi="Aptos"/>
                <w:b w:val="0"/>
                <w:sz w:val="16"/>
              </w:rPr>
              <w:t>predictive_result_fact</w:t>
            </w:r>
          </w:p>
        </w:tc>
        <w:tc>
          <w:tcPr>
            <w:tcW w:type="dxa" w:w="2033"/>
            <w:vAlign w:val="center"/>
            <w:shd w:fill="F5F8FA"/>
          </w:tcPr>
          <w:p>
            <w:pPr>
              <w:spacing w:after="0"/>
            </w:pPr>
            <w:r/>
            <w:r>
              <w:rPr>
                <w:rFonts w:ascii="Aptos" w:hAnsi="Aptos"/>
                <w:b w:val="0"/>
                <w:sz w:val="16"/>
              </w:rPr>
              <w:t>Future. May be called causal only after causal validation.</w:t>
            </w:r>
          </w:p>
        </w:tc>
      </w:tr>
      <w:tr>
        <w:tc>
          <w:tcPr>
            <w:tcW w:type="dxa" w:w="2033"/>
            <w:vAlign w:val="center"/>
            <w:shd w:fill="FFFFFF"/>
          </w:tcPr>
          <w:p>
            <w:pPr>
              <w:spacing w:after="0"/>
            </w:pPr>
            <w:r/>
            <w:r>
              <w:rPr>
                <w:rFonts w:ascii="Aptos" w:hAnsi="Aptos"/>
                <w:b w:val="0"/>
                <w:sz w:val="16"/>
              </w:rPr>
              <w:t>Channel affinity / best channel</w:t>
            </w:r>
          </w:p>
        </w:tc>
        <w:tc>
          <w:tcPr>
            <w:tcW w:type="dxa" w:w="2033"/>
            <w:vAlign w:val="center"/>
            <w:shd w:fill="FFFFFF"/>
          </w:tcPr>
          <w:p>
            <w:pPr>
              <w:spacing w:after="0"/>
            </w:pPr>
            <w:r/>
            <w:r>
              <w:rPr>
                <w:rFonts w:ascii="Aptos" w:hAnsi="Aptos"/>
                <w:b w:val="0"/>
                <w:sz w:val="16"/>
              </w:rPr>
              <w:t>Response or uplift ranking model</w:t>
            </w:r>
          </w:p>
        </w:tc>
        <w:tc>
          <w:tcPr>
            <w:tcW w:type="dxa" w:w="2033"/>
            <w:vAlign w:val="center"/>
            <w:shd w:fill="FFFFFF"/>
          </w:tcPr>
          <w:p>
            <w:pPr>
              <w:spacing w:after="0"/>
            </w:pPr>
            <w:r/>
            <w:r>
              <w:rPr>
                <w:rFonts w:ascii="Aptos" w:hAnsi="Aptos"/>
                <w:b w:val="0"/>
                <w:sz w:val="16"/>
              </w:rPr>
              <w:t>Historical channel outcomes, audience features, cost and eligibility rules</w:t>
            </w:r>
          </w:p>
        </w:tc>
        <w:tc>
          <w:tcPr>
            <w:tcW w:type="dxa" w:w="2033"/>
            <w:vAlign w:val="center"/>
            <w:shd w:fill="FFFFFF"/>
          </w:tcPr>
          <w:p>
            <w:pPr>
              <w:spacing w:after="0"/>
            </w:pPr>
            <w:r/>
            <w:r>
              <w:rPr>
                <w:rFonts w:ascii="Aptos" w:hAnsi="Aptos"/>
                <w:b w:val="0"/>
                <w:sz w:val="16"/>
              </w:rPr>
              <w:t>predictive_result_fact</w:t>
            </w:r>
          </w:p>
        </w:tc>
        <w:tc>
          <w:tcPr>
            <w:tcW w:type="dxa" w:w="2033"/>
            <w:vAlign w:val="center"/>
            <w:shd w:fill="FFFFFF"/>
          </w:tcPr>
          <w:p>
            <w:pPr>
              <w:spacing w:after="0"/>
            </w:pPr>
            <w:r/>
            <w:r>
              <w:rPr>
                <w:rFonts w:ascii="Aptos" w:hAnsi="Aptos"/>
                <w:b w:val="0"/>
                <w:sz w:val="16"/>
              </w:rPr>
              <w:t>Recommendation only; disclose objective and constraints.</w:t>
            </w:r>
          </w:p>
        </w:tc>
      </w:tr>
      <w:tr>
        <w:tc>
          <w:tcPr>
            <w:tcW w:type="dxa" w:w="2033"/>
            <w:vAlign w:val="center"/>
            <w:shd w:fill="F5F8FA"/>
          </w:tcPr>
          <w:p>
            <w:pPr>
              <w:spacing w:after="0"/>
            </w:pPr>
            <w:r/>
            <w:r>
              <w:rPr>
                <w:rFonts w:ascii="Aptos" w:hAnsi="Aptos"/>
                <w:b w:val="0"/>
                <w:sz w:val="16"/>
              </w:rPr>
              <w:t>Incremental CLV</w:t>
            </w:r>
          </w:p>
        </w:tc>
        <w:tc>
          <w:tcPr>
            <w:tcW w:type="dxa" w:w="2033"/>
            <w:vAlign w:val="center"/>
            <w:shd w:fill="F5F8FA"/>
          </w:tcPr>
          <w:p>
            <w:pPr>
              <w:spacing w:after="0"/>
            </w:pPr>
            <w:r/>
            <w:r>
              <w:rPr>
                <w:rFonts w:ascii="Aptos" w:hAnsi="Aptos"/>
                <w:b w:val="0"/>
                <w:sz w:val="16"/>
              </w:rPr>
              <w:t>Long-horizon treatment-effect and CLV model</w:t>
            </w:r>
          </w:p>
        </w:tc>
        <w:tc>
          <w:tcPr>
            <w:tcW w:type="dxa" w:w="2033"/>
            <w:vAlign w:val="center"/>
            <w:shd w:fill="F5F8FA"/>
          </w:tcPr>
          <w:p>
            <w:pPr>
              <w:spacing w:after="0"/>
            </w:pPr>
            <w:r/>
            <w:r>
              <w:rPr>
                <w:rFonts w:ascii="Aptos" w:hAnsi="Aptos"/>
                <w:b w:val="0"/>
                <w:sz w:val="16"/>
              </w:rPr>
              <w:t>Treatment/control history, repeat purchases, churn/value history, approved horizon</w:t>
            </w:r>
          </w:p>
        </w:tc>
        <w:tc>
          <w:tcPr>
            <w:tcW w:type="dxa" w:w="2033"/>
            <w:vAlign w:val="center"/>
            <w:shd w:fill="F5F8FA"/>
          </w:tcPr>
          <w:p>
            <w:pPr>
              <w:spacing w:after="0"/>
            </w:pPr>
            <w:r/>
            <w:r>
              <w:rPr>
                <w:rFonts w:ascii="Aptos" w:hAnsi="Aptos"/>
                <w:b w:val="0"/>
                <w:sz w:val="16"/>
              </w:rPr>
              <w:t>predictive_result_fact</w:t>
            </w:r>
          </w:p>
        </w:tc>
        <w:tc>
          <w:tcPr>
            <w:tcW w:type="dxa" w:w="2033"/>
            <w:vAlign w:val="center"/>
            <w:shd w:fill="F5F8FA"/>
          </w:tcPr>
          <w:p>
            <w:pPr>
              <w:spacing w:after="0"/>
            </w:pPr>
            <w:r/>
            <w:r>
              <w:rPr>
                <w:rFonts w:ascii="Aptos" w:hAnsi="Aptos"/>
                <w:b w:val="0"/>
                <w:sz w:val="16"/>
              </w:rPr>
              <w:t>Future. Show horizon, uncertainty and validation.</w:t>
            </w:r>
          </w:p>
        </w:tc>
      </w:tr>
    </w:tbl>
    <w:p>
      <w:pPr>
        <w:pStyle w:val="Heading2"/>
      </w:pPr>
      <w:r>
        <w:t>14.5 Control-group methodology requirements</w:t>
      </w:r>
    </w:p>
    <w:p>
      <w:r>
        <w:t>Activate selects the control group in both channel paths. The channel determines when the control is created and which causal claim is allowed. The detailed implementation remains owned by Data Science and the Control Group Method document.</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F6CBD"/>
          </w:tcPr>
          <w:p>
            <w:pPr>
              <w:spacing w:after="0"/>
            </w:pPr>
            <w:r/>
            <w:r>
              <w:rPr>
                <w:rFonts w:ascii="Aptos" w:hAnsi="Aptos"/>
                <w:b/>
                <w:color w:val="FFFFFF"/>
                <w:sz w:val="17"/>
              </w:rPr>
              <w:t>Design element</w:t>
            </w:r>
          </w:p>
        </w:tc>
        <w:tc>
          <w:tcPr>
            <w:tcW w:type="dxa" w:w="3389"/>
            <w:vAlign w:val="center"/>
            <w:shd w:fill="0F6CBD"/>
          </w:tcPr>
          <w:p>
            <w:pPr>
              <w:spacing w:after="0"/>
            </w:pPr>
            <w:r/>
            <w:r>
              <w:rPr>
                <w:rFonts w:ascii="Aptos" w:hAnsi="Aptos"/>
                <w:b/>
                <w:color w:val="FFFFFF"/>
                <w:sz w:val="17"/>
              </w:rPr>
              <w:t>Aggregate-only / walled garden</w:t>
            </w:r>
          </w:p>
        </w:tc>
        <w:tc>
          <w:tcPr>
            <w:tcW w:type="dxa" w:w="3389"/>
            <w:vAlign w:val="center"/>
            <w:shd w:fill="0F6CBD"/>
          </w:tcPr>
          <w:p>
            <w:pPr>
              <w:spacing w:after="0"/>
            </w:pPr>
            <w:r/>
            <w:r>
              <w:rPr>
                <w:rFonts w:ascii="Aptos" w:hAnsi="Aptos"/>
                <w:b/>
                <w:color w:val="FFFFFF"/>
                <w:sz w:val="17"/>
              </w:rPr>
              <w:t>Shopper-level channel</w:t>
            </w:r>
          </w:p>
        </w:tc>
      </w:tr>
      <w:tr>
        <w:tc>
          <w:tcPr>
            <w:tcW w:type="dxa" w:w="3389"/>
            <w:vAlign w:val="center"/>
            <w:shd w:fill="F5F8FA"/>
          </w:tcPr>
          <w:p>
            <w:pPr>
              <w:spacing w:after="0"/>
            </w:pPr>
            <w:r/>
            <w:r>
              <w:rPr>
                <w:rFonts w:ascii="Aptos" w:hAnsi="Aptos"/>
                <w:b w:val="0"/>
                <w:sz w:val="16"/>
              </w:rPr>
              <w:t>Partner return</w:t>
            </w:r>
          </w:p>
        </w:tc>
        <w:tc>
          <w:tcPr>
            <w:tcW w:type="dxa" w:w="3389"/>
            <w:vAlign w:val="center"/>
            <w:shd w:fill="F5F8FA"/>
          </w:tcPr>
          <w:p>
            <w:pPr>
              <w:spacing w:after="0"/>
            </w:pPr>
            <w:r/>
            <w:r>
              <w:rPr>
                <w:rFonts w:ascii="Aptos" w:hAnsi="Aptos"/>
                <w:b w:val="0"/>
                <w:sz w:val="16"/>
              </w:rPr>
              <w:t>Campaign totals only, such as reach, impressions, clicks and spend.</w:t>
            </w:r>
          </w:p>
        </w:tc>
        <w:tc>
          <w:tcPr>
            <w:tcW w:type="dxa" w:w="3389"/>
            <w:vAlign w:val="center"/>
            <w:shd w:fill="F5F8FA"/>
          </w:tcPr>
          <w:p>
            <w:pPr>
              <w:spacing w:after="0"/>
            </w:pPr>
            <w:r/>
            <w:r>
              <w:rPr>
                <w:rFonts w:ascii="Aptos" w:hAnsi="Aptos"/>
                <w:b w:val="0"/>
                <w:sz w:val="16"/>
              </w:rPr>
              <w:t>Targeted shopper list, with the contract stating whether targeted or confirmed exposed.</w:t>
            </w:r>
          </w:p>
        </w:tc>
      </w:tr>
      <w:tr>
        <w:tc>
          <w:tcPr>
            <w:tcW w:type="dxa" w:w="3389"/>
            <w:vAlign w:val="center"/>
            <w:shd w:fill="FFFFFF"/>
          </w:tcPr>
          <w:p>
            <w:pPr>
              <w:spacing w:after="0"/>
            </w:pPr>
            <w:r/>
            <w:r>
              <w:rPr>
                <w:rFonts w:ascii="Aptos" w:hAnsi="Aptos"/>
                <w:b w:val="0"/>
                <w:sz w:val="16"/>
              </w:rPr>
              <w:t>Audience sent</w:t>
            </w:r>
          </w:p>
        </w:tc>
        <w:tc>
          <w:tcPr>
            <w:tcW w:type="dxa" w:w="3389"/>
            <w:vAlign w:val="center"/>
            <w:shd w:fill="FFFFFF"/>
          </w:tcPr>
          <w:p>
            <w:pPr>
              <w:spacing w:after="0"/>
            </w:pPr>
            <w:r/>
            <w:r>
              <w:rPr>
                <w:rFonts w:ascii="Aptos" w:hAnsi="Aptos"/>
                <w:b w:val="0"/>
                <w:sz w:val="16"/>
              </w:rPr>
              <w:t>Audience minus pre-selected control.</w:t>
            </w:r>
          </w:p>
        </w:tc>
        <w:tc>
          <w:tcPr>
            <w:tcW w:type="dxa" w:w="3389"/>
            <w:vAlign w:val="center"/>
            <w:shd w:fill="FFFFFF"/>
          </w:tcPr>
          <w:p>
            <w:pPr>
              <w:spacing w:after="0"/>
            </w:pPr>
            <w:r/>
            <w:r>
              <w:rPr>
                <w:rFonts w:ascii="Aptos" w:hAnsi="Aptos"/>
                <w:b w:val="0"/>
                <w:sz w:val="16"/>
              </w:rPr>
              <w:t>Full approved audience.</w:t>
            </w:r>
          </w:p>
        </w:tc>
      </w:tr>
      <w:tr>
        <w:tc>
          <w:tcPr>
            <w:tcW w:type="dxa" w:w="3389"/>
            <w:vAlign w:val="center"/>
            <w:shd w:fill="F5F8FA"/>
          </w:tcPr>
          <w:p>
            <w:pPr>
              <w:spacing w:after="0"/>
            </w:pPr>
            <w:r/>
            <w:r>
              <w:rPr>
                <w:rFonts w:ascii="Aptos" w:hAnsi="Aptos"/>
                <w:b w:val="0"/>
                <w:sz w:val="16"/>
              </w:rPr>
              <w:t>Control timing</w:t>
            </w:r>
          </w:p>
        </w:tc>
        <w:tc>
          <w:tcPr>
            <w:tcW w:type="dxa" w:w="3389"/>
            <w:vAlign w:val="center"/>
            <w:shd w:fill="F5F8FA"/>
          </w:tcPr>
          <w:p>
            <w:pPr>
              <w:spacing w:after="0"/>
            </w:pPr>
            <w:r/>
            <w:r>
              <w:rPr>
                <w:rFonts w:ascii="Aptos" w:hAnsi="Aptos"/>
                <w:b w:val="0"/>
                <w:sz w:val="16"/>
              </w:rPr>
              <w:t>Before activation, at export.</w:t>
            </w:r>
          </w:p>
        </w:tc>
        <w:tc>
          <w:tcPr>
            <w:tcW w:type="dxa" w:w="3389"/>
            <w:vAlign w:val="center"/>
            <w:shd w:fill="F5F8FA"/>
          </w:tcPr>
          <w:p>
            <w:pPr>
              <w:spacing w:after="0"/>
            </w:pPr>
            <w:r/>
            <w:r>
              <w:rPr>
                <w:rFonts w:ascii="Aptos" w:hAnsi="Aptos"/>
                <w:b w:val="0"/>
                <w:sz w:val="16"/>
              </w:rPr>
              <w:t>After the targeted list returns.</w:t>
            </w:r>
          </w:p>
        </w:tc>
      </w:tr>
      <w:tr>
        <w:tc>
          <w:tcPr>
            <w:tcW w:type="dxa" w:w="3389"/>
            <w:vAlign w:val="center"/>
            <w:shd w:fill="FFFFFF"/>
          </w:tcPr>
          <w:p>
            <w:pPr>
              <w:spacing w:after="0"/>
            </w:pPr>
            <w:r/>
            <w:r>
              <w:rPr>
                <w:rFonts w:ascii="Aptos" w:hAnsi="Aptos"/>
                <w:b w:val="0"/>
                <w:sz w:val="16"/>
              </w:rPr>
              <w:t>Control method</w:t>
            </w:r>
          </w:p>
        </w:tc>
        <w:tc>
          <w:tcPr>
            <w:tcW w:type="dxa" w:w="3389"/>
            <w:vAlign w:val="center"/>
            <w:shd w:fill="FFFFFF"/>
          </w:tcPr>
          <w:p>
            <w:pPr>
              <w:spacing w:after="0"/>
            </w:pPr>
            <w:r/>
            <w:r>
              <w:rPr>
                <w:rFonts w:ascii="Aptos" w:hAnsi="Aptos"/>
                <w:b w:val="0"/>
                <w:sz w:val="16"/>
              </w:rPr>
              <w:t>Deterministic reproducible random holdout, stratified at minimum by banner and value tier.</w:t>
            </w:r>
          </w:p>
        </w:tc>
        <w:tc>
          <w:tcPr>
            <w:tcW w:type="dxa" w:w="3389"/>
            <w:vAlign w:val="center"/>
            <w:shd w:fill="FFFFFF"/>
          </w:tcPr>
          <w:p>
            <w:pPr>
              <w:spacing w:after="0"/>
            </w:pPr>
            <w:r/>
            <w:r>
              <w:rPr>
                <w:rFonts w:ascii="Aptos" w:hAnsi="Aptos"/>
                <w:b w:val="0"/>
                <w:sz w:val="16"/>
              </w:rPr>
              <w:t>Matched control drawn from exported but non-targeted shoppers using only pre-campaign information.</w:t>
            </w:r>
          </w:p>
        </w:tc>
      </w:tr>
      <w:tr>
        <w:tc>
          <w:tcPr>
            <w:tcW w:type="dxa" w:w="3389"/>
            <w:vAlign w:val="center"/>
            <w:shd w:fill="F5F8FA"/>
          </w:tcPr>
          <w:p>
            <w:pPr>
              <w:spacing w:after="0"/>
            </w:pPr>
            <w:r/>
            <w:r>
              <w:rPr>
                <w:rFonts w:ascii="Aptos" w:hAnsi="Aptos"/>
                <w:b w:val="0"/>
                <w:sz w:val="16"/>
              </w:rPr>
              <w:t>Primary estimand</w:t>
            </w:r>
          </w:p>
        </w:tc>
        <w:tc>
          <w:tcPr>
            <w:tcW w:type="dxa" w:w="3389"/>
            <w:vAlign w:val="center"/>
            <w:shd w:fill="F5F8FA"/>
          </w:tcPr>
          <w:p>
            <w:pPr>
              <w:spacing w:after="0"/>
            </w:pPr>
            <w:r/>
            <w:r>
              <w:rPr>
                <w:rFonts w:ascii="Aptos" w:hAnsi="Aptos"/>
                <w:b w:val="0"/>
                <w:sz w:val="16"/>
              </w:rPr>
              <w:t>Intent-to-treat effect of being selected for activation.</w:t>
            </w:r>
          </w:p>
        </w:tc>
        <w:tc>
          <w:tcPr>
            <w:tcW w:type="dxa" w:w="3389"/>
            <w:vAlign w:val="center"/>
            <w:shd w:fill="F5F8FA"/>
          </w:tcPr>
          <w:p>
            <w:pPr>
              <w:spacing w:after="0"/>
            </w:pPr>
            <w:r/>
            <w:r>
              <w:rPr>
                <w:rFonts w:ascii="Aptos" w:hAnsi="Aptos"/>
                <w:b w:val="0"/>
                <w:sz w:val="16"/>
              </w:rPr>
              <w:t>Effect for matched targeted shoppers, with any expansion to all targeted disclosed.</w:t>
            </w:r>
          </w:p>
        </w:tc>
      </w:tr>
      <w:tr>
        <w:tc>
          <w:tcPr>
            <w:tcW w:type="dxa" w:w="3389"/>
            <w:vAlign w:val="center"/>
            <w:shd w:fill="FFFFFF"/>
          </w:tcPr>
          <w:p>
            <w:pPr>
              <w:spacing w:after="0"/>
            </w:pPr>
            <w:r/>
            <w:r>
              <w:rPr>
                <w:rFonts w:ascii="Aptos" w:hAnsi="Aptos"/>
                <w:b w:val="0"/>
                <w:sz w:val="16"/>
              </w:rPr>
              <w:t>Report label</w:t>
            </w:r>
          </w:p>
        </w:tc>
        <w:tc>
          <w:tcPr>
            <w:tcW w:type="dxa" w:w="3389"/>
            <w:vAlign w:val="center"/>
            <w:shd w:fill="FFFFFF"/>
          </w:tcPr>
          <w:p>
            <w:pPr>
              <w:spacing w:after="0"/>
            </w:pPr>
            <w:r/>
            <w:r>
              <w:rPr>
                <w:rFonts w:ascii="Aptos" w:hAnsi="Aptos"/>
                <w:b w:val="0"/>
                <w:sz w:val="16"/>
              </w:rPr>
              <w:t>Measured.</w:t>
            </w:r>
          </w:p>
        </w:tc>
        <w:tc>
          <w:tcPr>
            <w:tcW w:type="dxa" w:w="3389"/>
            <w:vAlign w:val="center"/>
            <w:shd w:fill="FFFFFF"/>
          </w:tcPr>
          <w:p>
            <w:pPr>
              <w:spacing w:after="0"/>
            </w:pPr>
            <w:r/>
            <w:r>
              <w:rPr>
                <w:rFonts w:ascii="Aptos" w:hAnsi="Aptos"/>
                <w:b w:val="0"/>
                <w:sz w:val="16"/>
              </w:rPr>
              <w:t>Modelled.</w:t>
            </w:r>
          </w:p>
        </w:tc>
      </w:tr>
      <w:tr>
        <w:tc>
          <w:tcPr>
            <w:tcW w:type="dxa" w:w="3389"/>
            <w:vAlign w:val="center"/>
            <w:shd w:fill="F5F8FA"/>
          </w:tcPr>
          <w:p>
            <w:pPr>
              <w:spacing w:after="0"/>
            </w:pPr>
            <w:r/>
            <w:r>
              <w:rPr>
                <w:rFonts w:ascii="Aptos" w:hAnsi="Aptos"/>
                <w:b w:val="0"/>
                <w:sz w:val="16"/>
              </w:rPr>
              <w:t>Partner exposure requirement</w:t>
            </w:r>
          </w:p>
        </w:tc>
        <w:tc>
          <w:tcPr>
            <w:tcW w:type="dxa" w:w="3389"/>
            <w:vAlign w:val="center"/>
            <w:shd w:fill="F5F8FA"/>
          </w:tcPr>
          <w:p>
            <w:pPr>
              <w:spacing w:after="0"/>
            </w:pPr>
            <w:r/>
            <w:r>
              <w:rPr>
                <w:rFonts w:ascii="Aptos" w:hAnsi="Aptos"/>
                <w:b w:val="0"/>
                <w:sz w:val="16"/>
              </w:rPr>
              <w:t>No shopper-level exposure required. Platform reach may be used only for per-reached scaling and must be disclosed.</w:t>
            </w:r>
          </w:p>
        </w:tc>
        <w:tc>
          <w:tcPr>
            <w:tcW w:type="dxa" w:w="3389"/>
            <w:vAlign w:val="center"/>
            <w:shd w:fill="F5F8FA"/>
          </w:tcPr>
          <w:p>
            <w:pPr>
              <w:spacing w:after="0"/>
            </w:pPr>
            <w:r/>
            <w:r>
              <w:rPr>
                <w:rFonts w:ascii="Aptos" w:hAnsi="Aptos"/>
                <w:b w:val="0"/>
                <w:sz w:val="16"/>
              </w:rPr>
              <w:t>Targeted list required. A targeted shopper is not automatically a confirmed exposed shopper.</w:t>
            </w:r>
          </w:p>
        </w:tc>
      </w:tr>
      <w:tr>
        <w:tc>
          <w:tcPr>
            <w:tcW w:type="dxa" w:w="3389"/>
            <w:vAlign w:val="center"/>
            <w:shd w:fill="FFFFFF"/>
          </w:tcPr>
          <w:p>
            <w:pPr>
              <w:spacing w:after="0"/>
            </w:pPr>
            <w:r/>
            <w:r>
              <w:rPr>
                <w:rFonts w:ascii="Aptos" w:hAnsi="Aptos"/>
                <w:b w:val="0"/>
                <w:sz w:val="16"/>
              </w:rPr>
              <w:t>Core quality protection</w:t>
            </w:r>
          </w:p>
        </w:tc>
        <w:tc>
          <w:tcPr>
            <w:tcW w:type="dxa" w:w="3389"/>
            <w:vAlign w:val="center"/>
            <w:shd w:fill="FFFFFF"/>
          </w:tcPr>
          <w:p>
            <w:pPr>
              <w:spacing w:after="0"/>
            </w:pPr>
            <w:r/>
            <w:r>
              <w:rPr>
                <w:rFonts w:ascii="Aptos" w:hAnsi="Aptos"/>
                <w:b w:val="0"/>
                <w:sz w:val="16"/>
              </w:rPr>
              <w:t>Control kept out of targeting, expansion and lookalikes.</w:t>
            </w:r>
          </w:p>
        </w:tc>
        <w:tc>
          <w:tcPr>
            <w:tcW w:type="dxa" w:w="3389"/>
            <w:vAlign w:val="center"/>
            <w:shd w:fill="FFFFFF"/>
          </w:tcPr>
          <w:p>
            <w:pPr>
              <w:spacing w:after="0"/>
            </w:pPr>
            <w:r/>
            <w:r>
              <w:rPr>
                <w:rFonts w:ascii="Aptos" w:hAnsi="Aptos"/>
                <w:b w:val="0"/>
                <w:sz w:val="16"/>
              </w:rPr>
              <w:t>Adequate match coverage, balance, flat pre-trend and negative-control pass.</w:t>
            </w:r>
          </w:p>
        </w:tc>
      </w:tr>
    </w:tbl>
    <w:p>
      <w:pPr>
        <w:pStyle w:val="Heading3"/>
      </w:pPr>
      <w:r>
        <w:t>14.5.1 Aggregate-only random-holdout rules</w:t>
      </w:r>
    </w:p>
    <w:p>
      <w:pPr>
        <w:pStyle w:val="ListBullet"/>
      </w:pPr>
      <w:r>
        <w:t>Default control share is 10%; configurable range is 5% to 30%, subject to power and minimum-detectable-effect review.</w:t>
      </w:r>
    </w:p>
    <w:p>
      <w:pPr>
        <w:pStyle w:val="ListBullet"/>
      </w:pPr>
      <w:r>
        <w:t>Assignment is reproducible from measurement_id and shopper_id using an approved deterministic randomization function, stratified by banner and value tier.</w:t>
      </w:r>
    </w:p>
    <w:p>
      <w:pPr>
        <w:pStyle w:val="ListBullet"/>
      </w:pPr>
      <w:r>
        <w:t>Assignment is timestamped, append-only and never overwritten by reruns. Late eligible additions use the same assignment formula.</w:t>
      </w:r>
    </w:p>
    <w:p>
      <w:pPr>
        <w:pStyle w:val="ListBullet"/>
      </w:pPr>
      <w:r>
        <w:t>Only treatment shoppers are exported. Audience expansion and lookalikes must be disabled; an exclusion-list fallback requires client approval.</w:t>
      </w:r>
    </w:p>
    <w:p>
      <w:pPr>
        <w:pStyle w:val="ListBullet"/>
      </w:pPr>
      <w:r>
        <w:t>Parallel-campaign shoppers are removed from both treatment and control under the same approved rules.</w:t>
      </w:r>
    </w:p>
    <w:p>
      <w:pPr>
        <w:pStyle w:val="ListBullet"/>
      </w:pPr>
      <w:r>
        <w:t>Outcome rows include zero for non-buyers. Incremental sales equals the adjusted outcome difference per treatment-assigned shopper multiplied by the eligible treatment population.</w:t>
      </w:r>
    </w:p>
    <w:p>
      <w:pPr>
        <w:pStyle w:val="ListBullet"/>
      </w:pPr>
      <w:r>
        <w:t>Per-reached effects may divide by partner-reported reach rate, but the report must disclose that reach cannot be verified shopper by shopper.</w:t>
      </w:r>
    </w:p>
    <w:p>
      <w:pPr>
        <w:pStyle w:val="Heading3"/>
      </w:pPr>
      <w:r>
        <w:t>14.5.2 Shopper-level matched-control rules</w:t>
      </w:r>
    </w:p>
    <w:p>
      <w:pPr>
        <w:pStyle w:val="ListBullet"/>
      </w:pPr>
      <w:r>
        <w:t>Targeted shoppers are the intersection of the partner-returned targeted list and the frozen audience. Returned IDs that were never sent are logged and excluded.</w:t>
      </w:r>
    </w:p>
    <w:p>
      <w:pPr>
        <w:pStyle w:val="ListBullet"/>
      </w:pPr>
      <w:r>
        <w:t>Control candidates are frozen-audience shoppers who were not targeted, after the same parallel-campaign and history eligibility rules are applied.</w:t>
      </w:r>
    </w:p>
    <w:p>
      <w:pPr>
        <w:pStyle w:val="ListBullet"/>
      </w:pPr>
      <w:r>
        <w:t>Exact matching factors include segment, banner, region, brand-buyer status and online/offline group where available.</w:t>
      </w:r>
    </w:p>
    <w:p>
      <w:pPr>
        <w:pStyle w:val="ListBullet"/>
      </w:pPr>
      <w:r>
        <w:t>The matching score uses approved pre-campaign variables, including brand and category behavior, total spend and trips, recency, weeks active, promotion sensitivity, digital activity where available, value tier and loyalty tenure.</w:t>
      </w:r>
    </w:p>
    <w:p>
      <w:pPr>
        <w:pStyle w:val="ListBullet"/>
      </w:pPr>
      <w:r>
        <w:t>The current default is two unused controls per targeted shopper with an approved caliper and fixed random seed. Final defaults require Data Science approval.</w:t>
      </w:r>
    </w:p>
    <w:p>
      <w:pPr>
        <w:pStyle w:val="ListBullet"/>
      </w:pPr>
      <w:r>
        <w:t>The primary estimator uses matched-set outcome gaps adjusted for the remaining pre-period gap. A full before/after subtraction is shown only as a sensitivity check.</w:t>
      </w:r>
    </w:p>
    <w:p>
      <w:pPr>
        <w:pStyle w:val="ListBullet"/>
      </w:pPr>
      <w:r>
        <w:t>Unmatched targeted shoppers and removed shoppers are reported. Any extrapolation from matched to all targeted shoppers is separately labelled and disclosed.</w:t>
      </w:r>
    </w:p>
    <w:p>
      <w:pPr>
        <w:pStyle w:val="Heading3"/>
      </w:pPr>
      <w:r>
        <w:t>14.5.3 Causal quality gates and publication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F6CBD"/>
          </w:tcPr>
          <w:p>
            <w:pPr>
              <w:spacing w:after="0"/>
            </w:pPr>
            <w:r/>
            <w:r>
              <w:rPr>
                <w:rFonts w:ascii="Aptos" w:hAnsi="Aptos"/>
                <w:b/>
                <w:color w:val="FFFFFF"/>
                <w:sz w:val="17"/>
              </w:rPr>
              <w:t>Gate</w:t>
            </w:r>
          </w:p>
        </w:tc>
        <w:tc>
          <w:tcPr>
            <w:tcW w:type="dxa" w:w="3389"/>
            <w:vAlign w:val="center"/>
            <w:shd w:fill="0F6CBD"/>
          </w:tcPr>
          <w:p>
            <w:pPr>
              <w:spacing w:after="0"/>
            </w:pPr>
            <w:r/>
            <w:r>
              <w:rPr>
                <w:rFonts w:ascii="Aptos" w:hAnsi="Aptos"/>
                <w:b/>
                <w:color w:val="FFFFFF"/>
                <w:sz w:val="17"/>
              </w:rPr>
              <w:t>Applies to</w:t>
            </w:r>
          </w:p>
        </w:tc>
        <w:tc>
          <w:tcPr>
            <w:tcW w:type="dxa" w:w="3389"/>
            <w:vAlign w:val="center"/>
            <w:shd w:fill="0F6CBD"/>
          </w:tcPr>
          <w:p>
            <w:pPr>
              <w:spacing w:after="0"/>
            </w:pPr>
            <w:r/>
            <w:r>
              <w:rPr>
                <w:rFonts w:ascii="Aptos" w:hAnsi="Aptos"/>
                <w:b/>
                <w:color w:val="FFFFFF"/>
                <w:sz w:val="17"/>
              </w:rPr>
              <w:t>Default policy</w:t>
            </w:r>
          </w:p>
        </w:tc>
      </w:tr>
      <w:tr>
        <w:tc>
          <w:tcPr>
            <w:tcW w:type="dxa" w:w="3389"/>
            <w:vAlign w:val="center"/>
            <w:shd w:fill="F5F8FA"/>
          </w:tcPr>
          <w:p>
            <w:pPr>
              <w:spacing w:after="0"/>
            </w:pPr>
            <w:r/>
            <w:r>
              <w:rPr>
                <w:rFonts w:ascii="Aptos" w:hAnsi="Aptos"/>
                <w:b w:val="0"/>
                <w:sz w:val="16"/>
              </w:rPr>
              <w:t>Random split and reproducibility</w:t>
            </w:r>
          </w:p>
        </w:tc>
        <w:tc>
          <w:tcPr>
            <w:tcW w:type="dxa" w:w="3389"/>
            <w:vAlign w:val="center"/>
            <w:shd w:fill="F5F8FA"/>
          </w:tcPr>
          <w:p>
            <w:pPr>
              <w:spacing w:after="0"/>
            </w:pPr>
            <w:r/>
            <w:r>
              <w:rPr>
                <w:rFonts w:ascii="Aptos" w:hAnsi="Aptos"/>
                <w:b w:val="0"/>
                <w:sz w:val="16"/>
              </w:rPr>
              <w:t>Aggregate-only</w:t>
            </w:r>
          </w:p>
        </w:tc>
        <w:tc>
          <w:tcPr>
            <w:tcW w:type="dxa" w:w="3389"/>
            <w:vAlign w:val="center"/>
            <w:shd w:fill="F5F8FA"/>
          </w:tcPr>
          <w:p>
            <w:pPr>
              <w:spacing w:after="0"/>
            </w:pPr>
            <w:r/>
            <w:r>
              <w:rPr>
                <w:rFonts w:ascii="Aptos" w:hAnsi="Aptos"/>
                <w:b w:val="0"/>
                <w:sz w:val="16"/>
              </w:rPr>
              <w:t>Observed control share follows plan and 100% of assignments reproduce.</w:t>
            </w:r>
          </w:p>
        </w:tc>
      </w:tr>
      <w:tr>
        <w:tc>
          <w:tcPr>
            <w:tcW w:type="dxa" w:w="3389"/>
            <w:vAlign w:val="center"/>
            <w:shd w:fill="FFFFFF"/>
          </w:tcPr>
          <w:p>
            <w:pPr>
              <w:spacing w:after="0"/>
            </w:pPr>
            <w:r/>
            <w:r>
              <w:rPr>
                <w:rFonts w:ascii="Aptos" w:hAnsi="Aptos"/>
                <w:b w:val="0"/>
                <w:sz w:val="16"/>
              </w:rPr>
              <w:t>Control contamination</w:t>
            </w:r>
          </w:p>
        </w:tc>
        <w:tc>
          <w:tcPr>
            <w:tcW w:type="dxa" w:w="3389"/>
            <w:vAlign w:val="center"/>
            <w:shd w:fill="FFFFFF"/>
          </w:tcPr>
          <w:p>
            <w:pPr>
              <w:spacing w:after="0"/>
            </w:pPr>
            <w:r/>
            <w:r>
              <w:rPr>
                <w:rFonts w:ascii="Aptos" w:hAnsi="Aptos"/>
                <w:b w:val="0"/>
                <w:sz w:val="16"/>
              </w:rPr>
              <w:t>Aggregate-only</w:t>
            </w:r>
          </w:p>
        </w:tc>
        <w:tc>
          <w:tcPr>
            <w:tcW w:type="dxa" w:w="3389"/>
            <w:vAlign w:val="center"/>
            <w:shd w:fill="FFFFFF"/>
          </w:tcPr>
          <w:p>
            <w:pPr>
              <w:spacing w:after="0"/>
            </w:pPr>
            <w:r/>
            <w:r>
              <w:rPr>
                <w:rFonts w:ascii="Aptos" w:hAnsi="Aptos"/>
                <w:b w:val="0"/>
                <w:sz w:val="16"/>
              </w:rPr>
              <w:t>No known control shopper receives treatment. If protection fails, block or downgrade according to approved policy.</w:t>
            </w:r>
          </w:p>
        </w:tc>
      </w:tr>
      <w:tr>
        <w:tc>
          <w:tcPr>
            <w:tcW w:type="dxa" w:w="3389"/>
            <w:vAlign w:val="center"/>
            <w:shd w:fill="F5F8FA"/>
          </w:tcPr>
          <w:p>
            <w:pPr>
              <w:spacing w:after="0"/>
            </w:pPr>
            <w:r/>
            <w:r>
              <w:rPr>
                <w:rFonts w:ascii="Aptos" w:hAnsi="Aptos"/>
                <w:b w:val="0"/>
                <w:sz w:val="16"/>
              </w:rPr>
              <w:t>Pre-period balance</w:t>
            </w:r>
          </w:p>
        </w:tc>
        <w:tc>
          <w:tcPr>
            <w:tcW w:type="dxa" w:w="3389"/>
            <w:vAlign w:val="center"/>
            <w:shd w:fill="F5F8FA"/>
          </w:tcPr>
          <w:p>
            <w:pPr>
              <w:spacing w:after="0"/>
            </w:pPr>
            <w:r/>
            <w:r>
              <w:rPr>
                <w:rFonts w:ascii="Aptos" w:hAnsi="Aptos"/>
                <w:b w:val="0"/>
                <w:sz w:val="16"/>
              </w:rPr>
              <w:t>Both</w:t>
            </w:r>
          </w:p>
        </w:tc>
        <w:tc>
          <w:tcPr>
            <w:tcW w:type="dxa" w:w="3389"/>
            <w:vAlign w:val="center"/>
            <w:shd w:fill="F5F8FA"/>
          </w:tcPr>
          <w:p>
            <w:pPr>
              <w:spacing w:after="0"/>
            </w:pPr>
            <w:r/>
            <w:r>
              <w:rPr>
                <w:rFonts w:ascii="Aptos" w:hAnsi="Aptos"/>
                <w:b w:val="0"/>
                <w:sz w:val="16"/>
              </w:rPr>
              <w:t>Absolute standardized difference below approved threshold, normally 0.1.</w:t>
            </w:r>
          </w:p>
        </w:tc>
      </w:tr>
      <w:tr>
        <w:tc>
          <w:tcPr>
            <w:tcW w:type="dxa" w:w="3389"/>
            <w:vAlign w:val="center"/>
            <w:shd w:fill="FFFFFF"/>
          </w:tcPr>
          <w:p>
            <w:pPr>
              <w:spacing w:after="0"/>
            </w:pPr>
            <w:r/>
            <w:r>
              <w:rPr>
                <w:rFonts w:ascii="Aptos" w:hAnsi="Aptos"/>
                <w:b w:val="0"/>
                <w:sz w:val="16"/>
              </w:rPr>
              <w:t>Targeted IDs never sent</w:t>
            </w:r>
          </w:p>
        </w:tc>
        <w:tc>
          <w:tcPr>
            <w:tcW w:type="dxa" w:w="3389"/>
            <w:vAlign w:val="center"/>
            <w:shd w:fill="FFFFFF"/>
          </w:tcPr>
          <w:p>
            <w:pPr>
              <w:spacing w:after="0"/>
            </w:pPr>
            <w:r/>
            <w:r>
              <w:rPr>
                <w:rFonts w:ascii="Aptos" w:hAnsi="Aptos"/>
                <w:b w:val="0"/>
                <w:sz w:val="16"/>
              </w:rPr>
              <w:t>Shopper-level</w:t>
            </w:r>
          </w:p>
        </w:tc>
        <w:tc>
          <w:tcPr>
            <w:tcW w:type="dxa" w:w="3389"/>
            <w:vAlign w:val="center"/>
            <w:shd w:fill="FFFFFF"/>
          </w:tcPr>
          <w:p>
            <w:pPr>
              <w:spacing w:after="0"/>
            </w:pPr>
            <w:r/>
            <w:r>
              <w:rPr>
                <w:rFonts w:ascii="Aptos" w:hAnsi="Aptos"/>
                <w:b w:val="0"/>
                <w:sz w:val="16"/>
              </w:rPr>
              <w:t>Count, exclude and escalate. A material share is an identity/data issue.</w:t>
            </w:r>
          </w:p>
        </w:tc>
      </w:tr>
      <w:tr>
        <w:tc>
          <w:tcPr>
            <w:tcW w:type="dxa" w:w="3389"/>
            <w:vAlign w:val="center"/>
            <w:shd w:fill="F5F8FA"/>
          </w:tcPr>
          <w:p>
            <w:pPr>
              <w:spacing w:after="0"/>
            </w:pPr>
            <w:r/>
            <w:r>
              <w:rPr>
                <w:rFonts w:ascii="Aptos" w:hAnsi="Aptos"/>
                <w:b w:val="0"/>
                <w:sz w:val="16"/>
              </w:rPr>
              <w:t>Match coverage</w:t>
            </w:r>
          </w:p>
        </w:tc>
        <w:tc>
          <w:tcPr>
            <w:tcW w:type="dxa" w:w="3389"/>
            <w:vAlign w:val="center"/>
            <w:shd w:fill="F5F8FA"/>
          </w:tcPr>
          <w:p>
            <w:pPr>
              <w:spacing w:after="0"/>
            </w:pPr>
            <w:r/>
            <w:r>
              <w:rPr>
                <w:rFonts w:ascii="Aptos" w:hAnsi="Aptos"/>
                <w:b w:val="0"/>
                <w:sz w:val="16"/>
              </w:rPr>
              <w:t>Shopper-level</w:t>
            </w:r>
          </w:p>
        </w:tc>
        <w:tc>
          <w:tcPr>
            <w:tcW w:type="dxa" w:w="3389"/>
            <w:vAlign w:val="center"/>
            <w:shd w:fill="F5F8FA"/>
          </w:tcPr>
          <w:p>
            <w:pPr>
              <w:spacing w:after="0"/>
            </w:pPr>
            <w:r/>
            <w:r>
              <w:rPr>
                <w:rFonts w:ascii="Aptos" w:hAnsi="Aptos"/>
                <w:b w:val="0"/>
                <w:sz w:val="16"/>
              </w:rPr>
              <w:t>Default target at least 90%; below threshold requires warning or block according to approved rule.</w:t>
            </w:r>
          </w:p>
        </w:tc>
      </w:tr>
      <w:tr>
        <w:tc>
          <w:tcPr>
            <w:tcW w:type="dxa" w:w="3389"/>
            <w:vAlign w:val="center"/>
            <w:shd w:fill="FFFFFF"/>
          </w:tcPr>
          <w:p>
            <w:pPr>
              <w:spacing w:after="0"/>
            </w:pPr>
            <w:r/>
            <w:r>
              <w:rPr>
                <w:rFonts w:ascii="Aptos" w:hAnsi="Aptos"/>
                <w:b w:val="0"/>
                <w:sz w:val="16"/>
              </w:rPr>
              <w:t>Weekly pre-trend</w:t>
            </w:r>
          </w:p>
        </w:tc>
        <w:tc>
          <w:tcPr>
            <w:tcW w:type="dxa" w:w="3389"/>
            <w:vAlign w:val="center"/>
            <w:shd w:fill="FFFFFF"/>
          </w:tcPr>
          <w:p>
            <w:pPr>
              <w:spacing w:after="0"/>
            </w:pPr>
            <w:r/>
            <w:r>
              <w:rPr>
                <w:rFonts w:ascii="Aptos" w:hAnsi="Aptos"/>
                <w:b w:val="0"/>
                <w:sz w:val="16"/>
              </w:rPr>
              <w:t>Shopper-level</w:t>
            </w:r>
          </w:p>
        </w:tc>
        <w:tc>
          <w:tcPr>
            <w:tcW w:type="dxa" w:w="3389"/>
            <w:vAlign w:val="center"/>
            <w:shd w:fill="FFFFFF"/>
          </w:tcPr>
          <w:p>
            <w:pPr>
              <w:spacing w:after="0"/>
            </w:pPr>
            <w:r/>
            <w:r>
              <w:rPr>
                <w:rFonts w:ascii="Aptos" w:hAnsi="Aptos"/>
                <w:b w:val="0"/>
                <w:sz w:val="16"/>
              </w:rPr>
              <w:t>No material divergence before campaign.</w:t>
            </w:r>
          </w:p>
        </w:tc>
      </w:tr>
      <w:tr>
        <w:tc>
          <w:tcPr>
            <w:tcW w:type="dxa" w:w="3389"/>
            <w:vAlign w:val="center"/>
            <w:shd w:fill="F5F8FA"/>
          </w:tcPr>
          <w:p>
            <w:pPr>
              <w:spacing w:after="0"/>
            </w:pPr>
            <w:r/>
            <w:r>
              <w:rPr>
                <w:rFonts w:ascii="Aptos" w:hAnsi="Aptos"/>
                <w:b w:val="0"/>
                <w:sz w:val="16"/>
              </w:rPr>
              <w:t>Negative-control outcome</w:t>
            </w:r>
          </w:p>
        </w:tc>
        <w:tc>
          <w:tcPr>
            <w:tcW w:type="dxa" w:w="3389"/>
            <w:vAlign w:val="center"/>
            <w:shd w:fill="F5F8FA"/>
          </w:tcPr>
          <w:p>
            <w:pPr>
              <w:spacing w:after="0"/>
            </w:pPr>
            <w:r/>
            <w:r>
              <w:rPr>
                <w:rFonts w:ascii="Aptos" w:hAnsi="Aptos"/>
                <w:b w:val="0"/>
                <w:sz w:val="16"/>
              </w:rPr>
              <w:t>Shopper-level</w:t>
            </w:r>
          </w:p>
        </w:tc>
        <w:tc>
          <w:tcPr>
            <w:tcW w:type="dxa" w:w="3389"/>
            <w:vAlign w:val="center"/>
            <w:shd w:fill="F5F8FA"/>
          </w:tcPr>
          <w:p>
            <w:pPr>
              <w:spacing w:after="0"/>
            </w:pPr>
            <w:r/>
            <w:r>
              <w:rPr>
                <w:rFonts w:ascii="Aptos" w:hAnsi="Aptos"/>
                <w:b w:val="0"/>
                <w:sz w:val="16"/>
              </w:rPr>
              <w:t>Confidence interval for unrelated-category gap includes zero.</w:t>
            </w:r>
          </w:p>
        </w:tc>
      </w:tr>
      <w:tr>
        <w:tc>
          <w:tcPr>
            <w:tcW w:type="dxa" w:w="3389"/>
            <w:vAlign w:val="center"/>
            <w:shd w:fill="FFFFFF"/>
          </w:tcPr>
          <w:p>
            <w:pPr>
              <w:spacing w:after="0"/>
            </w:pPr>
            <w:r/>
            <w:r>
              <w:rPr>
                <w:rFonts w:ascii="Aptos" w:hAnsi="Aptos"/>
                <w:b w:val="0"/>
                <w:sz w:val="16"/>
              </w:rPr>
              <w:t>Parallel-campaign removal</w:t>
            </w:r>
          </w:p>
        </w:tc>
        <w:tc>
          <w:tcPr>
            <w:tcW w:type="dxa" w:w="3389"/>
            <w:vAlign w:val="center"/>
            <w:shd w:fill="FFFFFF"/>
          </w:tcPr>
          <w:p>
            <w:pPr>
              <w:spacing w:after="0"/>
            </w:pPr>
            <w:r/>
            <w:r>
              <w:rPr>
                <w:rFonts w:ascii="Aptos" w:hAnsi="Aptos"/>
                <w:b w:val="0"/>
                <w:sz w:val="16"/>
              </w:rPr>
              <w:t>Both</w:t>
            </w:r>
          </w:p>
        </w:tc>
        <w:tc>
          <w:tcPr>
            <w:tcW w:type="dxa" w:w="3389"/>
            <w:vAlign w:val="center"/>
            <w:shd w:fill="FFFFFF"/>
          </w:tcPr>
          <w:p>
            <w:pPr>
              <w:spacing w:after="0"/>
            </w:pPr>
            <w:r/>
            <w:r>
              <w:rPr>
                <w:rFonts w:ascii="Aptos" w:hAnsi="Aptos"/>
                <w:b w:val="0"/>
                <w:sz w:val="16"/>
              </w:rPr>
              <w:t>Counts disclosed; warning when removals make the result materially narrower, with approximately 30% as a proposed threshold.</w:t>
            </w:r>
          </w:p>
        </w:tc>
      </w:tr>
      <w:tr>
        <w:tc>
          <w:tcPr>
            <w:tcW w:type="dxa" w:w="3389"/>
            <w:vAlign w:val="center"/>
            <w:shd w:fill="F5F8FA"/>
          </w:tcPr>
          <w:p>
            <w:pPr>
              <w:spacing w:after="0"/>
            </w:pPr>
            <w:r/>
            <w:r>
              <w:rPr>
                <w:rFonts w:ascii="Aptos" w:hAnsi="Aptos"/>
                <w:b w:val="0"/>
                <w:sz w:val="16"/>
              </w:rPr>
              <w:t>Outcome completeness</w:t>
            </w:r>
          </w:p>
        </w:tc>
        <w:tc>
          <w:tcPr>
            <w:tcW w:type="dxa" w:w="3389"/>
            <w:vAlign w:val="center"/>
            <w:shd w:fill="F5F8FA"/>
          </w:tcPr>
          <w:p>
            <w:pPr>
              <w:spacing w:after="0"/>
            </w:pPr>
            <w:r/>
            <w:r>
              <w:rPr>
                <w:rFonts w:ascii="Aptos" w:hAnsi="Aptos"/>
                <w:b w:val="0"/>
                <w:sz w:val="16"/>
              </w:rPr>
              <w:t>Both</w:t>
            </w:r>
          </w:p>
        </w:tc>
        <w:tc>
          <w:tcPr>
            <w:tcW w:type="dxa" w:w="3389"/>
            <w:vAlign w:val="center"/>
            <w:shd w:fill="F5F8FA"/>
          </w:tcPr>
          <w:p>
            <w:pPr>
              <w:spacing w:after="0"/>
            </w:pPr>
            <w:r/>
            <w:r>
              <w:rPr>
                <w:rFonts w:ascii="Aptos" w:hAnsi="Aptos"/>
                <w:b w:val="0"/>
                <w:sz w:val="16"/>
              </w:rPr>
              <w:t>Every comparison shopper has an outcome row, including zero-valued non-buyers.</w:t>
            </w:r>
          </w:p>
        </w:tc>
      </w:tr>
      <w:tr>
        <w:tc>
          <w:tcPr>
            <w:tcW w:type="dxa" w:w="3389"/>
            <w:vAlign w:val="center"/>
            <w:shd w:fill="FFFFFF"/>
          </w:tcPr>
          <w:p>
            <w:pPr>
              <w:spacing w:after="0"/>
            </w:pPr>
            <w:r/>
            <w:r>
              <w:rPr>
                <w:rFonts w:ascii="Aptos" w:hAnsi="Aptos"/>
                <w:b w:val="0"/>
                <w:sz w:val="16"/>
              </w:rPr>
              <w:t>Uncertainty</w:t>
            </w:r>
          </w:p>
        </w:tc>
        <w:tc>
          <w:tcPr>
            <w:tcW w:type="dxa" w:w="3389"/>
            <w:vAlign w:val="center"/>
            <w:shd w:fill="FFFFFF"/>
          </w:tcPr>
          <w:p>
            <w:pPr>
              <w:spacing w:after="0"/>
            </w:pPr>
            <w:r/>
            <w:r>
              <w:rPr>
                <w:rFonts w:ascii="Aptos" w:hAnsi="Aptos"/>
                <w:b w:val="0"/>
                <w:sz w:val="16"/>
              </w:rPr>
              <w:t>Both</w:t>
            </w:r>
          </w:p>
        </w:tc>
        <w:tc>
          <w:tcPr>
            <w:tcW w:type="dxa" w:w="3389"/>
            <w:vAlign w:val="center"/>
            <w:shd w:fill="FFFFFF"/>
          </w:tcPr>
          <w:p>
            <w:pPr>
              <w:spacing w:after="0"/>
            </w:pPr>
            <w:r/>
            <w:r>
              <w:rPr>
                <w:rFonts w:ascii="Aptos" w:hAnsi="Aptos"/>
                <w:b w:val="0"/>
                <w:sz w:val="16"/>
              </w:rPr>
              <w:t>Publish estimate with confidence interval and p-value or approved equivalent.</w:t>
            </w:r>
          </w:p>
        </w:tc>
      </w:tr>
    </w:tbl>
    <w:p>
      <w:pPr>
        <w:spacing w:before="100" w:after="140"/>
        <w:ind w:left="230" w:right="230"/>
        <w:shd w:fill="FDE7E9"/>
      </w:pPr>
      <w:r>
        <w:rPr>
          <w:b/>
          <w:color w:val="D13438"/>
        </w:rPr>
        <w:t>If any mandatory causal gate fails, the product shows Insufficient data or Data issue. It does not publish incremental revenue, lift, incremental buyers, incremental units or iROAS.</w:t>
      </w:r>
    </w:p>
    <w:p>
      <w:pPr>
        <w:pStyle w:val="Heading2"/>
      </w:pPr>
      <w:r>
        <w:t>14.6 Required data-model and data-contract dependencies</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F6CBD"/>
          </w:tcPr>
          <w:p>
            <w:pPr>
              <w:spacing w:after="0"/>
            </w:pPr>
            <w:r/>
            <w:r>
              <w:rPr>
                <w:rFonts w:ascii="Aptos" w:hAnsi="Aptos"/>
                <w:b/>
                <w:color w:val="FFFFFF"/>
                <w:sz w:val="17"/>
              </w:rPr>
              <w:t>Dependency</w:t>
            </w:r>
          </w:p>
        </w:tc>
        <w:tc>
          <w:tcPr>
            <w:tcW w:type="dxa" w:w="3389"/>
            <w:vAlign w:val="center"/>
            <w:shd w:fill="0F6CBD"/>
          </w:tcPr>
          <w:p>
            <w:pPr>
              <w:spacing w:after="0"/>
            </w:pPr>
            <w:r/>
            <w:r>
              <w:rPr>
                <w:rFonts w:ascii="Aptos" w:hAnsi="Aptos"/>
                <w:b/>
                <w:color w:val="FFFFFF"/>
                <w:sz w:val="17"/>
              </w:rPr>
              <w:t>Required object or fields</w:t>
            </w:r>
          </w:p>
        </w:tc>
        <w:tc>
          <w:tcPr>
            <w:tcW w:type="dxa" w:w="3389"/>
            <w:vAlign w:val="center"/>
            <w:shd w:fill="0F6CBD"/>
          </w:tcPr>
          <w:p>
            <w:pPr>
              <w:spacing w:after="0"/>
            </w:pPr>
            <w:r/>
            <w:r>
              <w:rPr>
                <w:rFonts w:ascii="Aptos" w:hAnsi="Aptos"/>
                <w:b/>
                <w:color w:val="FFFFFF"/>
                <w:sz w:val="17"/>
              </w:rPr>
              <w:t>Why it is needed</w:t>
            </w:r>
          </w:p>
        </w:tc>
      </w:tr>
      <w:tr>
        <w:tc>
          <w:tcPr>
            <w:tcW w:type="dxa" w:w="3389"/>
            <w:vAlign w:val="center"/>
            <w:shd w:fill="F5F8FA"/>
          </w:tcPr>
          <w:p>
            <w:pPr>
              <w:spacing w:after="0"/>
            </w:pPr>
            <w:r/>
            <w:r>
              <w:rPr>
                <w:rFonts w:ascii="Aptos" w:hAnsi="Aptos"/>
                <w:b w:val="0"/>
                <w:sz w:val="16"/>
              </w:rPr>
              <w:t>Frozen audience</w:t>
            </w:r>
          </w:p>
        </w:tc>
        <w:tc>
          <w:tcPr>
            <w:tcW w:type="dxa" w:w="3389"/>
            <w:vAlign w:val="center"/>
            <w:shd w:fill="F5F8FA"/>
          </w:tcPr>
          <w:p>
            <w:pPr>
              <w:spacing w:after="0"/>
            </w:pPr>
            <w:r/>
            <w:r>
              <w:rPr>
                <w:rFonts w:ascii="Aptos" w:hAnsi="Aptos"/>
                <w:b w:val="0"/>
                <w:sz w:val="16"/>
              </w:rPr>
              <w:t>segment_membership / audience membership with Activate Segment ID and Activate Shopper ID</w:t>
            </w:r>
          </w:p>
        </w:tc>
        <w:tc>
          <w:tcPr>
            <w:tcW w:type="dxa" w:w="3389"/>
            <w:vAlign w:val="center"/>
            <w:shd w:fill="F5F8FA"/>
          </w:tcPr>
          <w:p>
            <w:pPr>
              <w:spacing w:after="0"/>
            </w:pPr>
            <w:r/>
            <w:r>
              <w:rPr>
                <w:rFonts w:ascii="Aptos" w:hAnsi="Aptos"/>
                <w:b w:val="0"/>
                <w:sz w:val="16"/>
              </w:rPr>
              <w:t>Descriptive denominator, audience traceability, controls and targeted-list reconciliation.</w:t>
            </w:r>
          </w:p>
        </w:tc>
      </w:tr>
      <w:tr>
        <w:tc>
          <w:tcPr>
            <w:tcW w:type="dxa" w:w="3389"/>
            <w:vAlign w:val="center"/>
            <w:shd w:fill="FFFFFF"/>
          </w:tcPr>
          <w:p>
            <w:pPr>
              <w:spacing w:after="0"/>
            </w:pPr>
            <w:r/>
            <w:r>
              <w:rPr>
                <w:rFonts w:ascii="Aptos" w:hAnsi="Aptos"/>
                <w:b w:val="0"/>
                <w:sz w:val="16"/>
              </w:rPr>
              <w:t>Audience export and return</w:t>
            </w:r>
          </w:p>
        </w:tc>
        <w:tc>
          <w:tcPr>
            <w:tcW w:type="dxa" w:w="3389"/>
            <w:vAlign w:val="center"/>
            <w:shd w:fill="FFFFFF"/>
          </w:tcPr>
          <w:p>
            <w:pPr>
              <w:spacing w:after="0"/>
            </w:pPr>
            <w:r/>
            <w:r>
              <w:rPr>
                <w:rFonts w:ascii="Aptos" w:hAnsi="Aptos"/>
                <w:b w:val="0"/>
                <w:sz w:val="16"/>
              </w:rPr>
              <w:t>export/distribution rows, partner-return rows, suppression status and timestamps</w:t>
            </w:r>
          </w:p>
        </w:tc>
        <w:tc>
          <w:tcPr>
            <w:tcW w:type="dxa" w:w="3389"/>
            <w:vAlign w:val="center"/>
            <w:shd w:fill="FFFFFF"/>
          </w:tcPr>
          <w:p>
            <w:pPr>
              <w:spacing w:after="0"/>
            </w:pPr>
            <w:r/>
            <w:r>
              <w:rPr>
                <w:rFonts w:ascii="Aptos" w:hAnsi="Aptos"/>
                <w:b w:val="0"/>
                <w:sz w:val="16"/>
              </w:rPr>
              <w:t>Distributed Audience, Audience Match Rate, return reconciliation and unexplained loss.</w:t>
            </w:r>
          </w:p>
        </w:tc>
      </w:tr>
      <w:tr>
        <w:tc>
          <w:tcPr>
            <w:tcW w:type="dxa" w:w="3389"/>
            <w:vAlign w:val="center"/>
            <w:shd w:fill="F5F8FA"/>
          </w:tcPr>
          <w:p>
            <w:pPr>
              <w:spacing w:after="0"/>
            </w:pPr>
            <w:r/>
            <w:r>
              <w:rPr>
                <w:rFonts w:ascii="Aptos" w:hAnsi="Aptos"/>
                <w:b w:val="0"/>
                <w:sz w:val="16"/>
              </w:rPr>
              <w:t>Campaign product scope</w:t>
            </w:r>
          </w:p>
        </w:tc>
        <w:tc>
          <w:tcPr>
            <w:tcW w:type="dxa" w:w="3389"/>
            <w:vAlign w:val="center"/>
            <w:shd w:fill="F5F8FA"/>
          </w:tcPr>
          <w:p>
            <w:pPr>
              <w:spacing w:after="0"/>
            </w:pPr>
            <w:r/>
            <w:r>
              <w:rPr>
                <w:rFonts w:ascii="Aptos" w:hAnsi="Aptos"/>
                <w:b w:val="0"/>
                <w:sz w:val="16"/>
              </w:rPr>
              <w:t>campaign_id, catalog_internal_id, brand_id, category_id</w:t>
            </w:r>
          </w:p>
        </w:tc>
        <w:tc>
          <w:tcPr>
            <w:tcW w:type="dxa" w:w="3389"/>
            <w:vAlign w:val="center"/>
            <w:shd w:fill="F5F8FA"/>
          </w:tcPr>
          <w:p>
            <w:pPr>
              <w:spacing w:after="0"/>
            </w:pPr>
            <w:r/>
            <w:r>
              <w:rPr>
                <w:rFonts w:ascii="Aptos" w:hAnsi="Aptos"/>
                <w:b w:val="0"/>
                <w:sz w:val="16"/>
              </w:rPr>
              <w:t>Direct, brand-halo, category-halo, new-to-brand and new-to-category measurement.</w:t>
            </w:r>
          </w:p>
        </w:tc>
      </w:tr>
      <w:tr>
        <w:tc>
          <w:tcPr>
            <w:tcW w:type="dxa" w:w="3389"/>
            <w:vAlign w:val="center"/>
            <w:shd w:fill="FFFFFF"/>
          </w:tcPr>
          <w:p>
            <w:pPr>
              <w:spacing w:after="0"/>
            </w:pPr>
            <w:r/>
            <w:r>
              <w:rPr>
                <w:rFonts w:ascii="Aptos" w:hAnsi="Aptos"/>
                <w:b w:val="0"/>
                <w:sz w:val="16"/>
              </w:rPr>
              <w:t>Flat media metadata</w:t>
            </w:r>
          </w:p>
        </w:tc>
        <w:tc>
          <w:tcPr>
            <w:tcW w:type="dxa" w:w="3389"/>
            <w:vAlign w:val="center"/>
            <w:shd w:fill="FFFFFF"/>
          </w:tcPr>
          <w:p>
            <w:pPr>
              <w:spacing w:after="0"/>
            </w:pPr>
            <w:r/>
            <w:r>
              <w:rPr>
                <w:rFonts w:ascii="Aptos" w:hAnsi="Aptos"/>
                <w:b w:val="0"/>
                <w:sz w:val="16"/>
              </w:rPr>
              <w:t>campaign_media_dimension and campaign_media_key</w:t>
            </w:r>
          </w:p>
        </w:tc>
        <w:tc>
          <w:tcPr>
            <w:tcW w:type="dxa" w:w="3389"/>
            <w:vAlign w:val="center"/>
            <w:shd w:fill="FFFFFF"/>
          </w:tcPr>
          <w:p>
            <w:pPr>
              <w:spacing w:after="0"/>
            </w:pPr>
            <w:r/>
            <w:r>
              <w:rPr>
                <w:rFonts w:ascii="Aptos" w:hAnsi="Aptos"/>
                <w:b w:val="0"/>
                <w:sz w:val="16"/>
              </w:rPr>
              <w:t>Fast reporting across campaign, ad group, line item, placement and creative.</w:t>
            </w:r>
          </w:p>
        </w:tc>
      </w:tr>
      <w:tr>
        <w:tc>
          <w:tcPr>
            <w:tcW w:type="dxa" w:w="3389"/>
            <w:vAlign w:val="center"/>
            <w:shd w:fill="F5F8FA"/>
          </w:tcPr>
          <w:p>
            <w:pPr>
              <w:spacing w:after="0"/>
            </w:pPr>
            <w:r/>
            <w:r>
              <w:rPr>
                <w:rFonts w:ascii="Aptos" w:hAnsi="Aptos"/>
                <w:b w:val="0"/>
                <w:sz w:val="16"/>
              </w:rPr>
              <w:t>Media events</w:t>
            </w:r>
          </w:p>
        </w:tc>
        <w:tc>
          <w:tcPr>
            <w:tcW w:type="dxa" w:w="3389"/>
            <w:vAlign w:val="center"/>
            <w:shd w:fill="F5F8FA"/>
          </w:tcPr>
          <w:p>
            <w:pPr>
              <w:spacing w:after="0"/>
            </w:pPr>
            <w:r/>
            <w:r>
              <w:rPr>
                <w:rFonts w:ascii="Aptos" w:hAnsi="Aptos"/>
                <w:b w:val="0"/>
                <w:sz w:val="16"/>
              </w:rPr>
              <w:t>shopper ID, campaign ID, event_type, event_ts, campaign_media_key</w:t>
            </w:r>
          </w:p>
        </w:tc>
        <w:tc>
          <w:tcPr>
            <w:tcW w:type="dxa" w:w="3389"/>
            <w:vAlign w:val="center"/>
            <w:shd w:fill="F5F8FA"/>
          </w:tcPr>
          <w:p>
            <w:pPr>
              <w:spacing w:after="0"/>
            </w:pPr>
            <w:r/>
            <w:r>
              <w:rPr>
                <w:rFonts w:ascii="Aptos" w:hAnsi="Aptos"/>
                <w:b w:val="0"/>
                <w:sz w:val="16"/>
              </w:rPr>
              <w:t>Exposure-based attribution, reach, frequency and response timing.</w:t>
            </w:r>
          </w:p>
        </w:tc>
      </w:tr>
      <w:tr>
        <w:tc>
          <w:tcPr>
            <w:tcW w:type="dxa" w:w="3389"/>
            <w:vAlign w:val="center"/>
            <w:shd w:fill="FFFFFF"/>
          </w:tcPr>
          <w:p>
            <w:pPr>
              <w:spacing w:after="0"/>
            </w:pPr>
            <w:r/>
            <w:r>
              <w:rPr>
                <w:rFonts w:ascii="Aptos" w:hAnsi="Aptos"/>
                <w:b w:val="0"/>
                <w:sz w:val="16"/>
              </w:rPr>
              <w:t>Purchase timing</w:t>
            </w:r>
          </w:p>
        </w:tc>
        <w:tc>
          <w:tcPr>
            <w:tcW w:type="dxa" w:w="3389"/>
            <w:vAlign w:val="center"/>
            <w:shd w:fill="FFFFFF"/>
          </w:tcPr>
          <w:p>
            <w:pPr>
              <w:spacing w:after="0"/>
            </w:pPr>
            <w:r/>
            <w:r>
              <w:rPr>
                <w:rFonts w:ascii="Aptos" w:hAnsi="Aptos"/>
                <w:b w:val="0"/>
                <w:sz w:val="16"/>
              </w:rPr>
              <w:t>purchase timestamp, or approved date-level policy</w:t>
            </w:r>
          </w:p>
        </w:tc>
        <w:tc>
          <w:tcPr>
            <w:tcW w:type="dxa" w:w="3389"/>
            <w:vAlign w:val="center"/>
            <w:shd w:fill="FFFFFF"/>
          </w:tcPr>
          <w:p>
            <w:pPr>
              <w:spacing w:after="0"/>
            </w:pPr>
            <w:r/>
            <w:r>
              <w:rPr>
                <w:rFonts w:ascii="Aptos" w:hAnsi="Aptos"/>
                <w:b w:val="0"/>
                <w:sz w:val="16"/>
              </w:rPr>
              <w:t>Exact event-before-purchase ordering and time-to-conversion.</w:t>
            </w:r>
          </w:p>
        </w:tc>
      </w:tr>
      <w:tr>
        <w:tc>
          <w:tcPr>
            <w:tcW w:type="dxa" w:w="3389"/>
            <w:vAlign w:val="center"/>
            <w:shd w:fill="F5F8FA"/>
          </w:tcPr>
          <w:p>
            <w:pPr>
              <w:spacing w:after="0"/>
            </w:pPr>
            <w:r/>
            <w:r>
              <w:rPr>
                <w:rFonts w:ascii="Aptos" w:hAnsi="Aptos"/>
                <w:b w:val="0"/>
                <w:sz w:val="16"/>
              </w:rPr>
              <w:t>Control assignment</w:t>
            </w:r>
          </w:p>
        </w:tc>
        <w:tc>
          <w:tcPr>
            <w:tcW w:type="dxa" w:w="3389"/>
            <w:vAlign w:val="center"/>
            <w:shd w:fill="F5F8FA"/>
          </w:tcPr>
          <w:p>
            <w:pPr>
              <w:spacing w:after="0"/>
            </w:pPr>
            <w:r/>
            <w:r>
              <w:rPr>
                <w:rFonts w:ascii="Aptos" w:hAnsi="Aptos"/>
                <w:b w:val="0"/>
                <w:sz w:val="16"/>
              </w:rPr>
              <w:t>campaign, unit ID/type, assignment group/version/time, eligibility, contamination</w:t>
            </w:r>
          </w:p>
        </w:tc>
        <w:tc>
          <w:tcPr>
            <w:tcW w:type="dxa" w:w="3389"/>
            <w:vAlign w:val="center"/>
            <w:shd w:fill="F5F8FA"/>
          </w:tcPr>
          <w:p>
            <w:pPr>
              <w:spacing w:after="0"/>
            </w:pPr>
            <w:r/>
            <w:r>
              <w:rPr>
                <w:rFonts w:ascii="Aptos" w:hAnsi="Aptos"/>
                <w:b w:val="0"/>
                <w:sz w:val="16"/>
              </w:rPr>
              <w:t>Random holdout and matched-control populations.</w:t>
            </w:r>
          </w:p>
        </w:tc>
      </w:tr>
      <w:tr>
        <w:tc>
          <w:tcPr>
            <w:tcW w:type="dxa" w:w="3389"/>
            <w:vAlign w:val="center"/>
            <w:shd w:fill="FFFFFF"/>
          </w:tcPr>
          <w:p>
            <w:pPr>
              <w:spacing w:after="0"/>
            </w:pPr>
            <w:r/>
            <w:r>
              <w:rPr>
                <w:rFonts w:ascii="Aptos" w:hAnsi="Aptos"/>
                <w:b w:val="0"/>
                <w:sz w:val="16"/>
              </w:rPr>
              <w:t>Parallel campaign register</w:t>
            </w:r>
          </w:p>
        </w:tc>
        <w:tc>
          <w:tcPr>
            <w:tcW w:type="dxa" w:w="3389"/>
            <w:vAlign w:val="center"/>
            <w:shd w:fill="FFFFFF"/>
          </w:tcPr>
          <w:p>
            <w:pPr>
              <w:spacing w:after="0"/>
            </w:pPr>
            <w:r/>
            <w:r>
              <w:rPr>
                <w:rFonts w:ascii="Aptos" w:hAnsi="Aptos"/>
                <w:b w:val="0"/>
                <w:sz w:val="16"/>
              </w:rPr>
              <w:t>campaign, brand, category, channel, dates and affected shopper list or assignment</w:t>
            </w:r>
          </w:p>
        </w:tc>
        <w:tc>
          <w:tcPr>
            <w:tcW w:type="dxa" w:w="3389"/>
            <w:vAlign w:val="center"/>
            <w:shd w:fill="FFFFFF"/>
          </w:tcPr>
          <w:p>
            <w:pPr>
              <w:spacing w:after="0"/>
            </w:pPr>
            <w:r/>
            <w:r>
              <w:rPr>
                <w:rFonts w:ascii="Aptos" w:hAnsi="Aptos"/>
                <w:b w:val="0"/>
                <w:sz w:val="16"/>
              </w:rPr>
              <w:t>Remove competing interventions from both comparison groups.</w:t>
            </w:r>
          </w:p>
        </w:tc>
      </w:tr>
      <w:tr>
        <w:tc>
          <w:tcPr>
            <w:tcW w:type="dxa" w:w="3389"/>
            <w:vAlign w:val="center"/>
            <w:shd w:fill="F5F8FA"/>
          </w:tcPr>
          <w:p>
            <w:pPr>
              <w:spacing w:after="0"/>
            </w:pPr>
            <w:r/>
            <w:r>
              <w:rPr>
                <w:rFonts w:ascii="Aptos" w:hAnsi="Aptos"/>
                <w:b w:val="0"/>
                <w:sz w:val="16"/>
              </w:rPr>
              <w:t>Behavioral features</w:t>
            </w:r>
          </w:p>
        </w:tc>
        <w:tc>
          <w:tcPr>
            <w:tcW w:type="dxa" w:w="3389"/>
            <w:vAlign w:val="center"/>
            <w:shd w:fill="F5F8FA"/>
          </w:tcPr>
          <w:p>
            <w:pPr>
              <w:spacing w:after="0"/>
            </w:pPr>
            <w:r/>
            <w:r>
              <w:rPr>
                <w:rFonts w:ascii="Aptos" w:hAnsi="Aptos"/>
                <w:b w:val="0"/>
                <w:sz w:val="16"/>
              </w:rPr>
              <w:t>52-week and pre-period brand/category/total spend, trips, recency, digital activity and profile attributes</w:t>
            </w:r>
          </w:p>
        </w:tc>
        <w:tc>
          <w:tcPr>
            <w:tcW w:type="dxa" w:w="3389"/>
            <w:vAlign w:val="center"/>
            <w:shd w:fill="F5F8FA"/>
          </w:tcPr>
          <w:p>
            <w:pPr>
              <w:spacing w:after="0"/>
            </w:pPr>
            <w:r/>
            <w:r>
              <w:rPr>
                <w:rFonts w:ascii="Aptos" w:hAnsi="Aptos"/>
                <w:b w:val="0"/>
                <w:sz w:val="16"/>
              </w:rPr>
              <w:t>Matched-control selection and balance diagnostics.</w:t>
            </w:r>
          </w:p>
        </w:tc>
      </w:tr>
      <w:tr>
        <w:tc>
          <w:tcPr>
            <w:tcW w:type="dxa" w:w="3389"/>
            <w:vAlign w:val="center"/>
            <w:shd w:fill="FFFFFF"/>
          </w:tcPr>
          <w:p>
            <w:pPr>
              <w:spacing w:after="0"/>
            </w:pPr>
            <w:r/>
            <w:r>
              <w:rPr>
                <w:rFonts w:ascii="Aptos" w:hAnsi="Aptos"/>
                <w:b w:val="0"/>
                <w:sz w:val="16"/>
              </w:rPr>
              <w:t>Quality results</w:t>
            </w:r>
          </w:p>
        </w:tc>
        <w:tc>
          <w:tcPr>
            <w:tcW w:type="dxa" w:w="3389"/>
            <w:vAlign w:val="center"/>
            <w:shd w:fill="FFFFFF"/>
          </w:tcPr>
          <w:p>
            <w:pPr>
              <w:spacing w:after="0"/>
            </w:pPr>
            <w:r/>
            <w:r>
              <w:rPr>
                <w:rFonts w:ascii="Aptos" w:hAnsi="Aptos"/>
                <w:b w:val="0"/>
                <w:sz w:val="16"/>
              </w:rPr>
              <w:t>run, source, gate, actual, threshold, status, blocking flag and next action</w:t>
            </w:r>
          </w:p>
        </w:tc>
        <w:tc>
          <w:tcPr>
            <w:tcW w:type="dxa" w:w="3389"/>
            <w:vAlign w:val="center"/>
            <w:shd w:fill="FFFFFF"/>
          </w:tcPr>
          <w:p>
            <w:pPr>
              <w:spacing w:after="0"/>
            </w:pPr>
            <w:r/>
            <w:r>
              <w:rPr>
                <w:rFonts w:ascii="Aptos" w:hAnsi="Aptos"/>
                <w:b w:val="0"/>
                <w:sz w:val="16"/>
              </w:rPr>
              <w:t>Govern causal and advanced result publication.</w:t>
            </w:r>
          </w:p>
        </w:tc>
      </w:tr>
      <w:tr>
        <w:tc>
          <w:tcPr>
            <w:tcW w:type="dxa" w:w="3389"/>
            <w:vAlign w:val="center"/>
            <w:shd w:fill="F5F8FA"/>
          </w:tcPr>
          <w:p>
            <w:pPr>
              <w:spacing w:after="0"/>
            </w:pPr>
            <w:r/>
            <w:r>
              <w:rPr>
                <w:rFonts w:ascii="Aptos" w:hAnsi="Aptos"/>
                <w:b w:val="0"/>
                <w:sz w:val="16"/>
              </w:rPr>
              <w:t>Model registry</w:t>
            </w:r>
          </w:p>
        </w:tc>
        <w:tc>
          <w:tcPr>
            <w:tcW w:type="dxa" w:w="3389"/>
            <w:vAlign w:val="center"/>
            <w:shd w:fill="F5F8FA"/>
          </w:tcPr>
          <w:p>
            <w:pPr>
              <w:spacing w:after="0"/>
            </w:pPr>
            <w:r/>
            <w:r>
              <w:rPr>
                <w:rFonts w:ascii="Aptos" w:hAnsi="Aptos"/>
                <w:b w:val="0"/>
                <w:sz w:val="16"/>
              </w:rPr>
              <w:t>model version, target, training period, owner, approved use and status</w:t>
            </w:r>
          </w:p>
        </w:tc>
        <w:tc>
          <w:tcPr>
            <w:tcW w:type="dxa" w:w="3389"/>
            <w:vAlign w:val="center"/>
            <w:shd w:fill="F5F8FA"/>
          </w:tcPr>
          <w:p>
            <w:pPr>
              <w:spacing w:after="0"/>
            </w:pPr>
            <w:r/>
            <w:r>
              <w:rPr>
                <w:rFonts w:ascii="Aptos" w:hAnsi="Aptos"/>
                <w:b w:val="0"/>
                <w:sz w:val="16"/>
              </w:rPr>
              <w:t>Govern all predictive and model-based outputs.</w:t>
            </w:r>
          </w:p>
        </w:tc>
      </w:tr>
    </w:tbl>
    <w:p>
      <w:pPr>
        <w:pStyle w:val="Heading2"/>
      </w:pPr>
      <w:r>
        <w:t>14.7 Implications for delivery and phasing</w:t>
      </w:r>
    </w:p>
    <w:p>
      <w:r>
        <w:t>The following dependencies should guide the next phasing discussion. This addendum does not itself change the roadmap commitment; it makes the dependency gates explicit.</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F6CBD"/>
          </w:tcPr>
          <w:p>
            <w:pPr>
              <w:spacing w:after="0"/>
            </w:pPr>
            <w:r/>
            <w:r>
              <w:rPr>
                <w:rFonts w:ascii="Aptos" w:hAnsi="Aptos"/>
                <w:b/>
                <w:color w:val="FFFFFF"/>
                <w:sz w:val="17"/>
              </w:rPr>
              <w:t>Delivery slice</w:t>
            </w:r>
          </w:p>
        </w:tc>
        <w:tc>
          <w:tcPr>
            <w:tcW w:type="dxa" w:w="3389"/>
            <w:vAlign w:val="center"/>
            <w:shd w:fill="0F6CBD"/>
          </w:tcPr>
          <w:p>
            <w:pPr>
              <w:spacing w:after="0"/>
            </w:pPr>
            <w:r/>
            <w:r>
              <w:rPr>
                <w:rFonts w:ascii="Aptos" w:hAnsi="Aptos"/>
                <w:b/>
                <w:color w:val="FFFFFF"/>
                <w:sz w:val="17"/>
              </w:rPr>
              <w:t>Can begin when</w:t>
            </w:r>
          </w:p>
        </w:tc>
        <w:tc>
          <w:tcPr>
            <w:tcW w:type="dxa" w:w="3389"/>
            <w:vAlign w:val="center"/>
            <w:shd w:fill="0F6CBD"/>
          </w:tcPr>
          <w:p>
            <w:pPr>
              <w:spacing w:after="0"/>
            </w:pPr>
            <w:r/>
            <w:r>
              <w:rPr>
                <w:rFonts w:ascii="Aptos" w:hAnsi="Aptos"/>
                <w:b/>
                <w:color w:val="FFFFFF"/>
                <w:sz w:val="17"/>
              </w:rPr>
              <w:t>What it unlocks</w:t>
            </w:r>
          </w:p>
        </w:tc>
      </w:tr>
      <w:tr>
        <w:tc>
          <w:tcPr>
            <w:tcW w:type="dxa" w:w="3389"/>
            <w:vAlign w:val="center"/>
            <w:shd w:fill="F5F8FA"/>
          </w:tcPr>
          <w:p>
            <w:pPr>
              <w:spacing w:after="0"/>
            </w:pPr>
            <w:r/>
            <w:r>
              <w:rPr>
                <w:rFonts w:ascii="Aptos" w:hAnsi="Aptos"/>
                <w:b w:val="0"/>
                <w:sz w:val="16"/>
              </w:rPr>
              <w:t>Foundation</w:t>
            </w:r>
          </w:p>
        </w:tc>
        <w:tc>
          <w:tcPr>
            <w:tcW w:type="dxa" w:w="3389"/>
            <w:vAlign w:val="center"/>
            <w:shd w:fill="F5F8FA"/>
          </w:tcPr>
          <w:p>
            <w:pPr>
              <w:spacing w:after="0"/>
            </w:pPr>
            <w:r/>
            <w:r>
              <w:rPr>
                <w:rFonts w:ascii="Aptos" w:hAnsi="Aptos"/>
                <w:b w:val="0"/>
                <w:sz w:val="16"/>
              </w:rPr>
              <w:t>Frozen audience, campaign/product scope, flat media metadata, TLOG joins, governed KPI result and readiness framework are available.</w:t>
            </w:r>
          </w:p>
        </w:tc>
        <w:tc>
          <w:tcPr>
            <w:tcW w:type="dxa" w:w="3389"/>
            <w:vAlign w:val="center"/>
            <w:shd w:fill="F5F8FA"/>
          </w:tcPr>
          <w:p>
            <w:pPr>
              <w:spacing w:after="0"/>
            </w:pPr>
            <w:r/>
            <w:r>
              <w:rPr>
                <w:rFonts w:ascii="Aptos" w:hAnsi="Aptos"/>
                <w:b w:val="0"/>
                <w:sz w:val="16"/>
              </w:rPr>
              <w:t>Descriptive outcomes, core media delivery where available, product-level reporting and trusted status.</w:t>
            </w:r>
          </w:p>
        </w:tc>
      </w:tr>
      <w:tr>
        <w:tc>
          <w:tcPr>
            <w:tcW w:type="dxa" w:w="3389"/>
            <w:vAlign w:val="center"/>
            <w:shd w:fill="FFFFFF"/>
          </w:tcPr>
          <w:p>
            <w:pPr>
              <w:spacing w:after="0"/>
            </w:pPr>
            <w:r/>
            <w:r>
              <w:rPr>
                <w:rFonts w:ascii="Aptos" w:hAnsi="Aptos"/>
                <w:b w:val="0"/>
                <w:sz w:val="16"/>
              </w:rPr>
              <w:t>Attribution</w:t>
            </w:r>
          </w:p>
        </w:tc>
        <w:tc>
          <w:tcPr>
            <w:tcW w:type="dxa" w:w="3389"/>
            <w:vAlign w:val="center"/>
            <w:shd w:fill="FFFFFF"/>
          </w:tcPr>
          <w:p>
            <w:pPr>
              <w:spacing w:after="0"/>
            </w:pPr>
            <w:r/>
            <w:r>
              <w:rPr>
                <w:rFonts w:ascii="Aptos" w:hAnsi="Aptos"/>
                <w:b w:val="0"/>
                <w:sz w:val="16"/>
              </w:rPr>
              <w:t>Shopper-level media events, identity resolution, purchase timing policy and attribution rules are approved.</w:t>
            </w:r>
          </w:p>
        </w:tc>
        <w:tc>
          <w:tcPr>
            <w:tcW w:type="dxa" w:w="3389"/>
            <w:vAlign w:val="center"/>
            <w:shd w:fill="FFFFFF"/>
          </w:tcPr>
          <w:p>
            <w:pPr>
              <w:spacing w:after="0"/>
            </w:pPr>
            <w:r/>
            <w:r>
              <w:rPr>
                <w:rFonts w:ascii="Aptos" w:hAnsi="Aptos"/>
                <w:b w:val="0"/>
                <w:sz w:val="16"/>
              </w:rPr>
              <w:t>Attributed buyers, revenue, units, transactions, ROAS, response timing and attributed halo.</w:t>
            </w:r>
          </w:p>
        </w:tc>
      </w:tr>
      <w:tr>
        <w:tc>
          <w:tcPr>
            <w:tcW w:type="dxa" w:w="3389"/>
            <w:vAlign w:val="center"/>
            <w:shd w:fill="F5F8FA"/>
          </w:tcPr>
          <w:p>
            <w:pPr>
              <w:spacing w:after="0"/>
            </w:pPr>
            <w:r/>
            <w:r>
              <w:rPr>
                <w:rFonts w:ascii="Aptos" w:hAnsi="Aptos"/>
                <w:b w:val="0"/>
                <w:sz w:val="16"/>
              </w:rPr>
              <w:t>Aggregate / walled garden</w:t>
            </w:r>
          </w:p>
        </w:tc>
        <w:tc>
          <w:tcPr>
            <w:tcW w:type="dxa" w:w="3389"/>
            <w:vAlign w:val="center"/>
            <w:shd w:fill="F5F8FA"/>
          </w:tcPr>
          <w:p>
            <w:pPr>
              <w:spacing w:after="0"/>
            </w:pPr>
            <w:r/>
            <w:r>
              <w:rPr>
                <w:rFonts w:ascii="Aptos" w:hAnsi="Aptos"/>
                <w:b w:val="0"/>
                <w:sz w:val="16"/>
              </w:rPr>
              <w:t>Partner aggregate data contract and result-component decomposition are operational.</w:t>
            </w:r>
          </w:p>
        </w:tc>
        <w:tc>
          <w:tcPr>
            <w:tcW w:type="dxa" w:w="3389"/>
            <w:vAlign w:val="center"/>
            <w:shd w:fill="F5F8FA"/>
          </w:tcPr>
          <w:p>
            <w:pPr>
              <w:spacing w:after="0"/>
            </w:pPr>
            <w:r/>
            <w:r>
              <w:rPr>
                <w:rFonts w:ascii="Aptos" w:hAnsi="Aptos"/>
                <w:b w:val="0"/>
                <w:sz w:val="16"/>
              </w:rPr>
              <w:t>Walled-garden delivery and partner-reported outcomes without false shopper joins.</w:t>
            </w:r>
          </w:p>
        </w:tc>
      </w:tr>
      <w:tr>
        <w:tc>
          <w:tcPr>
            <w:tcW w:type="dxa" w:w="3389"/>
            <w:vAlign w:val="center"/>
            <w:shd w:fill="FFFFFF"/>
          </w:tcPr>
          <w:p>
            <w:pPr>
              <w:spacing w:after="0"/>
            </w:pPr>
            <w:r/>
            <w:r>
              <w:rPr>
                <w:rFonts w:ascii="Aptos" w:hAnsi="Aptos"/>
                <w:b w:val="0"/>
                <w:sz w:val="16"/>
              </w:rPr>
              <w:t>Descriptive halo</w:t>
            </w:r>
          </w:p>
        </w:tc>
        <w:tc>
          <w:tcPr>
            <w:tcW w:type="dxa" w:w="3389"/>
            <w:vAlign w:val="center"/>
            <w:shd w:fill="FFFFFF"/>
          </w:tcPr>
          <w:p>
            <w:pPr>
              <w:spacing w:after="0"/>
            </w:pPr>
            <w:r/>
            <w:r>
              <w:rPr>
                <w:rFonts w:ascii="Aptos" w:hAnsi="Aptos"/>
                <w:b w:val="0"/>
                <w:sz w:val="16"/>
              </w:rPr>
              <w:t>Campaign product/brand/category scope and product hierarchy mapping are complete.</w:t>
            </w:r>
          </w:p>
        </w:tc>
        <w:tc>
          <w:tcPr>
            <w:tcW w:type="dxa" w:w="3389"/>
            <w:vAlign w:val="center"/>
            <w:shd w:fill="FFFFFF"/>
          </w:tcPr>
          <w:p>
            <w:pPr>
              <w:spacing w:after="0"/>
            </w:pPr>
            <w:r/>
            <w:r>
              <w:rPr>
                <w:rFonts w:ascii="Aptos" w:hAnsi="Aptos"/>
                <w:b w:val="0"/>
                <w:sz w:val="16"/>
              </w:rPr>
              <w:t>Direct, brand-halo and category-halo observed outcomes.</w:t>
            </w:r>
          </w:p>
        </w:tc>
      </w:tr>
      <w:tr>
        <w:tc>
          <w:tcPr>
            <w:tcW w:type="dxa" w:w="3389"/>
            <w:vAlign w:val="center"/>
            <w:shd w:fill="F5F8FA"/>
          </w:tcPr>
          <w:p>
            <w:pPr>
              <w:spacing w:after="0"/>
            </w:pPr>
            <w:r/>
            <w:r>
              <w:rPr>
                <w:rFonts w:ascii="Aptos" w:hAnsi="Aptos"/>
                <w:b w:val="0"/>
                <w:sz w:val="16"/>
              </w:rPr>
              <w:t>Causal pilot</w:t>
            </w:r>
          </w:p>
        </w:tc>
        <w:tc>
          <w:tcPr>
            <w:tcW w:type="dxa" w:w="3389"/>
            <w:vAlign w:val="center"/>
            <w:shd w:fill="F5F8FA"/>
          </w:tcPr>
          <w:p>
            <w:pPr>
              <w:spacing w:after="0"/>
            </w:pPr>
            <w:r/>
            <w:r>
              <w:rPr>
                <w:rFonts w:ascii="Aptos" w:hAnsi="Aptos"/>
                <w:b w:val="0"/>
                <w:sz w:val="16"/>
              </w:rPr>
              <w:t>Control assignment, targeted-list return, parallel-campaign register, behavioral features, quality gates and Data Science implementation are ready.</w:t>
            </w:r>
          </w:p>
        </w:tc>
        <w:tc>
          <w:tcPr>
            <w:tcW w:type="dxa" w:w="3389"/>
            <w:vAlign w:val="center"/>
            <w:shd w:fill="F5F8FA"/>
          </w:tcPr>
          <w:p>
            <w:pPr>
              <w:spacing w:after="0"/>
            </w:pPr>
            <w:r/>
            <w:r>
              <w:rPr>
                <w:rFonts w:ascii="Aptos" w:hAnsi="Aptos"/>
                <w:b w:val="0"/>
                <w:sz w:val="16"/>
              </w:rPr>
              <w:t>Measured aggregate incrementality and/or modelled shopper-level incrementality.</w:t>
            </w:r>
          </w:p>
        </w:tc>
      </w:tr>
      <w:tr>
        <w:tc>
          <w:tcPr>
            <w:tcW w:type="dxa" w:w="3389"/>
            <w:vAlign w:val="center"/>
            <w:shd w:fill="FFFFFF"/>
          </w:tcPr>
          <w:p>
            <w:pPr>
              <w:spacing w:after="0"/>
            </w:pPr>
            <w:r/>
            <w:r>
              <w:rPr>
                <w:rFonts w:ascii="Aptos" w:hAnsi="Aptos"/>
                <w:b w:val="0"/>
                <w:sz w:val="16"/>
              </w:rPr>
              <w:t>Consequence models</w:t>
            </w:r>
          </w:p>
        </w:tc>
        <w:tc>
          <w:tcPr>
            <w:tcW w:type="dxa" w:w="3389"/>
            <w:vAlign w:val="center"/>
            <w:shd w:fill="FFFFFF"/>
          </w:tcPr>
          <w:p>
            <w:pPr>
              <w:spacing w:after="0"/>
            </w:pPr>
            <w:r/>
            <w:r>
              <w:rPr>
                <w:rFonts w:ascii="Aptos" w:hAnsi="Aptos"/>
                <w:b w:val="0"/>
                <w:sz w:val="16"/>
              </w:rPr>
              <w:t>Approved causal halo plus substitute, timing and persistence methodologies exist.</w:t>
            </w:r>
          </w:p>
        </w:tc>
        <w:tc>
          <w:tcPr>
            <w:tcW w:type="dxa" w:w="3389"/>
            <w:vAlign w:val="center"/>
            <w:shd w:fill="FFFFFF"/>
          </w:tcPr>
          <w:p>
            <w:pPr>
              <w:spacing w:after="0"/>
            </w:pPr>
            <w:r/>
            <w:r>
              <w:rPr>
                <w:rFonts w:ascii="Aptos" w:hAnsi="Aptos"/>
                <w:b w:val="0"/>
                <w:sz w:val="16"/>
              </w:rPr>
              <w:t>Cannibalization, pull-forward, trade-up/down and net category/portfolio effect.</w:t>
            </w:r>
          </w:p>
        </w:tc>
      </w:tr>
      <w:tr>
        <w:tc>
          <w:tcPr>
            <w:tcW w:type="dxa" w:w="3389"/>
            <w:vAlign w:val="center"/>
            <w:shd w:fill="F5F8FA"/>
          </w:tcPr>
          <w:p>
            <w:pPr>
              <w:spacing w:after="0"/>
            </w:pPr>
            <w:r/>
            <w:r>
              <w:rPr>
                <w:rFonts w:ascii="Aptos" w:hAnsi="Aptos"/>
                <w:b w:val="0"/>
                <w:sz w:val="16"/>
              </w:rPr>
              <w:t>Predictive layer</w:t>
            </w:r>
          </w:p>
        </w:tc>
        <w:tc>
          <w:tcPr>
            <w:tcW w:type="dxa" w:w="3389"/>
            <w:vAlign w:val="center"/>
            <w:shd w:fill="F5F8FA"/>
          </w:tcPr>
          <w:p>
            <w:pPr>
              <w:spacing w:after="0"/>
            </w:pPr>
            <w:r/>
            <w:r>
              <w:rPr>
                <w:rFonts w:ascii="Aptos" w:hAnsi="Aptos"/>
                <w:b w:val="0"/>
                <w:sz w:val="16"/>
              </w:rPr>
              <w:t>Sufficient governed historical outcomes, model registry, validation and product-use approval exist.</w:t>
            </w:r>
          </w:p>
        </w:tc>
        <w:tc>
          <w:tcPr>
            <w:tcW w:type="dxa" w:w="3389"/>
            <w:vAlign w:val="center"/>
            <w:shd w:fill="F5F8FA"/>
          </w:tcPr>
          <w:p>
            <w:pPr>
              <w:spacing w:after="0"/>
            </w:pPr>
            <w:r/>
            <w:r>
              <w:rPr>
                <w:rFonts w:ascii="Aptos" w:hAnsi="Aptos"/>
                <w:b w:val="0"/>
                <w:sz w:val="16"/>
              </w:rPr>
              <w:t>Forecasts, uplift scores, channel recommendations and predicted CLV.</w:t>
            </w:r>
          </w:p>
        </w:tc>
      </w:tr>
    </w:tbl>
    <w:p>
      <w:pPr>
        <w:pStyle w:val="Heading2"/>
      </w:pPr>
      <w:r>
        <w:t>14.8 Decisions that must be closed before phased commitment</w:t>
      </w:r>
    </w:p>
    <w:p>
      <w:pPr>
        <w:pStyle w:val="ListBullet"/>
      </w:pPr>
      <w:r>
        <w:t>Confirm whether Brand ID and Category ID will always be returned with campaign product scope or derived from the Activate product hierarchy when absent.</w:t>
      </w:r>
    </w:p>
    <w:p>
      <w:pPr>
        <w:pStyle w:val="ListBullet"/>
      </w:pPr>
      <w:r>
        <w:t>Approve the precedence and mutual-exclusion rules for DIRECT, BRAND_HALO, CATEGORY_HALO, CROSS_CATEGORY_HALO and UNRELATED.</w:t>
      </w:r>
    </w:p>
    <w:p>
      <w:pPr>
        <w:pStyle w:val="ListBullet"/>
      </w:pPr>
      <w:r>
        <w:t>Confirm the purchase timestamp source or the date-level fallback for same-day attribution.</w:t>
      </w:r>
    </w:p>
    <w:p>
      <w:pPr>
        <w:pStyle w:val="ListBullet"/>
      </w:pPr>
      <w:r>
        <w:t>Confirm aggregate-channel control protection with each partner, including audience expansion, lookalikes and exclusion-list behavior.</w:t>
      </w:r>
    </w:p>
    <w:p>
      <w:pPr>
        <w:pStyle w:val="ListBullet"/>
      </w:pPr>
      <w:r>
        <w:t>Confirm what the shopper-level returned list means: targeted, served, or confirmed exposed.</w:t>
      </w:r>
    </w:p>
    <w:p>
      <w:pPr>
        <w:pStyle w:val="ListBullet"/>
      </w:pPr>
      <w:r>
        <w:t>Approve the matching variables, exact-match fields, control ratio, caliper, seed, balance thresholds, negative-control scope and extrapolation policy.</w:t>
      </w:r>
    </w:p>
    <w:p>
      <w:pPr>
        <w:pStyle w:val="ListBullet"/>
      </w:pPr>
      <w:r>
        <w:t>Confirm parallel-campaign data availability and the default removal policy.</w:t>
      </w:r>
    </w:p>
    <w:p>
      <w:pPr>
        <w:pStyle w:val="ListBullet"/>
      </w:pPr>
      <w:r>
        <w:t>Confirm which causal path is piloted first and whether control foundations are built before causal publication.</w:t>
      </w:r>
    </w:p>
    <w:p>
      <w:pPr>
        <w:pStyle w:val="ListBullet"/>
      </w:pPr>
      <w:r>
        <w:t>Confirm ownership of model development, validation, monitoring and retirement for consequence and predictive models.</w:t>
      </w:r>
    </w:p>
    <w:p>
      <w:pPr>
        <w:pStyle w:val="ListBullet"/>
      </w:pPr>
      <w:r>
        <w:t>Confirm which advanced features are Phase 2/3 commitments versus structurally supported future capabilities.</w:t>
      </w:r>
    </w:p>
    <w:sectPr w:rsidR="00FC693F" w:rsidRPr="0006063C" w:rsidSect="00034616">
      <w:footerReference w:type="default" r:id="rId9"/>
      <w:head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product source of truth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Activate Retail Media Product Bible | v1.8 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1118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8B9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879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8B9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D59F81990170409B1B405EF84D5926" ma:contentTypeVersion="9" ma:contentTypeDescription="Create a new document." ma:contentTypeScope="" ma:versionID="a671a3a4766d0f3d0d5ab958a2356873">
  <xsd:schema xmlns:xsd="http://www.w3.org/2001/XMLSchema" xmlns:xs="http://www.w3.org/2001/XMLSchema" xmlns:p="http://schemas.microsoft.com/office/2006/metadata/properties" xmlns:ns2="c6aa8009-f86b-4860-9d52-461b6bf44c4a" xmlns:ns3="5ce7b857-6a54-439c-90d0-b57d9b24aa88" targetNamespace="http://schemas.microsoft.com/office/2006/metadata/properties" ma:root="true" ma:fieldsID="037d98f7adaf48ccbd986393ced03162" ns2:_="" ns3:_="">
    <xsd:import namespace="c6aa8009-f86b-4860-9d52-461b6bf44c4a"/>
    <xsd:import namespace="5ce7b857-6a54-439c-90d0-b57d9b24aa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a8009-f86b-4860-9d52-461b6bf44c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f4780-c71a-4417-85db-0344dc61001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7b857-6a54-439c-90d0-b57d9b24aa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140fd1a-acc8-4e32-91a6-cf9eab40fa88}" ma:internalName="TaxCatchAll" ma:showField="CatchAllData" ma:web="5ce7b857-6a54-439c-90d0-b57d9b24aa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ce7b857-6a54-439c-90d0-b57d9b24aa88" xsi:nil="true"/>
    <lcf76f155ced4ddcb4097134ff3c332f xmlns="c6aa8009-f86b-4860-9d52-461b6bf44c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802644D-6D49-40D3-ACCC-A0024223680A}"/>
</file>

<file path=customXml/itemProps3.xml><?xml version="1.0" encoding="utf-8"?>
<ds:datastoreItem xmlns:ds="http://schemas.openxmlformats.org/officeDocument/2006/customXml" ds:itemID="{0CE9A26F-D2DA-4130-B63A-D0310419D872}"/>
</file>

<file path=customXml/itemProps4.xml><?xml version="1.0" encoding="utf-8"?>
<ds:datastoreItem xmlns:ds="http://schemas.openxmlformats.org/officeDocument/2006/customXml" ds:itemID="{8794B736-BF8C-4CD4-9CF9-E89C1ED205B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Activate Retail Media Product Bible v1.9 - Methodology and Model Dependencies</dc:title>
  <dc:subject>Reviewed product bible with halo, control group, model dependency and phasing prerequisites</dc:subject>
  <dc:creator>Mohammad Belghiszadeh</dc:creator>
  <keywords/>
  <dc:description>generated by python-docx</dc:description>
  <lastModifiedBy>Mohammad Belghiszadeh</lastModifiedBy>
  <revision>1</revision>
  <dcterms:created xsi:type="dcterms:W3CDTF">2026-09-29T04:11:16.7657117Z</dcterms:created>
  <dcterms:modified xsi:type="dcterms:W3CDTF">2026-09-29T04:11:16.7657117Z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0x010100B1D59F81990170409B1B405EF84D5926</vt:lpwstr>
  </property>
</Properties>
</file>