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GWO SEVO VoiceCast</w:t>
      </w:r>
    </w:p>
    <w:p>
      <w:r>
        <w:t>Full Application Expansion &amp; Phased Development Specification</w:t>
      </w:r>
    </w:p>
    <w:p>
      <w:r>
        <w:t>Version 1.0  |  23 October 2026  |  Product and engineering planning</w:t>
      </w:r>
    </w:p>
    <w:p>
      <w:r>
        <w:t>Purpose: evolve the existing Laravel / VitalPBX voice broadcasting system into a secure, client-facing commercial platform while preserving all existing audio, campaign and IVR approval rules.</w:t>
      </w:r>
    </w:p>
    <w:p>
      <w:pPr>
        <w:pStyle w:val="Heading1"/>
      </w:pPr>
      <w:r>
        <w:t>Executive summary</w:t>
      </w:r>
    </w:p>
    <w:p>
      <w:r>
        <w:t>The current platform already includes contact groups and imports, audio review, one-way and interactive campaigns, execution controls, VitalPBX integration, reporting, operational telemetry, audit records and role-based access. Client registration, a client-facing interface, wallet/billing and payment integration are documented as planned rather than implemented. This specification separates existing capabilities from proposed development, identifies delivery dependencies, and defines acceptance criteria for each phase.</w:t>
      </w:r>
    </w:p>
    <w:p>
      <w:pPr>
        <w:pStyle w:val="Heading1"/>
      </w:pPr>
      <w:r>
        <w:t>1. Scope and non-negotiable rules</w:t>
      </w:r>
    </w:p>
    <w:p>
      <w:pPr>
        <w:pStyle w:val="ListBullet"/>
      </w:pPr>
      <w:r>
        <w:t>Preserve the existing approval flow: uploaded audio is Pending; an authorized reviewer approves or rejects with a reason; rejected recordings may be resubmitted; approved recordings make linked draft campaigns Ready. Clients cannot self-approve.</w:t>
      </w:r>
    </w:p>
    <w:p>
      <w:pPr>
        <w:pStyle w:val="ListBullet"/>
      </w:pPr>
      <w:r>
        <w:t>Preserve current campaign and IVR reviews, role permissions, DND/suppression, calling windows, verified capacity, frozen launch snapshots, and emergency-stop controls.</w:t>
      </w:r>
    </w:p>
    <w:p>
      <w:pPr>
        <w:pStyle w:val="ListBullet"/>
      </w:pPr>
      <w:r>
        <w:t>Use the existing Laravel application and campaign execution engine. The client portal is a role-scoped experience, not a duplicate dialing or approval engine.</w:t>
      </w:r>
    </w:p>
    <w:p>
      <w:pPr>
        <w:pStyle w:val="ListBullet"/>
      </w:pPr>
      <w:r>
        <w:t>Do not enable live dialing solely because a campaign is Ready or Running; technical admission, media health and verified capacity remain independent gates.</w:t>
      </w:r>
    </w:p>
    <w:p>
      <w:pPr>
        <w:pStyle w:val="ListBullet"/>
      </w:pPr>
      <w:r>
        <w:t>All future features are proposals unless marked existing. Financial and commercial policy decisions are listed explicitly as open decisions.</w:t>
      </w:r>
    </w:p>
    <w:p>
      <w:pPr>
        <w:pStyle w:val="Heading1"/>
      </w:pPr>
      <w:r>
        <w:t>2. Current-state capability baseline</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Module</w:t>
            </w:r>
          </w:p>
        </w:tc>
        <w:tc>
          <w:tcPr>
            <w:tcW w:type="dxa" w:w="3283"/>
            <w:vAlign w:val="center"/>
          </w:tcPr>
          <w:p>
            <w:r>
              <w:t>Existing capabilities</w:t>
            </w:r>
          </w:p>
        </w:tc>
        <w:tc>
          <w:tcPr>
            <w:tcW w:type="dxa" w:w="3283"/>
            <w:vAlign w:val="center"/>
          </w:tcPr>
          <w:p>
            <w:r>
              <w:t>Gap / extension</w:t>
            </w:r>
          </w:p>
        </w:tc>
      </w:tr>
      <w:tr>
        <w:tc>
          <w:tcPr>
            <w:tcW w:type="dxa" w:w="3283"/>
            <w:vAlign w:val="center"/>
          </w:tcPr>
          <w:p>
            <w:r>
              <w:t>Contacts</w:t>
            </w:r>
          </w:p>
        </w:tc>
        <w:tc>
          <w:tcPr>
            <w:tcW w:type="dxa" w:w="3283"/>
            <w:vAlign w:val="center"/>
          </w:tcPr>
          <w:p>
            <w:r>
              <w:t>Directory, groups, ownership, CSV/XLS/XLSX imports, deduplication, DND, optional consent</w:t>
            </w:r>
          </w:p>
        </w:tc>
        <w:tc>
          <w:tcPr>
            <w:tcW w:type="dxa" w:w="3283"/>
            <w:vAlign w:val="center"/>
          </w:tcPr>
          <w:p>
            <w:r>
              <w:t>Client-specific access, tags/custom fields, stronger consent governance</w:t>
            </w:r>
          </w:p>
        </w:tc>
      </w:tr>
      <w:tr>
        <w:tc>
          <w:tcPr>
            <w:tcW w:type="dxa" w:w="3283"/>
            <w:vAlign w:val="center"/>
          </w:tcPr>
          <w:p>
            <w:r>
              <w:t>Audio</w:t>
            </w:r>
          </w:p>
        </w:tc>
        <w:tc>
          <w:tcPr>
            <w:tcW w:type="dxa" w:w="3283"/>
            <w:vAlign w:val="center"/>
          </w:tcPr>
          <w:p>
            <w:r>
              <w:t>Private WAV storage, preview, checksum, Pending/Approved/Rejected, resubmission</w:t>
            </w:r>
          </w:p>
        </w:tc>
        <w:tc>
          <w:tcPr>
            <w:tcW w:type="dxa" w:w="3283"/>
            <w:vAlign w:val="center"/>
          </w:tcPr>
          <w:p>
            <w:r>
              <w:t>Waveform, audio diagnostics, playback preflight</w:t>
            </w:r>
          </w:p>
        </w:tc>
      </w:tr>
      <w:tr>
        <w:tc>
          <w:tcPr>
            <w:tcW w:type="dxa" w:w="3283"/>
            <w:vAlign w:val="center"/>
          </w:tcPr>
          <w:p>
            <w:r>
              <w:t>Campaigns</w:t>
            </w:r>
          </w:p>
        </w:tc>
        <w:tc>
          <w:tcPr>
            <w:tcW w:type="dxa" w:w="3283"/>
            <w:vAlign w:val="center"/>
          </w:tcPr>
          <w:p>
            <w:r>
              <w:t>One-way/IVR, schedules, launch snapshots, retries, pause/resume/cancel</w:t>
            </w:r>
          </w:p>
        </w:tc>
        <w:tc>
          <w:tcPr>
            <w:tcW w:type="dxa" w:w="3283"/>
            <w:vAlign w:val="center"/>
          </w:tcPr>
          <w:p>
            <w:r>
              <w:t>Cost estimate, client UX, recurring schedules, detailed retry options</w:t>
            </w:r>
          </w:p>
        </w:tc>
      </w:tr>
      <w:tr>
        <w:tc>
          <w:tcPr>
            <w:tcW w:type="dxa" w:w="3283"/>
            <w:vAlign w:val="center"/>
          </w:tcPr>
          <w:p>
            <w:r>
              <w:t>Telephony</w:t>
            </w:r>
          </w:p>
        </w:tc>
        <w:tc>
          <w:tcPr>
            <w:tcW w:type="dxa" w:w="3283"/>
            <w:vAlign w:val="center"/>
          </w:tcPr>
          <w:p>
            <w:r>
              <w:t>AMI gateway, one configured trunk, capacity admission, protected HTTP media</w:t>
            </w:r>
          </w:p>
        </w:tc>
        <w:tc>
          <w:tcPr>
            <w:tcW w:type="dxa" w:w="3283"/>
            <w:vAlign w:val="center"/>
          </w:tcPr>
          <w:p>
            <w:r>
              <w:t>End-to-end audio test, cache health, resilient observability</w:t>
            </w:r>
          </w:p>
        </w:tc>
      </w:tr>
      <w:tr>
        <w:tc>
          <w:tcPr>
            <w:tcW w:type="dxa" w:w="3283"/>
            <w:vAlign w:val="center"/>
          </w:tcPr>
          <w:p>
            <w:r>
              <w:t>Operations</w:t>
            </w:r>
          </w:p>
        </w:tc>
        <w:tc>
          <w:tcPr>
            <w:tcW w:type="dxa" w:w="3283"/>
            <w:vAlign w:val="center"/>
          </w:tcPr>
          <w:p>
            <w:r>
              <w:t>Live attempts, dashboard, reports, audit, wallboard, health</w:t>
            </w:r>
          </w:p>
        </w:tc>
        <w:tc>
          <w:tcPr>
            <w:tcW w:type="dxa" w:w="3283"/>
            <w:vAlign w:val="center"/>
          </w:tcPr>
          <w:p>
            <w:r>
              <w:t>Client reporting, exports, alerts, billing reconciliation</w:t>
            </w:r>
          </w:p>
        </w:tc>
      </w:tr>
      <w:tr>
        <w:tc>
          <w:tcPr>
            <w:tcW w:type="dxa" w:w="3283"/>
            <w:vAlign w:val="center"/>
          </w:tcPr>
          <w:p>
            <w:r>
              <w:t>Access</w:t>
            </w:r>
          </w:p>
        </w:tc>
        <w:tc>
          <w:tcPr>
            <w:tcW w:type="dxa" w:w="3283"/>
            <w:vAlign w:val="center"/>
          </w:tcPr>
          <w:p>
            <w:r>
              <w:t>Internal roles and ownership</w:t>
            </w:r>
          </w:p>
        </w:tc>
        <w:tc>
          <w:tcPr>
            <w:tcW w:type="dxa" w:w="3283"/>
            <w:vAlign w:val="center"/>
          </w:tcPr>
          <w:p>
            <w:r>
              <w:t>Client accounts and strict client isolation</w:t>
            </w:r>
          </w:p>
        </w:tc>
      </w:tr>
    </w:tbl>
    <w:p>
      <w:pPr>
        <w:pStyle w:val="Heading1"/>
      </w:pPr>
      <w:r>
        <w:t>3. Target platform architecture</w:t>
      </w:r>
    </w:p>
    <w:p>
      <w:r>
        <w:t>Web: Laravel 12 + Blade/Livewire and existing permissions; data: existing MariaDB schema extended by migrations; queues and scheduling: Redis/Horizon and Laravel scheduler; telephony: existing AMI gateway + VitalPBX/Asterisk. Preserve application-hosted protected WAV playback with a controlled local-PBX fallback where required. Payment gateway integration remains a separate adapter pending verified API documentation.</w:t>
      </w:r>
    </w:p>
    <w:p>
      <w:r>
        <w:t>Introduce client_account_id (or equivalent scoped account identifier) on client-owned records with policy and query-level enforcement. Separate internal administrator and client navigation while sharing contact, audio, campaign and billing services. Financial records must use an append-only ledger and database transactions; call events must be reconciled against PBX evidence.</w:t>
      </w:r>
    </w:p>
    <w:p>
      <w:pPr>
        <w:pStyle w:val="Heading1"/>
      </w:pPr>
      <w:r>
        <w:t>4. Approval flow — preserve unchanged</w:t>
      </w:r>
    </w:p>
    <w:p>
      <w:r>
        <w:t>Upload recording → Pending review → authorized internal Approver reviews → Approved (linked draft campaigns become Ready) OR Rejected with reason (resubmission permitted) → existing launch checks → Start. The client portal can show status and rejection reason, but may not approve, override or circumvent review. Approved IVR versions retain their current review and deployment checks. All decisions remain auditable.</w:t>
      </w:r>
    </w:p>
    <w:p>
      <w:pPr>
        <w:pStyle w:val="Heading1"/>
      </w:pPr>
      <w:r>
        <w:t>5. Functional module specifications</w:t>
      </w:r>
    </w:p>
    <w:p>
      <w:pPr>
        <w:pStyle w:val="Heading2"/>
      </w:pPr>
      <w:r>
        <w:t>5.1 Client accounts and onboarding</w:t>
      </w:r>
    </w:p>
    <w:p>
      <w:r>
        <w:t>Status / target: Planned / Phase 2</w:t>
      </w:r>
    </w:p>
    <w:p>
      <w:pPr>
        <w:pStyle w:val="ListBullet"/>
      </w:pPr>
      <w:r>
        <w:t>Self-registration with verification of either email by email OTP or phone by SMS OTP; one verified identifier suffices at registration.</w:t>
      </w:r>
    </w:p>
    <w:p>
      <w:pPr>
        <w:pStyle w:val="ListBullet"/>
      </w:pPr>
      <w:r>
        <w:t>Create strong password after successful OTP; subsequent login by email or phone plus password, without routine OTP.</w:t>
      </w:r>
    </w:p>
    <w:p>
      <w:pPr>
        <w:pStyle w:val="ListBullet"/>
      </w:pPr>
      <w:r>
        <w:t>Password reset, email/phone change verification, session revocation, login rate limiting and lockout monitoring.</w:t>
      </w:r>
    </w:p>
    <w:p>
      <w:pPr>
        <w:pStyle w:val="ListBullet"/>
      </w:pPr>
      <w:r>
        <w:t>Admin suspend/reactivate client accounts; prevent suspended accounts from creating or starting campaigns.</w:t>
      </w:r>
    </w:p>
    <w:p>
      <w:pPr>
        <w:pStyle w:val="ListBullet"/>
      </w:pPr>
      <w:r>
        <w:t>Client profile, business details, notification preferences and authorized client users if business accounts are enabled.</w:t>
      </w:r>
    </w:p>
    <w:p>
      <w:r>
        <w:t>Acceptance criteria: Duplicate email/phone blocked; OTP expires, is rate-limited and single-use; suspended account cannot access client workflows; client A cannot see client B data.</w:t>
      </w:r>
    </w:p>
    <w:p>
      <w:pPr>
        <w:pStyle w:val="Heading2"/>
      </w:pPr>
      <w:r>
        <w:t>5.2 Client portal and permissions</w:t>
      </w:r>
    </w:p>
    <w:p>
      <w:r>
        <w:t>Status / target: Planned / Phase 2</w:t>
      </w:r>
    </w:p>
    <w:p>
      <w:pPr>
        <w:pStyle w:val="ListBullet"/>
      </w:pPr>
      <w:r>
        <w:t>Client dashboard with credit, campaigns, recent call outcomes and pending audio review.</w:t>
      </w:r>
    </w:p>
    <w:p>
      <w:pPr>
        <w:pStyle w:val="ListBullet"/>
      </w:pPr>
      <w:r>
        <w:t>Self-service groups, contacts, imports, recordings, campaign drafts, scheduling and reports using existing services.</w:t>
      </w:r>
    </w:p>
    <w:p>
      <w:pPr>
        <w:pStyle w:val="ListBullet"/>
      </w:pPr>
      <w:r>
        <w:t>Hide caller ID selection and override; apply administrator-configured outbound identity.</w:t>
      </w:r>
    </w:p>
    <w:p>
      <w:pPr>
        <w:pStyle w:val="ListBullet"/>
      </w:pPr>
      <w:r>
        <w:t>Scope every record, media URL, report, export, job and API action to the authenticated client.</w:t>
      </w:r>
    </w:p>
    <w:p>
      <w:pPr>
        <w:pStyle w:val="ListBullet"/>
      </w:pPr>
      <w:r>
        <w:t>Expose approval status but no approval action; enforce checks server-side, not only in the UI.</w:t>
      </w:r>
    </w:p>
    <w:p>
      <w:r>
        <w:t>Acceptance criteria: Cross-client ID enumeration returns denial; client cannot change caller ID; client campaign remains blocked before audio approval.</w:t>
      </w:r>
    </w:p>
    <w:p>
      <w:pPr>
        <w:pStyle w:val="Heading2"/>
      </w:pPr>
      <w:r>
        <w:t>5.3 Contact management enhancements</w:t>
      </w:r>
    </w:p>
    <w:p>
      <w:r>
        <w:t>Status / target: Existing / Phase 4</w:t>
      </w:r>
    </w:p>
    <w:p>
      <w:pPr>
        <w:pStyle w:val="ListBullet"/>
      </w:pPr>
      <w:r>
        <w:t>Custom tags and optional fields; import templates, validation summary and source attribution.</w:t>
      </w:r>
    </w:p>
    <w:p>
      <w:pPr>
        <w:pStyle w:val="ListBullet"/>
      </w:pPr>
      <w:r>
        <w:t>Deduplication review and controlled merge without losing consent or suppression history.</w:t>
      </w:r>
    </w:p>
    <w:p>
      <w:pPr>
        <w:pStyle w:val="ListBullet"/>
      </w:pPr>
      <w:r>
        <w:t>Consent provenance, purpose and withdrawal handling; DND checked again immediately before dialing.</w:t>
      </w:r>
    </w:p>
    <w:p>
      <w:pPr>
        <w:pStyle w:val="ListBullet"/>
      </w:pPr>
      <w:r>
        <w:t>Bulk opt-out import and retention/export controls.</w:t>
      </w:r>
    </w:p>
    <w:p>
      <w:r>
        <w:t>Acceptance criteria: Imports cannot unsuppress contacts; duplicates do not create repeated calls within a frozen campaign audience.</w:t>
      </w:r>
    </w:p>
    <w:p>
      <w:pPr>
        <w:pStyle w:val="Heading2"/>
      </w:pPr>
      <w:r>
        <w:t>5.4 Audio library and playback assurance</w:t>
      </w:r>
    </w:p>
    <w:p>
      <w:r>
        <w:t>Status / target: Existing / Phase 1 + 4</w:t>
      </w:r>
    </w:p>
    <w:p>
      <w:pPr>
        <w:pStyle w:val="ListBullet"/>
      </w:pPr>
      <w:r>
        <w:t>Retain review and resubmission unchanged; add waveform, duration and loudness/format diagnostics.</w:t>
      </w:r>
    </w:p>
    <w:p>
      <w:pPr>
        <w:pStyle w:val="ListBullet"/>
      </w:pPr>
      <w:r>
        <w:t>Preflight approved WAV exists, checksum matches, endpoint is reachable, PBX media-cache path writable and codec supported.</w:t>
      </w:r>
    </w:p>
    <w:p>
      <w:pPr>
        <w:pStyle w:val="ListBullet"/>
      </w:pPr>
      <w:r>
        <w:t>Allowlist-only single-recipient test call with explicit operator confirmation, no external bulk dispatch.</w:t>
      </w:r>
    </w:p>
    <w:p>
      <w:pPr>
        <w:pStyle w:val="ListBullet"/>
      </w:pPr>
      <w:r>
        <w:t>Store playback result separately from answered status; alarm on repeated media failures.</w:t>
      </w:r>
    </w:p>
    <w:p>
      <w:pPr>
        <w:pStyle w:val="ListBullet"/>
      </w:pPr>
      <w:r>
        <w:t>Prevent launch when a required audio asset fails technical readiness checks, without changing approval status.</w:t>
      </w:r>
    </w:p>
    <w:p>
      <w:r>
        <w:t>Acceptance criteria: Successful controlled test produces audible recording and traceable PBX event; failed media cannot be treated as completed playback.</w:t>
      </w:r>
    </w:p>
    <w:p>
      <w:pPr>
        <w:pStyle w:val="Heading2"/>
      </w:pPr>
      <w:r>
        <w:t>5.5 Campaign management enhancements</w:t>
      </w:r>
    </w:p>
    <w:p>
      <w:r>
        <w:t>Status / target: Existing / Phase 4</w:t>
      </w:r>
    </w:p>
    <w:p>
      <w:pPr>
        <w:pStyle w:val="ListBullet"/>
      </w:pPr>
      <w:r>
        <w:t>Show estimated audience size, retries and maximum estimated cost before start.</w:t>
      </w:r>
    </w:p>
    <w:p>
      <w:pPr>
        <w:pStyle w:val="ListBullet"/>
      </w:pPr>
      <w:r>
        <w:t>Optional recurring schedules, holidays, campaign expiry, timezone handling and collision checks.</w:t>
      </w:r>
    </w:p>
    <w:p>
      <w:pPr>
        <w:pStyle w:val="ListBullet"/>
      </w:pPr>
      <w:r>
        <w:t>Granular retry rules for busy/no-answer/failure as a future enhancement; keep current combined policy until changed deliberately.</w:t>
      </w:r>
    </w:p>
    <w:p>
      <w:pPr>
        <w:pStyle w:val="ListBullet"/>
      </w:pPr>
      <w:r>
        <w:t>Campaign duplication, templates, execution comparison and per-recipient outcome drill-down.</w:t>
      </w:r>
    </w:p>
    <w:p>
      <w:pPr>
        <w:pStyle w:val="ListBullet"/>
      </w:pPr>
      <w:r>
        <w:t>Preserve immutable launch snapshot and capacity/consent checks.</w:t>
      </w:r>
    </w:p>
    <w:p>
      <w:r>
        <w:t>Acceptance criteria: No scheduling bypasses approval, wallet admission or PBX limits; paused campaign does not originate new calls.</w:t>
      </w:r>
    </w:p>
    <w:p>
      <w:pPr>
        <w:pStyle w:val="Heading2"/>
      </w:pPr>
      <w:r>
        <w:t>5.6 IVR enhancements</w:t>
      </w:r>
    </w:p>
    <w:p>
      <w:r>
        <w:t>Status / target: Existing / Phase 4</w:t>
      </w:r>
    </w:p>
    <w:p>
      <w:pPr>
        <w:pStyle w:val="ListBullet"/>
      </w:pPr>
      <w:r>
        <w:t>Graphical builder over existing validated JSON flow model; visual branching and simulator.</w:t>
      </w:r>
    </w:p>
    <w:p>
      <w:pPr>
        <w:pStyle w:val="ListBullet"/>
      </w:pPr>
      <w:r>
        <w:t>Prompt reuse only from approved audio; deploy version/checksum tracking.</w:t>
      </w:r>
    </w:p>
    <w:p>
      <w:pPr>
        <w:pStyle w:val="ListBullet"/>
      </w:pPr>
      <w:r>
        <w:t>DTMF funnels, invalid-input analysis, transfers, opt-outs and response exports.</w:t>
      </w:r>
    </w:p>
    <w:p>
      <w:pPr>
        <w:pStyle w:val="ListBullet"/>
      </w:pPr>
      <w:r>
        <w:t>Maintain destination allowlists, no unbounded loops and existing review gates.</w:t>
      </w:r>
    </w:p>
    <w:p>
      <w:r>
        <w:t>Acceptance criteria: Generated flow matches approved version and routes only to allowed destinations.</w:t>
      </w:r>
    </w:p>
    <w:p>
      <w:pPr>
        <w:pStyle w:val="Heading2"/>
      </w:pPr>
      <w:r>
        <w:t>5.7 Wallet and billing engine</w:t>
      </w:r>
    </w:p>
    <w:p>
      <w:r>
        <w:t>Status / target: Planned / Phase 3</w:t>
      </w:r>
    </w:p>
    <w:p>
      <w:pPr>
        <w:pStyle w:val="ListBullet"/>
      </w:pPr>
      <w:r>
        <w:t>Per-client balance, available/reserved credit and immutable credit/debit/adjustment ledger.</w:t>
      </w:r>
    </w:p>
    <w:p>
      <w:pPr>
        <w:pStyle w:val="ListBullet"/>
      </w:pPr>
      <w:r>
        <w:t>Charge only on answered calls under the stated requirement; busy/no-answer attempts incur no calling debit.</w:t>
      </w:r>
    </w:p>
    <w:p>
      <w:pPr>
        <w:pStyle w:val="ListBullet"/>
      </w:pPr>
      <w:r>
        <w:t>Reserve sufficient funds before admitting dialing, settle or release reservations as outcomes finalize.</w:t>
      </w:r>
    </w:p>
    <w:p>
      <w:pPr>
        <w:pStyle w:val="ListBullet"/>
      </w:pPr>
      <w:r>
        <w:t>Idempotency on call/attempt settlement; atomic updates under concurrency; refund/adjustment workflow with audit.</w:t>
      </w:r>
    </w:p>
    <w:p>
      <w:pPr>
        <w:pStyle w:val="ListBullet"/>
      </w:pPr>
      <w:r>
        <w:t>Rate plans, price versioning, usage statements, low-credit alerts and dispute/reconciliation screens.</w:t>
      </w:r>
    </w:p>
    <w:p>
      <w:r>
        <w:t>Acceptance criteria: Duplicate answered events do not double-charge; unresolved attempts cannot create uncontrolled deductions; ledger balances reconcile.</w:t>
      </w:r>
    </w:p>
    <w:p>
      <w:pPr>
        <w:pStyle w:val="Heading2"/>
      </w:pPr>
      <w:r>
        <w:t>5.8 Payments and invoices</w:t>
      </w:r>
    </w:p>
    <w:p>
      <w:r>
        <w:t>Status / target: Planned / Phase 3</w:t>
      </w:r>
    </w:p>
    <w:p>
      <w:pPr>
        <w:pStyle w:val="ListBullet"/>
      </w:pPr>
      <w:r>
        <w:t>Payment provider adapter for the proposed Xcel Business integration once API is verified.</w:t>
      </w:r>
    </w:p>
    <w:p>
      <w:pPr>
        <w:pStyle w:val="ListBullet"/>
      </w:pPr>
      <w:r>
        <w:t>Initiate top-up, track pending/success/failure, verify callbacks and reconcile provider transaction IDs.</w:t>
      </w:r>
    </w:p>
    <w:p>
      <w:pPr>
        <w:pStyle w:val="ListBullet"/>
      </w:pPr>
      <w:r>
        <w:t>Credit wallet only after verified successful payment; prevent replayed callbacks from crediting twice.</w:t>
      </w:r>
    </w:p>
    <w:p>
      <w:pPr>
        <w:pStyle w:val="ListBullet"/>
      </w:pPr>
      <w:r>
        <w:t>Receipts, downloadable statements, invoices where commercially applicable, refunds and reconciliation exceptions.</w:t>
      </w:r>
    </w:p>
    <w:p>
      <w:r>
        <w:t>Acceptance criteria: Duplicate payment callbacks credit once; unverified payments never increase spendable balance.</w:t>
      </w:r>
    </w:p>
    <w:p>
      <w:pPr>
        <w:pStyle w:val="Heading2"/>
      </w:pPr>
      <w:r>
        <w:t>5.9 Notifications</w:t>
      </w:r>
    </w:p>
    <w:p>
      <w:r>
        <w:t>Status / target: Planned / Phase 4</w:t>
      </w:r>
    </w:p>
    <w:p>
      <w:pPr>
        <w:pStyle w:val="ListBullet"/>
      </w:pPr>
      <w:r>
        <w:t>In-app bell and user-specific notices for audio decisions, campaign completion, low balance and failures.</w:t>
      </w:r>
    </w:p>
    <w:p>
      <w:pPr>
        <w:pStyle w:val="ListBullet"/>
      </w:pPr>
      <w:r>
        <w:t>Email/SMS optional channels, templates, delivery status, preferences and throttling.</w:t>
      </w:r>
    </w:p>
    <w:p>
      <w:pPr>
        <w:pStyle w:val="ListBullet"/>
      </w:pPr>
      <w:r>
        <w:t>Separate actionable alerts from informational notices and avoid exposing sensitive media URLs.</w:t>
      </w:r>
    </w:p>
    <w:p>
      <w:r>
        <w:t>Acceptance criteria: Only intended user/client receives notice; retries are bounded and auditable.</w:t>
      </w:r>
    </w:p>
    <w:p>
      <w:pPr>
        <w:pStyle w:val="Heading2"/>
      </w:pPr>
      <w:r>
        <w:t>5.10 Reporting and analytics</w:t>
      </w:r>
    </w:p>
    <w:p>
      <w:r>
        <w:t>Status / target: Existing / Phase 4</w:t>
      </w:r>
    </w:p>
    <w:p>
      <w:pPr>
        <w:pStyle w:val="ListBullet"/>
      </w:pPr>
      <w:r>
        <w:t>Client and admin views: audience funnel, attempts, answered, playback start/complete/fail, IVR selections, cost.</w:t>
      </w:r>
    </w:p>
    <w:p>
      <w:pPr>
        <w:pStyle w:val="ListBullet"/>
      </w:pPr>
      <w:r>
        <w:t>Date, campaign, owner, client, status and timezone filters; CSV/XLSX export and scheduled delivery.</w:t>
      </w:r>
    </w:p>
    <w:p>
      <w:pPr>
        <w:pStyle w:val="ListBullet"/>
      </w:pPr>
      <w:r>
        <w:t>Separate answer rate, technical playback completion and confirmed audible test evidence.</w:t>
      </w:r>
    </w:p>
    <w:p>
      <w:pPr>
        <w:pStyle w:val="ListBullet"/>
      </w:pPr>
      <w:r>
        <w:t>Billing reconciliation and operational exceptions dashboards.</w:t>
      </w:r>
    </w:p>
    <w:p>
      <w:r>
        <w:t>Acceptance criteria: Totals reconcile with immutable attempt and ledger records; exports obey account scope.</w:t>
      </w:r>
    </w:p>
    <w:p>
      <w:pPr>
        <w:pStyle w:val="Heading2"/>
      </w:pPr>
      <w:r>
        <w:t>5.11 Telephony and operational resilience</w:t>
      </w:r>
    </w:p>
    <w:p>
      <w:r>
        <w:t>Status / target: Existing / Phase 1</w:t>
      </w:r>
    </w:p>
    <w:p>
      <w:pPr>
        <w:pStyle w:val="ListBullet"/>
      </w:pPr>
      <w:r>
        <w:t>HTTP media-cache path, permissions, storage and response diagnostics; controlled end-to-end playback probe.</w:t>
      </w:r>
    </w:p>
    <w:p>
      <w:pPr>
        <w:pStyle w:val="ListBullet"/>
      </w:pPr>
      <w:r>
        <w:t>AMI heartbeat, trunk/channel capacity, event backlog, CDR errors, queue/scheduler latency and call reconciliation.</w:t>
      </w:r>
    </w:p>
    <w:p>
      <w:pPr>
        <w:pStyle w:val="ListBullet"/>
      </w:pPr>
      <w:r>
        <w:t>Dedicated single-test dialplan, origin restriction, audit and no automatic redial on uncertain outcomes.</w:t>
      </w:r>
    </w:p>
    <w:p>
      <w:pPr>
        <w:pStyle w:val="ListBullet"/>
      </w:pPr>
      <w:r>
        <w:t>Fail closed on stale capacity, unauthorized media, no credit or emergency stop.</w:t>
      </w:r>
    </w:p>
    <w:p>
      <w:r>
        <w:t>Acceptance criteria: PBX can fetch approved audio and play it; no live broadcast if media or capacity gate fails.</w:t>
      </w:r>
    </w:p>
    <w:p>
      <w:pPr>
        <w:pStyle w:val="Heading2"/>
      </w:pPr>
      <w:r>
        <w:t>5.12 APIs and integrations</w:t>
      </w:r>
    </w:p>
    <w:p>
      <w:r>
        <w:t>Status / target: Planned / Phase 5</w:t>
      </w:r>
    </w:p>
    <w:p>
      <w:pPr>
        <w:pStyle w:val="ListBullet"/>
      </w:pPr>
      <w:r>
        <w:t>Scoped client API credentials, rotation and rate limits.</w:t>
      </w:r>
    </w:p>
    <w:p>
      <w:pPr>
        <w:pStyle w:val="ListBullet"/>
      </w:pPr>
      <w:r>
        <w:t>Contact imports, campaign draft creation, read-only status and reporting endpoints.</w:t>
      </w:r>
    </w:p>
    <w:p>
      <w:pPr>
        <w:pStyle w:val="ListBullet"/>
      </w:pPr>
      <w:r>
        <w:t>Signed webhooks for completion and outcome events with retry and idempotency.</w:t>
      </w:r>
    </w:p>
    <w:p>
      <w:pPr>
        <w:pStyle w:val="ListBullet"/>
      </w:pPr>
      <w:r>
        <w:t>No API bypass of approval, wallet, DND or capacity controls.</w:t>
      </w:r>
    </w:p>
    <w:p>
      <w:r>
        <w:t>Acceptance criteria: Unauthorized clients cannot access other accounts; webhook replay and duplicate requests are safe.</w:t>
      </w:r>
    </w:p>
    <w:p>
      <w:pPr>
        <w:pStyle w:val="Heading2"/>
      </w:pPr>
      <w:r>
        <w:t>5.13 Administration and commercial controls</w:t>
      </w:r>
    </w:p>
    <w:p>
      <w:r>
        <w:t>Status / target: Existing + planned / Phases 2–5</w:t>
      </w:r>
    </w:p>
    <w:p>
      <w:pPr>
        <w:pStyle w:val="ListBullet"/>
      </w:pPr>
      <w:r>
        <w:t>Client account overview, account suspension, usage and financial exceptions.</w:t>
      </w:r>
    </w:p>
    <w:p>
      <w:pPr>
        <w:pStyle w:val="ListBullet"/>
      </w:pPr>
      <w:r>
        <w:t>Pricing plan and currency configuration, manual adjustments with reason and authorization.</w:t>
      </w:r>
    </w:p>
    <w:p>
      <w:pPr>
        <w:pStyle w:val="ListBullet"/>
      </w:pPr>
      <w:r>
        <w:t>Internal roles, audit, retention policy, backup/restore and emergency operational controls.</w:t>
      </w:r>
    </w:p>
    <w:p>
      <w:pPr>
        <w:pStyle w:val="ListBullet"/>
      </w:pPr>
      <w:r>
        <w:t>Separate system settings, telephony settings and commercial settings.</w:t>
      </w:r>
    </w:p>
    <w:p>
      <w:r>
        <w:t>Acceptance criteria: Every privileged action is permission-checked and auditable; restores are tested.</w:t>
      </w:r>
    </w:p>
    <w:p>
      <w:pPr>
        <w:pStyle w:val="Heading1"/>
      </w:pPr>
      <w:r>
        <w:t>6. Proposed navigation</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Internal administration</w:t>
            </w:r>
          </w:p>
        </w:tc>
        <w:tc>
          <w:tcPr>
            <w:tcW w:type="dxa" w:w="4925"/>
            <w:vAlign w:val="center"/>
          </w:tcPr>
          <w:p>
            <w:r>
              <w:t>Client portal</w:t>
            </w:r>
          </w:p>
        </w:tc>
      </w:tr>
      <w:tr>
        <w:tc>
          <w:tcPr>
            <w:tcW w:type="dxa" w:w="4925"/>
            <w:vAlign w:val="center"/>
          </w:tcPr>
          <w:p>
            <w:r>
              <w:t>Dashboard; Live Operations; Health; Alerts</w:t>
            </w:r>
          </w:p>
        </w:tc>
        <w:tc>
          <w:tcPr>
            <w:tcW w:type="dxa" w:w="4925"/>
            <w:vAlign w:val="center"/>
          </w:tcPr>
          <w:p>
            <w:r>
              <w:t>Dashboard; Notifications</w:t>
            </w:r>
          </w:p>
        </w:tc>
      </w:tr>
      <w:tr>
        <w:tc>
          <w:tcPr>
            <w:tcW w:type="dxa" w:w="4925"/>
            <w:vAlign w:val="center"/>
          </w:tcPr>
          <w:p>
            <w:r>
              <w:t>Clients; Accounts; Client Activity</w:t>
            </w:r>
          </w:p>
        </w:tc>
        <w:tc>
          <w:tcPr>
            <w:tcW w:type="dxa" w:w="4925"/>
            <w:vAlign w:val="center"/>
          </w:tcPr>
          <w:p>
            <w:r>
              <w:t>Contacts; Groups; Imports</w:t>
            </w:r>
          </w:p>
        </w:tc>
      </w:tr>
      <w:tr>
        <w:tc>
          <w:tcPr>
            <w:tcW w:type="dxa" w:w="4925"/>
            <w:vAlign w:val="center"/>
          </w:tcPr>
          <w:p>
            <w:r>
              <w:t>Contacts; DND; Consent</w:t>
            </w:r>
          </w:p>
        </w:tc>
        <w:tc>
          <w:tcPr>
            <w:tcW w:type="dxa" w:w="4925"/>
            <w:vAlign w:val="center"/>
          </w:tcPr>
          <w:p>
            <w:r>
              <w:t>Recordings; Approval Status</w:t>
            </w:r>
          </w:p>
        </w:tc>
      </w:tr>
      <w:tr>
        <w:tc>
          <w:tcPr>
            <w:tcW w:type="dxa" w:w="4925"/>
            <w:vAlign w:val="center"/>
          </w:tcPr>
          <w:p>
            <w:r>
              <w:t>Audio Library; Review Queue</w:t>
            </w:r>
          </w:p>
        </w:tc>
        <w:tc>
          <w:tcPr>
            <w:tcW w:type="dxa" w:w="4925"/>
            <w:vAlign w:val="center"/>
          </w:tcPr>
          <w:p>
            <w:r>
              <w:t>Campaigns; Schedules; Templates</w:t>
            </w:r>
          </w:p>
        </w:tc>
      </w:tr>
      <w:tr>
        <w:tc>
          <w:tcPr>
            <w:tcW w:type="dxa" w:w="4925"/>
            <w:vAlign w:val="center"/>
          </w:tcPr>
          <w:p>
            <w:r>
              <w:t>Campaigns; IVR; Execution History</w:t>
            </w:r>
          </w:p>
        </w:tc>
        <w:tc>
          <w:tcPr>
            <w:tcW w:type="dxa" w:w="4925"/>
            <w:vAlign w:val="center"/>
          </w:tcPr>
          <w:p>
            <w:r>
              <w:t>Reports; Call Outcomes</w:t>
            </w:r>
          </w:p>
        </w:tc>
      </w:tr>
      <w:tr>
        <w:tc>
          <w:tcPr>
            <w:tcW w:type="dxa" w:w="4925"/>
            <w:vAlign w:val="center"/>
          </w:tcPr>
          <w:p>
            <w:r>
              <w:t>Telephony; Connections; Capacity; Test Calls</w:t>
            </w:r>
          </w:p>
        </w:tc>
        <w:tc>
          <w:tcPr>
            <w:tcW w:type="dxa" w:w="4925"/>
            <w:vAlign w:val="center"/>
          </w:tcPr>
          <w:p>
            <w:r>
              <w:t>Wallet; Top-ups; Transactions</w:t>
            </w:r>
          </w:p>
        </w:tc>
      </w:tr>
      <w:tr>
        <w:tc>
          <w:tcPr>
            <w:tcW w:type="dxa" w:w="4925"/>
            <w:vAlign w:val="center"/>
          </w:tcPr>
          <w:p>
            <w:r>
              <w:t>Wallets; Pricing; Payments; Reconciliation</w:t>
            </w:r>
          </w:p>
        </w:tc>
        <w:tc>
          <w:tcPr>
            <w:tcW w:type="dxa" w:w="4925"/>
            <w:vAlign w:val="center"/>
          </w:tcPr>
          <w:p>
            <w:r>
              <w:t>Profile; Security; Settings</w:t>
            </w:r>
          </w:p>
        </w:tc>
      </w:tr>
      <w:tr>
        <w:tc>
          <w:tcPr>
            <w:tcW w:type="dxa" w:w="4925"/>
            <w:vAlign w:val="center"/>
          </w:tcPr>
          <w:p>
            <w:r>
              <w:t>Reports; Audit; Users &amp; Roles; API Settings</w:t>
            </w:r>
          </w:p>
        </w:tc>
        <w:tc>
          <w:tcPr>
            <w:tcW w:type="dxa" w:w="4925"/>
            <w:vAlign w:val="center"/>
          </w:tcPr>
          <w:p>
            <w:r>
              <w:t>No approval, trunk, caller ID or system administration controls</w:t>
            </w:r>
          </w:p>
        </w:tc>
      </w:tr>
    </w:tbl>
    <w:p>
      <w:pPr>
        <w:pStyle w:val="Heading1"/>
      </w:pPr>
      <w:r>
        <w:t>7. Phased development and dependencies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Phase</w:t>
            </w:r>
          </w:p>
        </w:tc>
        <w:tc>
          <w:tcPr>
            <w:tcW w:type="dxa" w:w="3283"/>
            <w:vAlign w:val="center"/>
          </w:tcPr>
          <w:p>
            <w:r>
              <w:t>Delivery focus / outputs</w:t>
            </w:r>
          </w:p>
        </w:tc>
        <w:tc>
          <w:tcPr>
            <w:tcW w:type="dxa" w:w="3283"/>
            <w:vAlign w:val="center"/>
          </w:tcPr>
          <w:p>
            <w:r>
              <w:t>Release gate</w:t>
            </w:r>
          </w:p>
        </w:tc>
      </w:tr>
      <w:tr>
        <w:tc>
          <w:tcPr>
            <w:tcW w:type="dxa" w:w="3283"/>
            <w:vAlign w:val="center"/>
          </w:tcPr>
          <w:p>
            <w:r>
              <w:t>Phase 0 — Baseline and design freeze</w:t>
            </w:r>
          </w:p>
        </w:tc>
        <w:tc>
          <w:tcPr>
            <w:tcW w:type="dxa" w:w="3283"/>
            <w:vAlign w:val="center"/>
          </w:tcPr>
          <w:p>
            <w:r>
              <w:t>Inventory existing routes, tables, permissions, jobs and service ownership; verify current approval regression suite; confirm client ownership model and payment/rate decisions. Outputs: Approved gap assessment, migration map, threat model, test plan and prioritized backlog.</w:t>
            </w:r>
          </w:p>
        </w:tc>
        <w:tc>
          <w:tcPr>
            <w:tcW w:type="dxa" w:w="3283"/>
            <w:vAlign w:val="center"/>
          </w:tcPr>
          <w:p>
            <w:r>
              <w:t>No changes to existing approval logic; sign-off on target account model.</w:t>
            </w:r>
          </w:p>
        </w:tc>
      </w:tr>
      <w:tr>
        <w:tc>
          <w:tcPr>
            <w:tcW w:type="dxa" w:w="3283"/>
            <w:vAlign w:val="center"/>
          </w:tcPr>
          <w:p>
            <w:r>
              <w:t>Phase 1 — Production stability and security</w:t>
            </w:r>
          </w:p>
        </w:tc>
        <w:tc>
          <w:tcPr>
            <w:tcW w:type="dxa" w:w="3283"/>
            <w:vAlign w:val="center"/>
          </w:tcPr>
          <w:p>
            <w:r>
              <w:t>Resolve silent calls and Asterisk HTTP cache failures; PBX-to-app media test; event correlation, CDR diagnostics, observability, fail-closed dispatch and backups. Outputs: Media health dashboard, controlled test-call tool, alert rules, incident runbook, rollback procedure.</w:t>
            </w:r>
          </w:p>
        </w:tc>
        <w:tc>
          <w:tcPr>
            <w:tcW w:type="dxa" w:w="3283"/>
            <w:vAlign w:val="center"/>
          </w:tcPr>
          <w:p>
            <w:r>
              <w:t>Successful audible controlled call, clean media retrieval, documented failure paths; dispatch stays off until accepted.</w:t>
            </w:r>
          </w:p>
        </w:tc>
      </w:tr>
      <w:tr>
        <w:tc>
          <w:tcPr>
            <w:tcW w:type="dxa" w:w="3283"/>
            <w:vAlign w:val="center"/>
          </w:tcPr>
          <w:p>
            <w:r>
              <w:t>Phase 2 — Client portal and isolation</w:t>
            </w:r>
          </w:p>
        </w:tc>
        <w:tc>
          <w:tcPr>
            <w:tcW w:type="dxa" w:w="3283"/>
            <w:vAlign w:val="center"/>
          </w:tcPr>
          <w:p>
            <w:r>
              <w:t>Client identity, OTP and password login, account administration, client-scoped contacts/groups/imports/audio/campaigns, restricted caller ID, client reports. Outputs: Responsive client interface, client policies and tenant-scope tests, onboarding admin screens.</w:t>
            </w:r>
          </w:p>
        </w:tc>
        <w:tc>
          <w:tcPr>
            <w:tcW w:type="dxa" w:w="3283"/>
            <w:vAlign w:val="center"/>
          </w:tcPr>
          <w:p>
            <w:r>
              <w:t>No cross-client data leakage; audio approval and campaign start gates unchanged.</w:t>
            </w:r>
          </w:p>
        </w:tc>
      </w:tr>
      <w:tr>
        <w:tc>
          <w:tcPr>
            <w:tcW w:type="dxa" w:w="3283"/>
            <w:vAlign w:val="center"/>
          </w:tcPr>
          <w:p>
            <w:r>
              <w:t>Phase 3 — Wallet, payments and charging</w:t>
            </w:r>
          </w:p>
        </w:tc>
        <w:tc>
          <w:tcPr>
            <w:tcW w:type="dxa" w:w="3283"/>
            <w:vAlign w:val="center"/>
          </w:tcPr>
          <w:p>
            <w:r>
              <w:t>Ledger, credit reservations, answered-call settlement, pricing, payment adapter, verified callbacks, statements and reconciliation. Outputs: Wallet UI, billing service, rate tables, provider adapter, finance controls and reconciliation reports.</w:t>
            </w:r>
          </w:p>
        </w:tc>
        <w:tc>
          <w:tcPr>
            <w:tcW w:type="dxa" w:w="3283"/>
            <w:vAlign w:val="center"/>
          </w:tcPr>
          <w:p>
            <w:r>
              <w:t>No duplicate charges/credits; insufficient balance blocks new calls; busy/no-answer free.</w:t>
            </w:r>
          </w:p>
        </w:tc>
      </w:tr>
      <w:tr>
        <w:tc>
          <w:tcPr>
            <w:tcW w:type="dxa" w:w="3283"/>
            <w:vAlign w:val="center"/>
          </w:tcPr>
          <w:p>
            <w:r>
              <w:t>Phase 4 — Campaign experience and intelligence</w:t>
            </w:r>
          </w:p>
        </w:tc>
        <w:tc>
          <w:tcPr>
            <w:tcW w:type="dxa" w:w="3283"/>
            <w:vAlign w:val="center"/>
          </w:tcPr>
          <w:p>
            <w:r>
              <w:t>Campaign cost previews, notifications, reporting/export, recurring schedules, retry controls, contact enrichment and graphical IVR. Outputs: Enhanced UI, reports, notification templates, scheduler and IVR visual tools.</w:t>
            </w:r>
          </w:p>
        </w:tc>
        <w:tc>
          <w:tcPr>
            <w:tcW w:type="dxa" w:w="3283"/>
            <w:vAlign w:val="center"/>
          </w:tcPr>
          <w:p>
            <w:r>
              <w:t>No bypass of reviews, DND, credit or PBX admission; all analytics reconcile.</w:t>
            </w:r>
          </w:p>
        </w:tc>
      </w:tr>
      <w:tr>
        <w:tc>
          <w:tcPr>
            <w:tcW w:type="dxa" w:w="3283"/>
            <w:vAlign w:val="center"/>
          </w:tcPr>
          <w:p>
            <w:r>
              <w:t>Phase 5 — Commercial APIs and scale</w:t>
            </w:r>
          </w:p>
        </w:tc>
        <w:tc>
          <w:tcPr>
            <w:tcW w:type="dxa" w:w="3283"/>
            <w:vAlign w:val="center"/>
          </w:tcPr>
          <w:p>
            <w:r>
              <w:t>Scoped APIs, signed webhooks, enterprise account management, performance tests, retention and disaster recovery. Outputs: API docs, developer credentials, webhooks, load tests, operational handover.</w:t>
            </w:r>
          </w:p>
        </w:tc>
        <w:tc>
          <w:tcPr>
            <w:tcW w:type="dxa" w:w="3283"/>
            <w:vAlign w:val="center"/>
          </w:tcPr>
          <w:p>
            <w:r>
              <w:t>Security and scale testing passes; recovery objectives and on-call processes approved.</w:t>
            </w:r>
          </w:p>
        </w:tc>
      </w:tr>
    </w:tbl>
    <w:p>
      <w:pPr>
        <w:pStyle w:val="Heading1"/>
      </w:pPr>
      <w:r>
        <w:t>8. Key technical data model additions</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Area</w:t>
            </w:r>
          </w:p>
        </w:tc>
        <w:tc>
          <w:tcPr>
            <w:tcW w:type="dxa" w:w="4925"/>
            <w:vAlign w:val="center"/>
          </w:tcPr>
          <w:p>
            <w:r>
              <w:t>Proposed tables / entities</w:t>
            </w:r>
          </w:p>
        </w:tc>
      </w:tr>
      <w:tr>
        <w:tc>
          <w:tcPr>
            <w:tcW w:type="dxa" w:w="4925"/>
            <w:vAlign w:val="center"/>
          </w:tcPr>
          <w:p>
            <w:r>
              <w:t>Client identity</w:t>
            </w:r>
          </w:p>
        </w:tc>
        <w:tc>
          <w:tcPr>
            <w:tcW w:type="dxa" w:w="4925"/>
            <w:vAlign w:val="center"/>
          </w:tcPr>
          <w:p>
            <w:r>
              <w:t>client_accounts, client_users, client_verifications, client_sessions (or framework equivalents)</w:t>
            </w:r>
          </w:p>
        </w:tc>
      </w:tr>
      <w:tr>
        <w:tc>
          <w:tcPr>
            <w:tcW w:type="dxa" w:w="4925"/>
            <w:vAlign w:val="center"/>
          </w:tcPr>
          <w:p>
            <w:r>
              <w:t>Ownership</w:t>
            </w:r>
          </w:p>
        </w:tc>
        <w:tc>
          <w:tcPr>
            <w:tcW w:type="dxa" w:w="4925"/>
            <w:vAlign w:val="center"/>
          </w:tcPr>
          <w:p>
            <w:r>
              <w:t>client_account_id on groups, contacts, audio, campaigns, imports, exports and reports where applicable</w:t>
            </w:r>
          </w:p>
        </w:tc>
      </w:tr>
      <w:tr>
        <w:tc>
          <w:tcPr>
            <w:tcW w:type="dxa" w:w="4925"/>
            <w:vAlign w:val="center"/>
          </w:tcPr>
          <w:p>
            <w:r>
              <w:t>Wallet</w:t>
            </w:r>
          </w:p>
        </w:tc>
        <w:tc>
          <w:tcPr>
            <w:tcW w:type="dxa" w:w="4925"/>
            <w:vAlign w:val="center"/>
          </w:tcPr>
          <w:p>
            <w:r>
              <w:t>wallets, wallet_ledger_entries, wallet_reservations, wallet_adjustments</w:t>
            </w:r>
          </w:p>
        </w:tc>
      </w:tr>
      <w:tr>
        <w:tc>
          <w:tcPr>
            <w:tcW w:type="dxa" w:w="4925"/>
            <w:vAlign w:val="center"/>
          </w:tcPr>
          <w:p>
            <w:r>
              <w:t>Payments</w:t>
            </w:r>
          </w:p>
        </w:tc>
        <w:tc>
          <w:tcPr>
            <w:tcW w:type="dxa" w:w="4925"/>
            <w:vAlign w:val="center"/>
          </w:tcPr>
          <w:p>
            <w:r>
              <w:t>payment_intents, payment_events, provider_reconciliations, invoices / receipts</w:t>
            </w:r>
          </w:p>
        </w:tc>
      </w:tr>
      <w:tr>
        <w:tc>
          <w:tcPr>
            <w:tcW w:type="dxa" w:w="4925"/>
            <w:vAlign w:val="center"/>
          </w:tcPr>
          <w:p>
            <w:r>
              <w:t>Pricing</w:t>
            </w:r>
          </w:p>
        </w:tc>
        <w:tc>
          <w:tcPr>
            <w:tcW w:type="dxa" w:w="4925"/>
            <w:vAlign w:val="center"/>
          </w:tcPr>
          <w:p>
            <w:r>
              <w:t>rate_plans, rate_versions, client_rate_assignments</w:t>
            </w:r>
          </w:p>
        </w:tc>
      </w:tr>
      <w:tr>
        <w:tc>
          <w:tcPr>
            <w:tcW w:type="dxa" w:w="4925"/>
            <w:vAlign w:val="center"/>
          </w:tcPr>
          <w:p>
            <w:r>
              <w:t>Test and monitoring</w:t>
            </w:r>
          </w:p>
        </w:tc>
        <w:tc>
          <w:tcPr>
            <w:tcW w:type="dxa" w:w="4925"/>
            <w:vAlign w:val="center"/>
          </w:tcPr>
          <w:p>
            <w:r>
              <w:t>media_preflight_runs, test_call_runs, operational_alerts</w:t>
            </w:r>
          </w:p>
        </w:tc>
      </w:tr>
      <w:tr>
        <w:tc>
          <w:tcPr>
            <w:tcW w:type="dxa" w:w="4925"/>
            <w:vAlign w:val="center"/>
          </w:tcPr>
          <w:p>
            <w:r>
              <w:t>Notifications</w:t>
            </w:r>
          </w:p>
        </w:tc>
        <w:tc>
          <w:tcPr>
            <w:tcW w:type="dxa" w:w="4925"/>
            <w:vAlign w:val="center"/>
          </w:tcPr>
          <w:p>
            <w:r>
              <w:t>notification_preferences, notification_deliveries</w:t>
            </w:r>
          </w:p>
        </w:tc>
      </w:tr>
      <w:tr>
        <w:tc>
          <w:tcPr>
            <w:tcW w:type="dxa" w:w="4925"/>
            <w:vAlign w:val="center"/>
          </w:tcPr>
          <w:p>
            <w:r>
              <w:t>Integration</w:t>
            </w:r>
          </w:p>
        </w:tc>
        <w:tc>
          <w:tcPr>
            <w:tcW w:type="dxa" w:w="4925"/>
            <w:vAlign w:val="center"/>
          </w:tcPr>
          <w:p>
            <w:r>
              <w:t>api_credentials, webhook_subscriptions, webhook_deliveries</w:t>
            </w:r>
          </w:p>
        </w:tc>
      </w:tr>
    </w:tbl>
    <w:p>
      <w:r>
        <w:t>These are conceptual entities, not a claim that the current schema already contains them. Before migration, map to existing models, avoid duplicate ownership fields, add foreign keys and composite indexes, and define archival/retention rules.</w:t>
      </w:r>
    </w:p>
    <w:p>
      <w:pPr>
        <w:pStyle w:val="Heading1"/>
      </w:pPr>
      <w:r>
        <w:t>9. Critical end-to-end workflows</w:t>
      </w:r>
    </w:p>
    <w:p>
      <w:pPr>
        <w:pStyle w:val="Heading2"/>
      </w:pPr>
      <w:r>
        <w:t>9.1 Client onboarding</w:t>
      </w:r>
    </w:p>
    <w:p>
      <w:r>
        <w:t>Register → choose email or phone verification → send short-lived OTP → verify → set password → client account activated → login with verified email/phone and password → scoped dashboard. Suspended accounts lose operational access.</w:t>
      </w:r>
    </w:p>
    <w:p>
      <w:pPr>
        <w:pStyle w:val="Heading2"/>
      </w:pPr>
      <w:r>
        <w:t>9.2 Client campaign</w:t>
      </w:r>
    </w:p>
    <w:p>
      <w:r>
        <w:t>Create group/import → upload WAV → Pending approval → existing internal review → Approved or Rejected → create/complete campaign draft → validate credit, DND, schedule, media and capacity → Start → freeze snapshot → dial → reconcile events → report and settle billable answered calls.</w:t>
      </w:r>
    </w:p>
    <w:p>
      <w:pPr>
        <w:pStyle w:val="Heading2"/>
      </w:pPr>
      <w:r>
        <w:t>9.3 Charging</w:t>
      </w:r>
    </w:p>
    <w:p>
      <w:r>
        <w:t>Before origination: verify wallet affordability and reserve against expected exposure. After event: record answered evidence; settle idempotently according to approved rate policy. On busy/no-answer: release reservation without charge. On uncertain outcomes: hold for reconciliation, do not auto-charge or redial blindly. Playback failures remain separate events for dispute policy.</w:t>
      </w:r>
    </w:p>
    <w:p>
      <w:pPr>
        <w:pStyle w:val="Heading2"/>
      </w:pPr>
      <w:r>
        <w:t>9.4 Audio failure</w:t>
      </w:r>
    </w:p>
    <w:p>
      <w:r>
        <w:t>Media preflight fails → block launch or new dialing; alert operator → diagnose PBX cache, HTTP response, WAV checksum and codec → controlled internal playback → clear technical gate only after verified success. Audio approval remains unchanged.</w:t>
      </w:r>
    </w:p>
    <w:p>
      <w:pPr>
        <w:pStyle w:val="Heading1"/>
      </w:pPr>
      <w:r>
        <w:t>10. Non-functional requirements</w:t>
      </w:r>
    </w:p>
    <w:p>
      <w:pPr>
        <w:pStyle w:val="ListBullet"/>
      </w:pPr>
      <w:r>
        <w:t>Security: least-privilege AMI access, source-IP allowlisting, encrypted secrets, secure OTP and password storage, authorization at query and service layers, CSRF/session controls, audit and rate limits.</w:t>
      </w:r>
    </w:p>
    <w:p>
      <w:pPr>
        <w:pStyle w:val="ListBullet"/>
      </w:pPr>
      <w:r>
        <w:t>Reliability: idempotent AMI/event handling and payment processing; durable queues; dead-letter/failure monitoring; no duplicate call origination on uncertain results.</w:t>
      </w:r>
    </w:p>
    <w:p>
      <w:pPr>
        <w:pStyle w:val="ListBullet"/>
      </w:pPr>
      <w:r>
        <w:t>Performance: paginated lists, indexed account filters, chunked imports, background exports and tested dial-rate admission.</w:t>
      </w:r>
    </w:p>
    <w:p>
      <w:pPr>
        <w:pStyle w:val="ListBullet"/>
      </w:pPr>
      <w:r>
        <w:t>Privacy: data minimization, contact consent provenance, suppression enforcement, configurable retention and access logging.</w:t>
      </w:r>
    </w:p>
    <w:p>
      <w:pPr>
        <w:pStyle w:val="ListBullet"/>
      </w:pPr>
      <w:r>
        <w:t>Operations: backups of DB/private audio/APP_KEY, restore drills, versioned migrations, observability and documented rollback.</w:t>
      </w:r>
    </w:p>
    <w:p>
      <w:pPr>
        <w:pStyle w:val="ListBullet"/>
      </w:pPr>
      <w:r>
        <w:t>Accessibility: keyboard-friendly navigation, clear status labels and responsive client dashboard.</w:t>
      </w:r>
    </w:p>
    <w:p>
      <w:pPr>
        <w:pStyle w:val="Heading1"/>
      </w:pPr>
      <w:r>
        <w:t>11. QA, UAT and release gates</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Test stream</w:t>
            </w:r>
          </w:p>
        </w:tc>
        <w:tc>
          <w:tcPr>
            <w:tcW w:type="dxa" w:w="4925"/>
            <w:vAlign w:val="center"/>
          </w:tcPr>
          <w:p>
            <w:r>
              <w:t>Minimum scenarios</w:t>
            </w:r>
          </w:p>
        </w:tc>
      </w:tr>
      <w:tr>
        <w:tc>
          <w:tcPr>
            <w:tcW w:type="dxa" w:w="4925"/>
            <w:vAlign w:val="center"/>
          </w:tcPr>
          <w:p>
            <w:r>
              <w:t>Approval regression</w:t>
            </w:r>
          </w:p>
        </w:tc>
        <w:tc>
          <w:tcPr>
            <w:tcW w:type="dxa" w:w="4925"/>
            <w:vAlign w:val="center"/>
          </w:tcPr>
          <w:p>
            <w:r>
              <w:t>Pending→Approved→Ready; rejected reason and resubmit; client approval forbidden; immutable launch snapshot</w:t>
            </w:r>
          </w:p>
        </w:tc>
      </w:tr>
      <w:tr>
        <w:tc>
          <w:tcPr>
            <w:tcW w:type="dxa" w:w="4925"/>
            <w:vAlign w:val="center"/>
          </w:tcPr>
          <w:p>
            <w:r>
              <w:t>Client isolation</w:t>
            </w:r>
          </w:p>
        </w:tc>
        <w:tc>
          <w:tcPr>
            <w:tcW w:type="dxa" w:w="4925"/>
            <w:vAlign w:val="center"/>
          </w:tcPr>
          <w:p>
            <w:r>
              <w:t>Attempt cross-account URL/ID access to contacts, audio, imports, campaigns, reports and exports</w:t>
            </w:r>
          </w:p>
        </w:tc>
      </w:tr>
      <w:tr>
        <w:tc>
          <w:tcPr>
            <w:tcW w:type="dxa" w:w="4925"/>
            <w:vAlign w:val="center"/>
          </w:tcPr>
          <w:p>
            <w:r>
              <w:t>Audio</w:t>
            </w:r>
          </w:p>
        </w:tc>
        <w:tc>
          <w:tcPr>
            <w:tcW w:type="dxa" w:w="4925"/>
            <w:vAlign w:val="center"/>
          </w:tcPr>
          <w:p>
            <w:r>
              <w:t>WAV checksum mismatch; HTTP 404; cache unwritable; successful audible test; playback failure distinct from answer</w:t>
            </w:r>
          </w:p>
        </w:tc>
      </w:tr>
      <w:tr>
        <w:tc>
          <w:tcPr>
            <w:tcW w:type="dxa" w:w="4925"/>
            <w:vAlign w:val="center"/>
          </w:tcPr>
          <w:p>
            <w:r>
              <w:t>Telephony</w:t>
            </w:r>
          </w:p>
        </w:tc>
        <w:tc>
          <w:tcPr>
            <w:tcW w:type="dxa" w:w="4925"/>
            <w:vAlign w:val="center"/>
          </w:tcPr>
          <w:p>
            <w:r>
              <w:t>Busy/no-answer/answered, timeout, capacity=0, DND, emergency stop, AMI loss and uncertain outcome</w:t>
            </w:r>
          </w:p>
        </w:tc>
      </w:tr>
      <w:tr>
        <w:tc>
          <w:tcPr>
            <w:tcW w:type="dxa" w:w="4925"/>
            <w:vAlign w:val="center"/>
          </w:tcPr>
          <w:p>
            <w:r>
              <w:t>Billing</w:t>
            </w:r>
          </w:p>
        </w:tc>
        <w:tc>
          <w:tcPr>
            <w:tcW w:type="dxa" w:w="4925"/>
            <w:vAlign w:val="center"/>
          </w:tcPr>
          <w:p>
            <w:r>
              <w:t>Concurrent answers, duplicate events, retries, insufficient funds, failed payments, callback replay, refunds</w:t>
            </w:r>
          </w:p>
        </w:tc>
      </w:tr>
      <w:tr>
        <w:tc>
          <w:tcPr>
            <w:tcW w:type="dxa" w:w="4925"/>
            <w:vAlign w:val="center"/>
          </w:tcPr>
          <w:p>
            <w:r>
              <w:t>Recovery</w:t>
            </w:r>
          </w:p>
        </w:tc>
        <w:tc>
          <w:tcPr>
            <w:tcW w:type="dxa" w:w="4925"/>
            <w:vAlign w:val="center"/>
          </w:tcPr>
          <w:p>
            <w:r>
              <w:t>Database/audio restore, worker restart, failed jobs, scheduler drift and rollback</w:t>
            </w:r>
          </w:p>
        </w:tc>
      </w:tr>
    </w:tbl>
    <w:p>
      <w:pPr>
        <w:pStyle w:val="Heading1"/>
      </w:pPr>
      <w:r>
        <w:t>12. Decisions requiring business sign-off</w:t>
      </w:r>
    </w:p>
    <w:p>
      <w:pPr>
        <w:pStyle w:val="ListBullet"/>
      </w:pPr>
      <w:r>
        <w:t>Define whether “0.30p” means GHS 0.30, 0.30 pesewas, or another denomination; configure currency and smallest monetary unit.</w:t>
      </w:r>
    </w:p>
    <w:p>
      <w:pPr>
        <w:pStyle w:val="ListBullet"/>
      </w:pPr>
      <w:r>
        <w:t>Confirm whether billable minutes derive from actual answered call duration or recording duration; define partial-minute rounding.</w:t>
      </w:r>
    </w:p>
    <w:p>
      <w:pPr>
        <w:pStyle w:val="ListBullet"/>
      </w:pPr>
      <w:r>
        <w:t>Confirm treatment of answered calls with failed or silent playback, including dispute credits or refunds.</w:t>
      </w:r>
    </w:p>
    <w:p>
      <w:pPr>
        <w:pStyle w:val="ListBullet"/>
      </w:pPr>
      <w:r>
        <w:t>Define whether a client account supports multiple users, branches and delegated roles at initial launch.</w:t>
      </w:r>
    </w:p>
    <w:p>
      <w:pPr>
        <w:pStyle w:val="ListBullet"/>
      </w:pPr>
      <w:r>
        <w:t>Verify Xcel Business API authentication, callbacks, transaction verification, fees and refund behavior before integration.</w:t>
      </w:r>
    </w:p>
    <w:p>
      <w:pPr>
        <w:pStyle w:val="ListBullet"/>
      </w:pPr>
      <w:r>
        <w:t>Set client onboarding requirements, pricing plans, taxes, credit expiry (if any), retention and data protection policy.</w:t>
      </w:r>
    </w:p>
    <w:p>
      <w:pPr>
        <w:pStyle w:val="ListBullet"/>
      </w:pPr>
      <w:r>
        <w:t>Approve expected load, concurrency, deployment window, operational ownership and release timeline.</w:t>
      </w:r>
    </w:p>
    <w:p>
      <w:pPr>
        <w:pStyle w:val="Heading1"/>
      </w:pPr>
      <w:r>
        <w:t>13. Suggested delivery governance</w:t>
      </w:r>
    </w:p>
    <w:p>
      <w:r>
        <w:t>For each phase: requirements and UX sign-off → schema/API design → feature flags and implementation → automated tests → security review → UAT with existing approval regression → controlled release → monitoring and rollback window. Track each work item with owner, estimate, dependency, acceptance evidence and deployment notes. Do not invent calendar dates until resources and scope are approved.</w:t>
      </w:r>
    </w:p>
    <w:p>
      <w:pPr>
        <w:pStyle w:val="Heading1"/>
      </w:pPr>
      <w:r>
        <w:t>14. Recommended immediate backlog</w:t>
      </w:r>
    </w:p>
    <w:p>
      <w:pPr>
        <w:pStyle w:val="ListBullet"/>
      </w:pPr>
      <w:r>
        <w:t>P0: diagnose and resolve Asterisk HTTP media-cache temporary-storage error; demonstrate actual audible playback on a controlled call.</w:t>
      </w:r>
    </w:p>
    <w:p>
      <w:pPr>
        <w:pStyle w:val="ListBullet"/>
      </w:pPr>
      <w:r>
        <w:t>P0: verify gateway dispatch and campaign safety gates; keep zero channel/CPS limits until technical acceptance.</w:t>
      </w:r>
    </w:p>
    <w:p>
      <w:pPr>
        <w:pStyle w:val="ListBullet"/>
      </w:pPr>
      <w:r>
        <w:t>P0: create client-account isolation design and approval regression test cases.</w:t>
      </w:r>
    </w:p>
    <w:p>
      <w:pPr>
        <w:pStyle w:val="ListBullet"/>
      </w:pPr>
      <w:r>
        <w:t>P1: implement registration/OTP/password login and restricted client dashboard.</w:t>
      </w:r>
    </w:p>
    <w:p>
      <w:pPr>
        <w:pStyle w:val="ListBullet"/>
      </w:pPr>
      <w:r>
        <w:t>P1: implement immutable wallet ledger and reconcile answered events before enabling charging.</w:t>
      </w:r>
    </w:p>
    <w:p>
      <w:pPr>
        <w:pStyle w:val="ListBullet"/>
      </w:pPr>
      <w:r>
        <w:t>P1: verify payment API and settle rate/rounding decisions.</w:t>
      </w:r>
    </w:p>
    <w:p>
      <w:r>
        <w:t>Reference baseline: GWO SEVO Current Application Overview, dated 23 October 2026 (user-provided). This expansion is a proposed engineering roadmap and does not assert that planned features have already been built.</w:t>
      </w:r>
    </w:p>
    <w:sectPr w:rsidR="00FC693F" w:rsidRPr="0006063C" w:rsidSect="00034616">
      <w:footerReference w:type="default" r:id="rId9"/>
      <w:pgSz w:w="12240" w:h="15840"/>
      <w:pgMar w:top="1123"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GWO SEVO VoiceCast  |  Development specification  |  23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1304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1304F"/>
      <w:sz w:val="23"/>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130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130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