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DADB9" w14:textId="12743BB6" w:rsidR="00B1255C" w:rsidRPr="000C738C" w:rsidRDefault="009F7266" w:rsidP="00B1255C">
      <w:pPr>
        <w:rPr>
          <w:b/>
        </w:rPr>
      </w:pPr>
      <w:r>
        <w:rPr>
          <w:b/>
        </w:rPr>
        <w:t>Conclusions</w:t>
      </w:r>
    </w:p>
    <w:p w14:paraId="6F96E501" w14:textId="2C1D7EC0" w:rsidR="00D6592C" w:rsidRDefault="000B4642" w:rsidP="00B1255C">
      <w:pPr>
        <w:rPr>
          <w:noProof/>
        </w:rPr>
      </w:pPr>
      <w:r>
        <w:t>T</w:t>
      </w:r>
      <w:r w:rsidR="00B1255C">
        <w:t>he provided Kickstarte</w:t>
      </w:r>
      <w:r>
        <w:t>r</w:t>
      </w:r>
      <w:r w:rsidR="00B1255C">
        <w:t xml:space="preserve"> data</w:t>
      </w:r>
      <w:r>
        <w:t xml:space="preserve"> shows </w:t>
      </w:r>
      <w:r w:rsidR="00B1255C">
        <w:t xml:space="preserve">theater is the most popular type of campaign, </w:t>
      </w:r>
      <w:r>
        <w:t xml:space="preserve">totaling 1393 campaigns, </w:t>
      </w:r>
      <w:r w:rsidR="00B1255C">
        <w:t>representing just over a third of all campaigns (33.86%).</w:t>
      </w:r>
      <w:r>
        <w:t xml:space="preserve">  </w:t>
      </w:r>
    </w:p>
    <w:p w14:paraId="0294509D" w14:textId="798DB71B" w:rsidR="00F974DD" w:rsidRDefault="00F974DD" w:rsidP="00B1255C">
      <w:r>
        <w:rPr>
          <w:noProof/>
        </w:rPr>
        <w:drawing>
          <wp:inline distT="0" distB="0" distL="0" distR="0" wp14:anchorId="4CB68BF5" wp14:editId="1224074E">
            <wp:extent cx="5669280" cy="4171950"/>
            <wp:effectExtent l="0" t="0" r="762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5D5863-2A2E-4AFB-8233-33320AAC88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0B83BE4" w14:textId="0537B222" w:rsidR="003372A4" w:rsidRDefault="000B4642" w:rsidP="00B1255C">
      <w:r>
        <w:t>The data further shows within the theater category, plays are the most common Kickstarter</w:t>
      </w:r>
      <w:r w:rsidR="003372A4">
        <w:t>, totaling 1066 campaigns</w:t>
      </w:r>
      <w:r>
        <w:t xml:space="preserve">.  </w:t>
      </w:r>
      <w:r w:rsidR="003372A4">
        <w:t xml:space="preserve">Of the 1066 campaigns, </w:t>
      </w:r>
      <w:r w:rsidR="00D37B44">
        <w:t>694</w:t>
      </w:r>
      <w:r>
        <w:t xml:space="preserve"> plays were successfully funded whereas only </w:t>
      </w:r>
      <w:r w:rsidR="00D37B44">
        <w:t>353</w:t>
      </w:r>
      <w:r>
        <w:t xml:space="preserve"> failed.  </w:t>
      </w:r>
    </w:p>
    <w:p w14:paraId="2E759F64" w14:textId="79F2185F" w:rsidR="003372A4" w:rsidRDefault="00F974DD" w:rsidP="00B1255C">
      <w:r>
        <w:rPr>
          <w:noProof/>
        </w:rPr>
        <w:drawing>
          <wp:inline distT="0" distB="0" distL="0" distR="0" wp14:anchorId="579DF35D" wp14:editId="0D2EB582">
            <wp:extent cx="5318760" cy="2400300"/>
            <wp:effectExtent l="0" t="0" r="1524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C321514-D138-4640-8CD8-0A1C6A1EDA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8FCA66" w14:textId="01CBF936" w:rsidR="00B1255C" w:rsidRDefault="000B4642" w:rsidP="00B1255C">
      <w:r>
        <w:lastRenderedPageBreak/>
        <w:t xml:space="preserve">Finally, </w:t>
      </w:r>
      <w:r w:rsidR="003372A4">
        <w:t xml:space="preserve">the data illustrates that regardless of year or category, </w:t>
      </w:r>
      <w:r w:rsidR="00D6592C">
        <w:t xml:space="preserve">campaigns starting in May have the highest </w:t>
      </w:r>
      <w:r w:rsidR="00641026">
        <w:t>number</w:t>
      </w:r>
      <w:r w:rsidR="00D6592C">
        <w:t xml:space="preserve"> of success</w:t>
      </w:r>
      <w:r w:rsidR="003372A4">
        <w:t xml:space="preserve"> (232 successes)</w:t>
      </w:r>
      <w:r w:rsidR="00D6592C">
        <w:t xml:space="preserve"> </w:t>
      </w:r>
      <w:r w:rsidR="003372A4">
        <w:t>while</w:t>
      </w:r>
      <w:r w:rsidR="00D6592C">
        <w:t xml:space="preserve"> campaigns starting in October have the highest </w:t>
      </w:r>
      <w:r w:rsidR="00641026">
        <w:t>number</w:t>
      </w:r>
      <w:r w:rsidR="00D6592C">
        <w:t xml:space="preserve"> of failure</w:t>
      </w:r>
      <w:r w:rsidR="003372A4">
        <w:t xml:space="preserve"> (150 failures)</w:t>
      </w:r>
      <w:r w:rsidR="00D6592C">
        <w:t>.</w:t>
      </w:r>
      <w:r w:rsidR="00D6592C">
        <w:tab/>
      </w:r>
    </w:p>
    <w:p w14:paraId="0B4D9B77" w14:textId="12C0ADE4" w:rsidR="00B1255C" w:rsidRDefault="00F974DD" w:rsidP="00B1255C">
      <w:r>
        <w:rPr>
          <w:noProof/>
        </w:rPr>
        <w:drawing>
          <wp:inline distT="0" distB="0" distL="0" distR="0" wp14:anchorId="384E625C" wp14:editId="3C05D7B7">
            <wp:extent cx="5943600" cy="3279140"/>
            <wp:effectExtent l="0" t="0" r="0" b="1651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63A9387-726D-4434-B578-810C6EED21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AE5559" w14:textId="6CA54ADC" w:rsidR="00B1255C" w:rsidRDefault="000C738C" w:rsidP="00B1255C">
      <w:pPr>
        <w:rPr>
          <w:b/>
        </w:rPr>
      </w:pPr>
      <w:r>
        <w:rPr>
          <w:b/>
        </w:rPr>
        <w:t>Limitations</w:t>
      </w:r>
    </w:p>
    <w:p w14:paraId="22DDBC00" w14:textId="6E39916C" w:rsidR="00D6592C" w:rsidRDefault="000C738C" w:rsidP="00B1255C">
      <w:r>
        <w:t xml:space="preserve">The Kickstarter dataset provides some limitations.  Notably, </w:t>
      </w:r>
      <w:r w:rsidR="00F974DD">
        <w:t xml:space="preserve">it </w:t>
      </w:r>
      <w:r>
        <w:t>do</w:t>
      </w:r>
      <w:r w:rsidR="00F974DD">
        <w:t>es</w:t>
      </w:r>
      <w:r>
        <w:t xml:space="preserve"> not have any macroeconomic indicators that can impact the likelihood of a successful campaign</w:t>
      </w:r>
      <w:r w:rsidR="00F974DD">
        <w:t xml:space="preserve">, especially given the number of different countries involved.  Furthermore, the data set does not provide details regarding the donation of each backer.  While we can </w:t>
      </w:r>
      <w:r w:rsidR="009F7266">
        <w:t>extrapolate</w:t>
      </w:r>
      <w:r w:rsidR="00F974DD">
        <w:t xml:space="preserve"> an average contribution, we don’t know if a few backers disproportionately </w:t>
      </w:r>
      <w:r w:rsidR="009F7266">
        <w:t>account for</w:t>
      </w:r>
      <w:r w:rsidR="00F974DD">
        <w:t xml:space="preserve"> the total pledged funding amount</w:t>
      </w:r>
      <w:r w:rsidR="009F7266">
        <w:t>.</w:t>
      </w:r>
      <w:bookmarkStart w:id="0" w:name="_GoBack"/>
      <w:bookmarkEnd w:id="0"/>
    </w:p>
    <w:p w14:paraId="6B43D8FB" w14:textId="22A4B5A8" w:rsidR="009F2733" w:rsidRDefault="009F7266" w:rsidP="00B1255C">
      <w:pPr>
        <w:rPr>
          <w:b/>
        </w:rPr>
      </w:pPr>
      <w:r w:rsidRPr="009F7266">
        <w:rPr>
          <w:b/>
        </w:rPr>
        <w:t>Further Analysis</w:t>
      </w:r>
    </w:p>
    <w:p w14:paraId="23D9A6D4" w14:textId="50E1B173" w:rsidR="009F7266" w:rsidRPr="009F7266" w:rsidRDefault="009F7266" w:rsidP="00B1255C">
      <w:r>
        <w:t>With further analysis, the campaigns could be segregated by country to determine how country impacts success or failure</w:t>
      </w:r>
      <w:r w:rsidR="00F56E2D">
        <w:t xml:space="preserve"> as well as determine popularity of Kickstarter between countries</w:t>
      </w:r>
      <w:r>
        <w:t>.  Additionally, we could analyze the average funding goal per category and subcategory to determine the how goals vary depending on the type of campaign.</w:t>
      </w:r>
    </w:p>
    <w:sectPr w:rsidR="009F7266" w:rsidRPr="009F72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956FB" w14:textId="77777777" w:rsidR="00DE0FFA" w:rsidRDefault="00DE0FFA" w:rsidP="00D6592C">
      <w:pPr>
        <w:spacing w:after="0" w:line="240" w:lineRule="auto"/>
      </w:pPr>
      <w:r>
        <w:separator/>
      </w:r>
    </w:p>
  </w:endnote>
  <w:endnote w:type="continuationSeparator" w:id="0">
    <w:p w14:paraId="0506B823" w14:textId="77777777" w:rsidR="00DE0FFA" w:rsidRDefault="00DE0FFA" w:rsidP="00D6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B343D" w14:textId="77777777" w:rsidR="00DE0FFA" w:rsidRDefault="00DE0FFA" w:rsidP="00D6592C">
      <w:pPr>
        <w:spacing w:after="0" w:line="240" w:lineRule="auto"/>
      </w:pPr>
      <w:r>
        <w:separator/>
      </w:r>
    </w:p>
  </w:footnote>
  <w:footnote w:type="continuationSeparator" w:id="0">
    <w:p w14:paraId="30FBDF34" w14:textId="77777777" w:rsidR="00DE0FFA" w:rsidRDefault="00DE0FFA" w:rsidP="00D65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F1B4D" w14:textId="16AA0DF9" w:rsidR="00D6592C" w:rsidRDefault="00D6592C">
    <w:pPr>
      <w:pStyle w:val="Header"/>
    </w:pPr>
    <w:r>
      <w:t>Michael Obermire</w:t>
    </w:r>
  </w:p>
  <w:p w14:paraId="14E6D9A2" w14:textId="23D61F22" w:rsidR="00D6592C" w:rsidRDefault="00D6592C">
    <w:pPr>
      <w:pStyle w:val="Header"/>
    </w:pPr>
    <w:r>
      <w:t>M/W Section</w:t>
    </w:r>
  </w:p>
  <w:p w14:paraId="42D7C60C" w14:textId="77777777" w:rsidR="00D6592C" w:rsidRDefault="00D659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5C"/>
    <w:rsid w:val="00086688"/>
    <w:rsid w:val="00093402"/>
    <w:rsid w:val="000B4642"/>
    <w:rsid w:val="000C738C"/>
    <w:rsid w:val="003372A4"/>
    <w:rsid w:val="00483D78"/>
    <w:rsid w:val="00641026"/>
    <w:rsid w:val="0097772F"/>
    <w:rsid w:val="009F7266"/>
    <w:rsid w:val="00A21626"/>
    <w:rsid w:val="00B1255C"/>
    <w:rsid w:val="00D37B44"/>
    <w:rsid w:val="00D6592C"/>
    <w:rsid w:val="00DE0FFA"/>
    <w:rsid w:val="00E22739"/>
    <w:rsid w:val="00F56E2D"/>
    <w:rsid w:val="00F9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0970"/>
  <w15:chartTrackingRefBased/>
  <w15:docId w15:val="{776C7494-0AD2-45B0-9A0E-AA1546B9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92C"/>
  </w:style>
  <w:style w:type="paragraph" w:styleId="Footer">
    <w:name w:val="footer"/>
    <w:basedOn w:val="Normal"/>
    <w:link w:val="FooterChar"/>
    <w:uiPriority w:val="99"/>
    <w:unhideWhenUsed/>
    <w:rsid w:val="00D65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bermire\Documents\Data%20Bootcamp\KickStart%20My%20Chart_ObermireMicha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bermire\Documents\Data%20Bootcamp\KickStart%20My%20Chart_ObermireMicha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bermire\Documents\Data%20Bootcamp\KickStart%20My%20Chart_ObermireMicha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 My Chart_ObermireMichael.xlsx]Category Pivot!PivotTable3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Kickstarter</a:t>
            </a:r>
            <a:r>
              <a:rPr lang="en-US" baseline="0"/>
              <a:t> Campaign Results (2009-2017)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Pivot'!$B$3:$B$4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'Category 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28-4D1F-8A89-CB4768AA32E5}"/>
            </c:ext>
          </c:extLst>
        </c:ser>
        <c:ser>
          <c:idx val="1"/>
          <c:order val="1"/>
          <c:tx>
            <c:strRef>
              <c:f>'Category Pivot'!$C$3:$C$4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'Category 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28-4D1F-8A89-CB4768AA32E5}"/>
            </c:ext>
          </c:extLst>
        </c:ser>
        <c:ser>
          <c:idx val="2"/>
          <c:order val="2"/>
          <c:tx>
            <c:strRef>
              <c:f>'Category Pivot'!$D$3:$D$4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'Category 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28-4D1F-8A89-CB4768AA32E5}"/>
            </c:ext>
          </c:extLst>
        </c:ser>
        <c:ser>
          <c:idx val="3"/>
          <c:order val="3"/>
          <c:tx>
            <c:strRef>
              <c:f>'Category Pivot'!$E$3:$E$4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'Category 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A28-4D1F-8A89-CB4768AA32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155024"/>
        <c:axId val="530156664"/>
      </c:barChart>
      <c:catAx>
        <c:axId val="530155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156664"/>
        <c:crosses val="autoZero"/>
        <c:auto val="1"/>
        <c:lblAlgn val="ctr"/>
        <c:lblOffset val="100"/>
        <c:noMultiLvlLbl val="0"/>
      </c:catAx>
      <c:valAx>
        <c:axId val="530156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15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 My Chart_ObermireMichael.xlsx]SubCategory Pivot!PivotTable3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Theater </a:t>
            </a:r>
            <a:r>
              <a:rPr lang="en-US"/>
              <a:t>Kickstarter</a:t>
            </a:r>
            <a:r>
              <a:rPr lang="en-US" baseline="0"/>
              <a:t> </a:t>
            </a:r>
            <a:r>
              <a:rPr lang="en-US"/>
              <a:t>Results (2009-2017)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'SubCategory Pivot'!$B$4:$B$5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'SubCategory Pivot'!$A$6:$A$9</c:f>
              <c:strCache>
                <c:ptCount val="3"/>
                <c:pt idx="0">
                  <c:v>musical</c:v>
                </c:pt>
                <c:pt idx="1">
                  <c:v>plays</c:v>
                </c:pt>
                <c:pt idx="2">
                  <c:v>spaces</c:v>
                </c:pt>
              </c:strCache>
            </c:strRef>
          </c:cat>
          <c:val>
            <c:numRef>
              <c:f>'SubCategory Pivot'!$B$6:$B$9</c:f>
              <c:numCache>
                <c:formatCode>General</c:formatCode>
                <c:ptCount val="3"/>
                <c:pt idx="0">
                  <c:v>20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FF-40D3-B8E1-5B6762E0E8B6}"/>
            </c:ext>
          </c:extLst>
        </c:ser>
        <c:ser>
          <c:idx val="1"/>
          <c:order val="1"/>
          <c:tx>
            <c:strRef>
              <c:f>'SubCategory Pivot'!$C$4:$C$5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'SubCategory Pivot'!$A$6:$A$9</c:f>
              <c:strCache>
                <c:ptCount val="3"/>
                <c:pt idx="0">
                  <c:v>musical</c:v>
                </c:pt>
                <c:pt idx="1">
                  <c:v>plays</c:v>
                </c:pt>
                <c:pt idx="2">
                  <c:v>spaces</c:v>
                </c:pt>
              </c:strCache>
            </c:strRef>
          </c:cat>
          <c:val>
            <c:numRef>
              <c:f>'SubCategory Pivot'!$C$6:$C$9</c:f>
              <c:numCache>
                <c:formatCode>General</c:formatCode>
                <c:ptCount val="3"/>
                <c:pt idx="0">
                  <c:v>60</c:v>
                </c:pt>
                <c:pt idx="1">
                  <c:v>353</c:v>
                </c:pt>
                <c:pt idx="2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FF-40D3-B8E1-5B6762E0E8B6}"/>
            </c:ext>
          </c:extLst>
        </c:ser>
        <c:ser>
          <c:idx val="2"/>
          <c:order val="2"/>
          <c:tx>
            <c:strRef>
              <c:f>'SubCategory Pivot'!$D$4:$D$5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'SubCategory Pivot'!$A$6:$A$9</c:f>
              <c:strCache>
                <c:ptCount val="3"/>
                <c:pt idx="0">
                  <c:v>musical</c:v>
                </c:pt>
                <c:pt idx="1">
                  <c:v>plays</c:v>
                </c:pt>
                <c:pt idx="2">
                  <c:v>spaces</c:v>
                </c:pt>
              </c:strCache>
            </c:strRef>
          </c:cat>
          <c:val>
            <c:numRef>
              <c:f>'SubCategory Pivot'!$D$6:$D$9</c:f>
              <c:numCache>
                <c:formatCode>General</c:formatCode>
                <c:ptCount val="3"/>
                <c:pt idx="1">
                  <c:v>19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AFF-40D3-B8E1-5B6762E0E8B6}"/>
            </c:ext>
          </c:extLst>
        </c:ser>
        <c:ser>
          <c:idx val="3"/>
          <c:order val="3"/>
          <c:tx>
            <c:strRef>
              <c:f>'SubCategory Pivot'!$E$4:$E$5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'SubCategory Pivot'!$A$6:$A$9</c:f>
              <c:strCache>
                <c:ptCount val="3"/>
                <c:pt idx="0">
                  <c:v>musical</c:v>
                </c:pt>
                <c:pt idx="1">
                  <c:v>plays</c:v>
                </c:pt>
                <c:pt idx="2">
                  <c:v>spaces</c:v>
                </c:pt>
              </c:strCache>
            </c:strRef>
          </c:cat>
          <c:val>
            <c:numRef>
              <c:f>'SubCategory Pivot'!$E$6:$E$9</c:f>
              <c:numCache>
                <c:formatCode>General</c:formatCode>
                <c:ptCount val="3"/>
                <c:pt idx="0">
                  <c:v>60</c:v>
                </c:pt>
                <c:pt idx="1">
                  <c:v>694</c:v>
                </c:pt>
                <c:pt idx="2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AFF-40D3-B8E1-5B6762E0E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155024"/>
        <c:axId val="530156664"/>
      </c:barChart>
      <c:catAx>
        <c:axId val="530155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 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156664"/>
        <c:crosses val="autoZero"/>
        <c:auto val="1"/>
        <c:lblAlgn val="ctr"/>
        <c:lblOffset val="100"/>
        <c:noMultiLvlLbl val="0"/>
      </c:catAx>
      <c:valAx>
        <c:axId val="530156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15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 My Chart_ObermireMichael.xlsx]Date Pivot!PivotTable5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Kickstarter Campaigns (2009-2017)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'Date Pivot'!$B$4:$B$5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'Date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Pivot'!$B$6:$B$18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26-46F2-B7EC-837D89F82B60}"/>
            </c:ext>
          </c:extLst>
        </c:ser>
        <c:ser>
          <c:idx val="1"/>
          <c:order val="1"/>
          <c:tx>
            <c:strRef>
              <c:f>'Date Pivot'!$C$4:$C$5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'Date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Pivot'!$C$6:$C$18</c:f>
              <c:numCache>
                <c:formatCode>General</c:formatCode>
                <c:ptCount val="12"/>
                <c:pt idx="0">
                  <c:v>148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114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26-46F2-B7EC-837D89F82B60}"/>
            </c:ext>
          </c:extLst>
        </c:ser>
        <c:ser>
          <c:idx val="2"/>
          <c:order val="2"/>
          <c:tx>
            <c:strRef>
              <c:f>'Date Pivot'!$D$4:$D$5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'Date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Pivot'!$D$6:$D$18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26-46F2-B7EC-837D89F82B60}"/>
            </c:ext>
          </c:extLst>
        </c:ser>
        <c:ser>
          <c:idx val="3"/>
          <c:order val="3"/>
          <c:tx>
            <c:strRef>
              <c:f>'Date Pivot'!$E$4:$E$5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'Date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Pivot'!$E$6:$E$18</c:f>
              <c:numCache>
                <c:formatCode>General</c:formatCode>
                <c:ptCount val="12"/>
                <c:pt idx="0">
                  <c:v>184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232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626-46F2-B7EC-837D89F82B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749656"/>
        <c:axId val="526749328"/>
      </c:lineChart>
      <c:catAx>
        <c:axId val="526749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 Created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mmm\-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749328"/>
        <c:crosses val="autoZero"/>
        <c:auto val="1"/>
        <c:lblAlgn val="ctr"/>
        <c:lblOffset val="100"/>
        <c:noMultiLvlLbl val="0"/>
      </c:catAx>
      <c:valAx>
        <c:axId val="52674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749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Obermire</dc:creator>
  <cp:keywords/>
  <dc:description/>
  <cp:lastModifiedBy>Michael Obermire</cp:lastModifiedBy>
  <cp:revision>8</cp:revision>
  <dcterms:created xsi:type="dcterms:W3CDTF">2018-08-11T18:11:00Z</dcterms:created>
  <dcterms:modified xsi:type="dcterms:W3CDTF">2018-08-13T23:31:00Z</dcterms:modified>
</cp:coreProperties>
</file>