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2857FFED" w:rsidR="00424134" w:rsidRDefault="00F7597C">
                            <w:pPr>
                              <w:pStyle w:val="TtulodaCapa"/>
                            </w:pPr>
                            <w:r>
                              <w:t>Faturamento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163D15ED" w:rsidR="00424134" w:rsidRDefault="00470A7F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="00BE2BB7">
                              <w:rPr>
                                <w:sz w:val="40"/>
                              </w:rPr>
                              <w:t>/0</w:t>
                            </w:r>
                            <w:r>
                              <w:rPr>
                                <w:sz w:val="40"/>
                              </w:rPr>
                              <w:t>9</w:t>
                            </w:r>
                            <w:r w:rsidR="00BE2BB7">
                              <w:rPr>
                                <w:sz w:val="40"/>
                              </w:rPr>
                              <w:t>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2857FFED" w:rsidR="00424134" w:rsidRDefault="00F7597C">
                      <w:pPr>
                        <w:pStyle w:val="TtulodaCapa"/>
                      </w:pPr>
                      <w:r>
                        <w:t>Faturamento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163D15ED" w:rsidR="00424134" w:rsidRDefault="00470A7F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01</w:t>
                      </w:r>
                      <w:r w:rsidR="00BE2BB7">
                        <w:rPr>
                          <w:sz w:val="40"/>
                        </w:rPr>
                        <w:t>/0</w:t>
                      </w:r>
                      <w:r>
                        <w:rPr>
                          <w:sz w:val="40"/>
                        </w:rPr>
                        <w:t>9</w:t>
                      </w:r>
                      <w:r w:rsidR="00BE2BB7">
                        <w:rPr>
                          <w:sz w:val="40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607EB4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</w:t>
      </w:r>
      <w:r w:rsidR="00301D00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FAT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.............................................................................................................................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</w:t>
      </w:r>
    </w:p>
    <w:p w14:paraId="792BA047" w14:textId="3E1E6709" w:rsidR="00424134" w:rsidRDefault="00724B95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3.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451BA57B" w14:textId="6FD481EB" w:rsidR="00701754" w:rsidRDefault="00701754">
      <w:pPr>
        <w:rPr>
          <w:rFonts w:ascii="Lato" w:hAnsi="Lato"/>
          <w:szCs w:val="20"/>
        </w:rPr>
      </w:pPr>
    </w:p>
    <w:p w14:paraId="4689115A" w14:textId="136B82A3" w:rsidR="00E46162" w:rsidRDefault="00E46162">
      <w:pPr>
        <w:rPr>
          <w:rFonts w:ascii="Lato" w:hAnsi="Lato"/>
          <w:szCs w:val="20"/>
        </w:rPr>
      </w:pPr>
    </w:p>
    <w:p w14:paraId="1E7F71FF" w14:textId="1A4501C1" w:rsidR="00E46162" w:rsidRDefault="00E46162">
      <w:pPr>
        <w:rPr>
          <w:rFonts w:ascii="Lato" w:hAnsi="Lato"/>
          <w:szCs w:val="20"/>
        </w:rPr>
      </w:pPr>
    </w:p>
    <w:p w14:paraId="646112D7" w14:textId="7B1CB81D" w:rsidR="00E46162" w:rsidRDefault="00E46162">
      <w:pPr>
        <w:rPr>
          <w:rFonts w:ascii="Lato" w:hAnsi="Lato"/>
          <w:szCs w:val="20"/>
        </w:rPr>
      </w:pPr>
    </w:p>
    <w:p w14:paraId="17D033F6" w14:textId="29662EEC" w:rsidR="00E46162" w:rsidRDefault="00E46162">
      <w:pPr>
        <w:rPr>
          <w:rFonts w:ascii="Lato" w:hAnsi="Lato"/>
          <w:szCs w:val="20"/>
        </w:rPr>
      </w:pPr>
    </w:p>
    <w:p w14:paraId="5022E34F" w14:textId="657723CA" w:rsidR="00E46162" w:rsidRDefault="00E46162">
      <w:pPr>
        <w:rPr>
          <w:rFonts w:ascii="Lato" w:hAnsi="Lato"/>
          <w:szCs w:val="20"/>
        </w:rPr>
      </w:pPr>
    </w:p>
    <w:p w14:paraId="26A4F146" w14:textId="20C8CBB2" w:rsidR="00E46162" w:rsidRDefault="00E46162">
      <w:pPr>
        <w:rPr>
          <w:rFonts w:ascii="Lato" w:hAnsi="Lato"/>
          <w:szCs w:val="20"/>
        </w:rPr>
      </w:pPr>
    </w:p>
    <w:p w14:paraId="523B2728" w14:textId="425A0BEA" w:rsidR="00E46162" w:rsidRDefault="00E46162">
      <w:pPr>
        <w:rPr>
          <w:rFonts w:ascii="Lato" w:hAnsi="Lato"/>
          <w:szCs w:val="20"/>
        </w:rPr>
      </w:pPr>
    </w:p>
    <w:p w14:paraId="1387D672" w14:textId="5D3A7CFF" w:rsidR="00E46162" w:rsidRDefault="00E46162">
      <w:pPr>
        <w:rPr>
          <w:rFonts w:ascii="Lato" w:hAnsi="Lato"/>
          <w:szCs w:val="20"/>
        </w:rPr>
      </w:pPr>
    </w:p>
    <w:p w14:paraId="27DA3B93" w14:textId="7A2C3052" w:rsidR="00E46162" w:rsidRDefault="00E46162">
      <w:pPr>
        <w:rPr>
          <w:rFonts w:ascii="Lato" w:hAnsi="Lato"/>
          <w:szCs w:val="20"/>
        </w:rPr>
      </w:pPr>
    </w:p>
    <w:p w14:paraId="0C46A34B" w14:textId="0CF31E22" w:rsidR="00E46162" w:rsidRDefault="00E46162">
      <w:pPr>
        <w:rPr>
          <w:rFonts w:ascii="Lato" w:hAnsi="Lato"/>
          <w:szCs w:val="20"/>
        </w:rPr>
      </w:pPr>
    </w:p>
    <w:p w14:paraId="65D7C66E" w14:textId="21E46020" w:rsidR="00E46162" w:rsidRDefault="00E46162">
      <w:pPr>
        <w:rPr>
          <w:rFonts w:ascii="Lato" w:hAnsi="Lato"/>
          <w:szCs w:val="20"/>
        </w:rPr>
      </w:pPr>
    </w:p>
    <w:p w14:paraId="51487042" w14:textId="63077C80" w:rsidR="00E46162" w:rsidRDefault="00E46162">
      <w:pPr>
        <w:rPr>
          <w:rFonts w:ascii="Lato" w:hAnsi="Lato"/>
          <w:szCs w:val="20"/>
        </w:rPr>
      </w:pPr>
    </w:p>
    <w:p w14:paraId="31402340" w14:textId="0495258C" w:rsidR="00E46162" w:rsidRDefault="00E46162">
      <w:pPr>
        <w:rPr>
          <w:rFonts w:ascii="Lato" w:hAnsi="Lato"/>
          <w:szCs w:val="20"/>
        </w:rPr>
      </w:pPr>
    </w:p>
    <w:p w14:paraId="68CE106C" w14:textId="4458F1A6" w:rsidR="00E46162" w:rsidRDefault="00E46162">
      <w:pPr>
        <w:rPr>
          <w:rFonts w:ascii="Lato" w:hAnsi="Lato"/>
          <w:szCs w:val="20"/>
        </w:rPr>
      </w:pPr>
    </w:p>
    <w:p w14:paraId="233B5528" w14:textId="363EAFEE" w:rsidR="00E46162" w:rsidRDefault="00E46162">
      <w:pPr>
        <w:rPr>
          <w:rFonts w:ascii="Lato" w:hAnsi="Lato"/>
          <w:szCs w:val="20"/>
        </w:rPr>
      </w:pPr>
    </w:p>
    <w:p w14:paraId="1DF0137B" w14:textId="1E281D3E" w:rsidR="00E46162" w:rsidRDefault="00E46162">
      <w:pPr>
        <w:rPr>
          <w:rFonts w:ascii="Lato" w:hAnsi="Lato"/>
          <w:szCs w:val="20"/>
        </w:rPr>
      </w:pPr>
    </w:p>
    <w:p w14:paraId="03F698E9" w14:textId="2654DDC4" w:rsidR="00E46162" w:rsidRDefault="00E46162">
      <w:pPr>
        <w:rPr>
          <w:rFonts w:ascii="Lato" w:hAnsi="Lato"/>
          <w:szCs w:val="20"/>
        </w:rPr>
      </w:pPr>
    </w:p>
    <w:p w14:paraId="20CC67BF" w14:textId="5CB4BF0F" w:rsidR="00E46162" w:rsidRDefault="00E46162">
      <w:pPr>
        <w:rPr>
          <w:rFonts w:ascii="Lato" w:hAnsi="Lato"/>
          <w:szCs w:val="20"/>
        </w:rPr>
      </w:pPr>
    </w:p>
    <w:p w14:paraId="1D1296E4" w14:textId="6D3366A4" w:rsidR="00E46162" w:rsidRDefault="00E46162">
      <w:pPr>
        <w:rPr>
          <w:rFonts w:ascii="Lato" w:hAnsi="Lato"/>
          <w:szCs w:val="20"/>
        </w:rPr>
      </w:pPr>
    </w:p>
    <w:p w14:paraId="67F59C29" w14:textId="5474B107" w:rsidR="00E46162" w:rsidRDefault="00E46162">
      <w:pPr>
        <w:rPr>
          <w:rFonts w:ascii="Lato" w:hAnsi="Lato"/>
          <w:szCs w:val="20"/>
        </w:rPr>
      </w:pPr>
    </w:p>
    <w:p w14:paraId="1BB8351C" w14:textId="04DA254E" w:rsidR="00E46162" w:rsidRDefault="00E46162">
      <w:pPr>
        <w:rPr>
          <w:rFonts w:ascii="Lato" w:hAnsi="Lato"/>
          <w:szCs w:val="20"/>
        </w:rPr>
      </w:pPr>
    </w:p>
    <w:p w14:paraId="3FD5C24E" w14:textId="068C012F" w:rsidR="00E46162" w:rsidRDefault="00E46162">
      <w:pPr>
        <w:rPr>
          <w:rFonts w:ascii="Lato" w:hAnsi="Lato"/>
          <w:szCs w:val="20"/>
        </w:rPr>
      </w:pPr>
    </w:p>
    <w:p w14:paraId="44160931" w14:textId="1C6B8195" w:rsidR="00E46162" w:rsidRDefault="00E46162">
      <w:pPr>
        <w:rPr>
          <w:rFonts w:ascii="Lato" w:hAnsi="Lato"/>
          <w:szCs w:val="20"/>
        </w:rPr>
      </w:pPr>
    </w:p>
    <w:p w14:paraId="6356F05E" w14:textId="19502BAE" w:rsidR="00E46162" w:rsidRDefault="00E46162">
      <w:pPr>
        <w:rPr>
          <w:rFonts w:ascii="Lato" w:hAnsi="Lato"/>
          <w:szCs w:val="20"/>
        </w:rPr>
      </w:pPr>
    </w:p>
    <w:p w14:paraId="33A86A69" w14:textId="5F06FA76" w:rsidR="00E46162" w:rsidRDefault="00E46162">
      <w:pPr>
        <w:rPr>
          <w:rFonts w:ascii="Lato" w:hAnsi="Lato"/>
          <w:szCs w:val="20"/>
        </w:rPr>
      </w:pPr>
    </w:p>
    <w:p w14:paraId="29C3632D" w14:textId="47C074D0" w:rsidR="00E46162" w:rsidRDefault="00E46162">
      <w:pPr>
        <w:rPr>
          <w:rFonts w:ascii="Lato" w:hAnsi="Lato"/>
          <w:szCs w:val="20"/>
        </w:rPr>
      </w:pPr>
    </w:p>
    <w:p w14:paraId="3D4E23A2" w14:textId="79B9D00B" w:rsidR="00E46162" w:rsidRDefault="00E46162">
      <w:pPr>
        <w:rPr>
          <w:rFonts w:ascii="Lato" w:hAnsi="Lato"/>
          <w:szCs w:val="20"/>
        </w:rPr>
      </w:pPr>
    </w:p>
    <w:p w14:paraId="686F4029" w14:textId="0EFD6301" w:rsidR="00E46162" w:rsidRDefault="00E46162">
      <w:pPr>
        <w:rPr>
          <w:rFonts w:ascii="Lato" w:hAnsi="Lato"/>
          <w:szCs w:val="20"/>
        </w:rPr>
      </w:pPr>
    </w:p>
    <w:p w14:paraId="29CBC560" w14:textId="095FCD91" w:rsidR="00E46162" w:rsidRDefault="00E46162">
      <w:pPr>
        <w:rPr>
          <w:rFonts w:ascii="Lato" w:hAnsi="Lato"/>
          <w:szCs w:val="20"/>
        </w:rPr>
      </w:pPr>
    </w:p>
    <w:p w14:paraId="3B5DF769" w14:textId="2B3F2EAE" w:rsidR="00E46162" w:rsidRDefault="00E46162">
      <w:pPr>
        <w:rPr>
          <w:rFonts w:ascii="Lato" w:hAnsi="Lato"/>
          <w:szCs w:val="20"/>
        </w:rPr>
      </w:pPr>
    </w:p>
    <w:p w14:paraId="31EEA1F7" w14:textId="2AC84D45" w:rsidR="00E46162" w:rsidRDefault="00E46162">
      <w:pPr>
        <w:rPr>
          <w:rFonts w:ascii="Lato" w:hAnsi="Lato"/>
          <w:szCs w:val="20"/>
        </w:rPr>
      </w:pPr>
    </w:p>
    <w:p w14:paraId="61492BAA" w14:textId="4F1D07EA" w:rsidR="00E46162" w:rsidRDefault="00E46162">
      <w:pPr>
        <w:rPr>
          <w:rFonts w:ascii="Lato" w:hAnsi="Lato"/>
          <w:szCs w:val="20"/>
        </w:rPr>
      </w:pPr>
    </w:p>
    <w:p w14:paraId="27C5746D" w14:textId="5D1039F6" w:rsidR="00E46162" w:rsidRDefault="00E46162">
      <w:pPr>
        <w:rPr>
          <w:rFonts w:ascii="Lato" w:hAnsi="Lato"/>
          <w:szCs w:val="20"/>
        </w:rPr>
      </w:pPr>
    </w:p>
    <w:p w14:paraId="528C6D54" w14:textId="77777777" w:rsidR="00E46162" w:rsidRDefault="00E46162">
      <w:pPr>
        <w:rPr>
          <w:rFonts w:ascii="Lato" w:hAnsi="Lato"/>
          <w:szCs w:val="20"/>
        </w:rPr>
      </w:pPr>
    </w:p>
    <w:p w14:paraId="78FF97C4" w14:textId="006E335E" w:rsidR="00E46162" w:rsidRDefault="00E46162">
      <w:pPr>
        <w:rPr>
          <w:rFonts w:ascii="Lato" w:hAnsi="Lato"/>
          <w:szCs w:val="20"/>
        </w:rPr>
      </w:pPr>
    </w:p>
    <w:p w14:paraId="1EB545B0" w14:textId="77777777" w:rsidR="00E46162" w:rsidRDefault="00E46162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4BE9C8BC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  <w:r w:rsidR="00301D00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16FCDD3B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356E0E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Faturamento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5C934D6C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356E0E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01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</w:t>
            </w:r>
            <w:r w:rsidR="00356E0E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9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6CC7EE2F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0D684C">
        <w:rPr>
          <w:rFonts w:ascii="Lato" w:hAnsi="Lato"/>
          <w:b/>
          <w:bCs/>
          <w:color w:val="8F3E15"/>
          <w:sz w:val="28"/>
          <w:szCs w:val="28"/>
        </w:rPr>
        <w:t>Faturamento</w:t>
      </w:r>
    </w:p>
    <w:p w14:paraId="36DBE01B" w14:textId="1FC9499D" w:rsidR="00F90DC0" w:rsidRDefault="00F90DC0" w:rsidP="00F90DC0">
      <w:pPr>
        <w:pStyle w:val="Ttulo"/>
        <w:spacing w:before="240" w:after="60"/>
        <w:jc w:val="left"/>
        <w:outlineLvl w:val="1"/>
      </w:pPr>
      <w:bookmarkStart w:id="7" w:name="_Hlk114140447"/>
      <w:bookmarkStart w:id="8" w:name="_Toc36828294"/>
      <w:r>
        <w:t>Cadastro de Produtos</w:t>
      </w:r>
      <w:bookmarkEnd w:id="8"/>
    </w:p>
    <w:p w14:paraId="2C31340A" w14:textId="79EC3C69" w:rsidR="00F90DC0" w:rsidRDefault="00F90DC0" w:rsidP="00F90DC0">
      <w:pPr>
        <w:rPr>
          <w:rFonts w:cs="Arial"/>
          <w:bCs/>
        </w:rPr>
      </w:pPr>
      <w:r>
        <w:rPr>
          <w:rFonts w:cs="Arial"/>
          <w:bCs/>
        </w:rPr>
        <w:t>O Cadastro de Produtos, é um dos principais cadastros dentro do módulo de faturamento. Ele possibilita descrever a descrição do código de produto e sua descrição, ao qual será usado para escriturar as notas fiscais de saídas.</w:t>
      </w:r>
    </w:p>
    <w:p w14:paraId="76A6415D" w14:textId="64B9920A" w:rsidR="00F90DC0" w:rsidRDefault="00F90DC0" w:rsidP="00F90DC0">
      <w:pPr>
        <w:ind w:right="-8"/>
        <w:rPr>
          <w:b/>
          <w:bCs/>
          <w:szCs w:val="20"/>
        </w:rPr>
      </w:pPr>
    </w:p>
    <w:p w14:paraId="3E246EB6" w14:textId="52DF9F81" w:rsidR="00E01E91" w:rsidRDefault="00E01E91" w:rsidP="00F90DC0">
      <w:pPr>
        <w:ind w:right="-8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31DCC481" wp14:editId="33FB830F">
            <wp:extent cx="6477000" cy="1668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95E7" w14:textId="47E5437F" w:rsidR="00F90DC0" w:rsidRDefault="00F90DC0" w:rsidP="00F90DC0">
      <w:pPr>
        <w:pStyle w:val="Ttulo"/>
        <w:spacing w:before="240" w:after="60"/>
        <w:jc w:val="left"/>
        <w:outlineLvl w:val="1"/>
      </w:pPr>
      <w:r>
        <w:t>Condição de Pagamento</w:t>
      </w:r>
      <w:bookmarkStart w:id="9" w:name="_Toc36828296"/>
      <w:bookmarkEnd w:id="9"/>
    </w:p>
    <w:p w14:paraId="5A51A857" w14:textId="76D68C17" w:rsidR="00F90DC0" w:rsidRDefault="00F90DC0" w:rsidP="00F90DC0">
      <w:r>
        <w:t xml:space="preserve">O Cadastro de condições de Pagamento, serve justamente para definir as datas de pagamento das vendas para os </w:t>
      </w:r>
      <w:proofErr w:type="gramStart"/>
      <w:r>
        <w:t>clientes(</w:t>
      </w:r>
      <w:proofErr w:type="gramEnd"/>
      <w:r>
        <w:t xml:space="preserve">Módulo de Faturamento). e ou as datas de pagamento que será feito para os seus </w:t>
      </w:r>
      <w:proofErr w:type="gramStart"/>
      <w:r>
        <w:t>fornecedores(</w:t>
      </w:r>
      <w:proofErr w:type="gramEnd"/>
      <w:r>
        <w:t>Módulo de Compras).</w:t>
      </w:r>
    </w:p>
    <w:p w14:paraId="09B40141" w14:textId="67F6F586" w:rsidR="00F90DC0" w:rsidRDefault="00F90DC0" w:rsidP="00F90DC0"/>
    <w:p w14:paraId="0835F178" w14:textId="49A680CD" w:rsidR="00E01E91" w:rsidRDefault="00CB62A2" w:rsidP="00F90DC0">
      <w:r>
        <w:rPr>
          <w:noProof/>
        </w:rPr>
        <w:drawing>
          <wp:inline distT="0" distB="0" distL="0" distR="0" wp14:anchorId="15D4C53B" wp14:editId="618F185D">
            <wp:extent cx="6477000" cy="10820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E6B4" w14:textId="77777777" w:rsidR="00CB62A2" w:rsidRDefault="00CB62A2" w:rsidP="00F90DC0">
      <w:pPr>
        <w:pStyle w:val="Ttulo"/>
        <w:spacing w:before="240" w:after="60"/>
        <w:jc w:val="left"/>
        <w:outlineLvl w:val="1"/>
      </w:pPr>
      <w:bookmarkStart w:id="10" w:name="_Toc519688914"/>
      <w:bookmarkStart w:id="11" w:name="_Ref475003129"/>
      <w:bookmarkStart w:id="12" w:name="_Ref475003088"/>
      <w:bookmarkStart w:id="13" w:name="_Toc430161692"/>
      <w:bookmarkStart w:id="14" w:name="_Toc416080541"/>
      <w:bookmarkStart w:id="15" w:name="_Toc343504071"/>
      <w:bookmarkStart w:id="16" w:name="_Toc270346494"/>
      <w:bookmarkStart w:id="17" w:name="_Toc519688924"/>
      <w:bookmarkStart w:id="18" w:name="_Toc36828313"/>
      <w:bookmarkEnd w:id="10"/>
      <w:bookmarkEnd w:id="11"/>
      <w:bookmarkEnd w:id="12"/>
      <w:bookmarkEnd w:id="13"/>
      <w:bookmarkEnd w:id="14"/>
      <w:bookmarkEnd w:id="15"/>
      <w:bookmarkEnd w:id="16"/>
    </w:p>
    <w:p w14:paraId="7A824143" w14:textId="77777777" w:rsidR="00CB62A2" w:rsidRDefault="00CB62A2" w:rsidP="00F90DC0">
      <w:pPr>
        <w:pStyle w:val="Ttulo"/>
        <w:spacing w:before="240" w:after="60"/>
        <w:jc w:val="left"/>
        <w:outlineLvl w:val="1"/>
      </w:pPr>
    </w:p>
    <w:p w14:paraId="59A0C073" w14:textId="3DFBC2F0" w:rsidR="00F90DC0" w:rsidRDefault="00F90DC0" w:rsidP="00F90DC0">
      <w:pPr>
        <w:pStyle w:val="Ttulo"/>
        <w:spacing w:before="240" w:after="60"/>
        <w:jc w:val="left"/>
        <w:outlineLvl w:val="1"/>
      </w:pPr>
      <w:r>
        <w:lastRenderedPageBreak/>
        <w:t>Tipo de Entrada e Saída</w:t>
      </w:r>
      <w:bookmarkEnd w:id="17"/>
      <w:bookmarkEnd w:id="18"/>
    </w:p>
    <w:p w14:paraId="34A36F3F" w14:textId="413F8C72" w:rsidR="00CB62A2" w:rsidRDefault="00CB62A2" w:rsidP="00CB62A2">
      <w:pPr>
        <w:pStyle w:val="Corpodetexto"/>
        <w:jc w:val="left"/>
      </w:pPr>
      <w:r>
        <w:rPr>
          <w:noProof/>
        </w:rPr>
        <w:drawing>
          <wp:inline distT="0" distB="0" distL="0" distR="0" wp14:anchorId="53694FBF" wp14:editId="479BDB79">
            <wp:extent cx="6477000" cy="30403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B40A" w14:textId="77777777" w:rsidR="00CB62A2" w:rsidRPr="00CB62A2" w:rsidRDefault="00CB62A2" w:rsidP="00CB62A2">
      <w:pPr>
        <w:pStyle w:val="Corpodetexto"/>
      </w:pPr>
    </w:p>
    <w:p w14:paraId="3D570FD5" w14:textId="77777777" w:rsidR="00F90DC0" w:rsidRDefault="00F90DC0" w:rsidP="00F90DC0">
      <w:pPr>
        <w:tabs>
          <w:tab w:val="left" w:pos="90"/>
        </w:tabs>
        <w:ind w:right="90"/>
        <w:rPr>
          <w:rFonts w:cs="Arial"/>
          <w:bCs/>
        </w:rPr>
      </w:pPr>
      <w:r>
        <w:rPr>
          <w:rFonts w:cs="Arial"/>
          <w:bCs/>
        </w:rPr>
        <w:t>O Cadastro Tipo de Entrada e Saída (TES) é responsável pela correta classificação dos documentos fiscais de entrada e saída registrados no sistema. Seu preenchimento deve ser efetuado com muito cuidado, pois através dele é possível:</w:t>
      </w:r>
    </w:p>
    <w:p w14:paraId="50073525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Calcular os tributos pertinentes ao documento registrado (entrada ou saída), bem como, definir sua escrituração nos Livros Fiscais de ISS, ICMS e IPI (integração com Livros Fiscais).</w:t>
      </w:r>
    </w:p>
    <w:p w14:paraId="3F8EB351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Controlar a entrada e saída de produtos/valores no estoque (integração com Estoque e Custos, Faturamento e Compras) e atualizar os custos de entrada e saída.</w:t>
      </w:r>
    </w:p>
    <w:p w14:paraId="60821353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Incluir automaticamente títulos na carteira a receber (vendas/saída) e na carteira a pagar (compras/entradas) (integração com os ambientes Faturamento e Compras).</w:t>
      </w:r>
    </w:p>
    <w:p w14:paraId="792C3C61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Registrar automaticamente os ativos imobilizados, a partir dos documentos de entrada referentes à compra de ativo fixo (integração com o Ativo Fixo).</w:t>
      </w:r>
    </w:p>
    <w:p w14:paraId="31153E4A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Registrar a relação "Cliente X Produto/Equipamentos" quando há saída de um documento fiscal (integração com o Field Service).</w:t>
      </w:r>
    </w:p>
    <w:p w14:paraId="170369D6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Agregar despesas ao custo do projeto ou as receitas recebidas (integração com Gestão de Projetos).</w:t>
      </w:r>
    </w:p>
    <w:p w14:paraId="78FFFF1F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Calcular os tributos relacionados aos documentos de transporte e, quando necessário, calcular os impostos pertinentes ao frete do autônomo (integração com Gestão de Transportes).</w:t>
      </w:r>
    </w:p>
    <w:p w14:paraId="0FEB33F0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>Calcular impostos variáveis relativos à tributação específica, como por exemplo, impostos localizados.</w:t>
      </w:r>
    </w:p>
    <w:p w14:paraId="4D343269" w14:textId="77777777" w:rsidR="00F90DC0" w:rsidRDefault="00F90DC0" w:rsidP="00F90DC0">
      <w:pPr>
        <w:pStyle w:val="PargrafodaLista"/>
        <w:numPr>
          <w:ilvl w:val="0"/>
          <w:numId w:val="16"/>
        </w:numPr>
        <w:spacing w:before="120"/>
        <w:contextualSpacing/>
        <w:rPr>
          <w:rFonts w:cs="Arial"/>
          <w:bCs/>
        </w:rPr>
      </w:pPr>
      <w:r>
        <w:rPr>
          <w:rFonts w:cs="Arial"/>
          <w:bCs/>
        </w:rPr>
        <w:t xml:space="preserve">Basicamente, um tipo de entrada e saída é formado por um código definido pelo usuário, um CFOP (Código Fiscal de Operações e Prestação pré-definido) descrito na tabela 13 do sistema e, por diversas configurações que podem ocorrer para </w:t>
      </w:r>
      <w:r>
        <w:rPr>
          <w:rFonts w:cs="Arial"/>
          <w:bCs/>
        </w:rPr>
        <w:lastRenderedPageBreak/>
        <w:t>cada CFOP, com incidência ou não de tributos. Dessa forma, diversos TES podem utilizar o mesmo CFOP.</w:t>
      </w:r>
    </w:p>
    <w:p w14:paraId="667ED722" w14:textId="77777777" w:rsidR="00F90DC0" w:rsidRDefault="00F90DC0" w:rsidP="00F90DC0">
      <w:pPr>
        <w:spacing w:before="120"/>
      </w:pPr>
      <w:r>
        <w:t>Basicamente, um tipo de entrada e saída é formado por um código definido pelo usuário, um CFOP (Código Fiscal de Operações e Prestação pré-definido) descrito na tabela 13 do sistema e, por diversas configurações que podem ocorrer para cada CFOP, com incidência ou não de tributos. Dessa forma, diversos TES podem utilizar o mesmo CFOP.</w:t>
      </w:r>
    </w:p>
    <w:p w14:paraId="41B00CDD" w14:textId="77777777" w:rsidR="005637FE" w:rsidRDefault="005637FE" w:rsidP="00F90DC0">
      <w:pPr>
        <w:spacing w:before="120"/>
        <w:rPr>
          <w:b/>
        </w:rPr>
      </w:pPr>
    </w:p>
    <w:p w14:paraId="48287795" w14:textId="315C6C35" w:rsidR="00F90DC0" w:rsidRDefault="00F90DC0" w:rsidP="00F90DC0">
      <w:pPr>
        <w:spacing w:before="120"/>
        <w:rPr>
          <w:b/>
        </w:rPr>
      </w:pPr>
      <w:r>
        <w:rPr>
          <w:b/>
        </w:rPr>
        <w:t>Tipos de TES</w:t>
      </w:r>
    </w:p>
    <w:p w14:paraId="007B8171" w14:textId="77777777" w:rsidR="00F90DC0" w:rsidRDefault="00F90DC0" w:rsidP="00F90DC0">
      <w:pPr>
        <w:shd w:val="clear" w:color="auto" w:fill="FFFFFF"/>
        <w:spacing w:after="165"/>
      </w:pPr>
      <w:r>
        <w:t>Na inclusão do TES, é necessário observar a definição do campo Cód. do Tipo (código do tipo de entrada ou saída) que deve ser preenchido da seguinte forma:</w:t>
      </w:r>
    </w:p>
    <w:tbl>
      <w:tblPr>
        <w:tblW w:w="2450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692"/>
      </w:tblGrid>
      <w:tr w:rsidR="00F90DC0" w14:paraId="48B4F94F" w14:textId="77777777" w:rsidTr="00A6229C">
        <w:trPr>
          <w:jc w:val="center"/>
        </w:trPr>
        <w:tc>
          <w:tcPr>
            <w:tcW w:w="2367" w:type="dxa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shd w:val="clear" w:color="auto" w:fill="EBF0FF"/>
          </w:tcPr>
          <w:p w14:paraId="1D2181A1" w14:textId="77777777" w:rsidR="00F90DC0" w:rsidRDefault="00F90DC0" w:rsidP="00A6229C">
            <w:pPr>
              <w:widowControl w:val="0"/>
              <w:shd w:val="clear" w:color="auto" w:fill="EBF0FF"/>
              <w:spacing w:before="60" w:after="60"/>
              <w:ind w:left="120" w:right="120"/>
              <w:jc w:val="center"/>
              <w:rPr>
                <w:rFonts w:ascii="Tahoma" w:eastAsia="Times New Roman" w:hAnsi="Tahoma" w:cs="Tahoma"/>
                <w:color w:val="00000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color w:val="4B4E79"/>
                <w:sz w:val="16"/>
                <w:szCs w:val="16"/>
                <w:lang w:eastAsia="pt-BR"/>
              </w:rPr>
              <w:t>Cód. do Tipo</w:t>
            </w:r>
          </w:p>
        </w:tc>
        <w:tc>
          <w:tcPr>
            <w:tcW w:w="2771" w:type="dxa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shd w:val="clear" w:color="auto" w:fill="EBF0FF"/>
          </w:tcPr>
          <w:p w14:paraId="2976AC19" w14:textId="77777777" w:rsidR="00F90DC0" w:rsidRDefault="00F90DC0" w:rsidP="00A6229C">
            <w:pPr>
              <w:widowControl w:val="0"/>
              <w:shd w:val="clear" w:color="auto" w:fill="EBF0FF"/>
              <w:spacing w:before="60" w:after="60"/>
              <w:ind w:left="120" w:right="120"/>
              <w:jc w:val="center"/>
              <w:rPr>
                <w:rFonts w:ascii="Tahoma" w:eastAsia="Times New Roman" w:hAnsi="Tahoma" w:cs="Tahoma"/>
                <w:color w:val="00000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color w:val="4B4E79"/>
                <w:sz w:val="16"/>
                <w:szCs w:val="16"/>
                <w:lang w:eastAsia="pt-BR"/>
              </w:rPr>
              <w:t>Uso</w:t>
            </w:r>
          </w:p>
        </w:tc>
      </w:tr>
      <w:tr w:rsidR="00F90DC0" w14:paraId="0938218F" w14:textId="77777777" w:rsidTr="00A6229C">
        <w:trPr>
          <w:jc w:val="center"/>
        </w:trPr>
        <w:tc>
          <w:tcPr>
            <w:tcW w:w="2367" w:type="dxa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vAlign w:val="center"/>
          </w:tcPr>
          <w:p w14:paraId="61CD3310" w14:textId="77777777" w:rsidR="00F90DC0" w:rsidRDefault="00F90DC0" w:rsidP="00A6229C">
            <w:pPr>
              <w:widowControl w:val="0"/>
              <w:spacing w:before="60" w:after="60"/>
              <w:ind w:left="120" w:right="120"/>
              <w:rPr>
                <w:rFonts w:ascii="Tahoma" w:eastAsia="Times New Roman" w:hAnsi="Tahoma" w:cs="Tahoma"/>
                <w:color w:val="00000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color w:val="4B4E79"/>
                <w:sz w:val="16"/>
                <w:szCs w:val="16"/>
                <w:lang w:eastAsia="pt-BR"/>
              </w:rPr>
              <w:t>0XX a 4XX e 500</w:t>
            </w:r>
          </w:p>
        </w:tc>
        <w:tc>
          <w:tcPr>
            <w:tcW w:w="2771" w:type="dxa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vAlign w:val="center"/>
          </w:tcPr>
          <w:p w14:paraId="182CC96D" w14:textId="77777777" w:rsidR="00F90DC0" w:rsidRDefault="00F90DC0" w:rsidP="00A6229C">
            <w:pPr>
              <w:widowControl w:val="0"/>
              <w:spacing w:before="60" w:after="60"/>
              <w:ind w:left="120" w:right="120"/>
              <w:rPr>
                <w:rFonts w:ascii="Tahoma" w:eastAsia="Times New Roman" w:hAnsi="Tahoma" w:cs="Tahoma"/>
                <w:color w:val="00000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color w:val="4B4E79"/>
                <w:sz w:val="16"/>
                <w:szCs w:val="16"/>
                <w:lang w:eastAsia="pt-BR"/>
              </w:rPr>
              <w:t>Documentos de Entrada</w:t>
            </w:r>
          </w:p>
        </w:tc>
      </w:tr>
      <w:tr w:rsidR="00F90DC0" w14:paraId="266ECEB1" w14:textId="77777777" w:rsidTr="00A6229C">
        <w:trPr>
          <w:jc w:val="center"/>
        </w:trPr>
        <w:tc>
          <w:tcPr>
            <w:tcW w:w="2367" w:type="dxa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vAlign w:val="center"/>
          </w:tcPr>
          <w:p w14:paraId="496C1EF3" w14:textId="77777777" w:rsidR="00F90DC0" w:rsidRDefault="00F90DC0" w:rsidP="00A6229C">
            <w:pPr>
              <w:widowControl w:val="0"/>
              <w:spacing w:before="60" w:after="60"/>
              <w:ind w:left="120" w:right="120"/>
              <w:rPr>
                <w:rFonts w:ascii="Tahoma" w:eastAsia="Times New Roman" w:hAnsi="Tahoma" w:cs="Tahoma"/>
                <w:color w:val="00000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color w:val="4B4E79"/>
                <w:sz w:val="16"/>
                <w:szCs w:val="16"/>
                <w:lang w:eastAsia="pt-BR"/>
              </w:rPr>
              <w:t>5XX a 9XX (exceto o 500)</w:t>
            </w:r>
          </w:p>
        </w:tc>
        <w:tc>
          <w:tcPr>
            <w:tcW w:w="2771" w:type="dxa"/>
            <w:tcBorders>
              <w:top w:val="single" w:sz="6" w:space="0" w:color="D2D3DE"/>
              <w:left w:val="single" w:sz="6" w:space="0" w:color="D2D3DE"/>
              <w:bottom w:val="single" w:sz="6" w:space="0" w:color="4B4E79"/>
              <w:right w:val="single" w:sz="6" w:space="0" w:color="4B4E79"/>
            </w:tcBorders>
            <w:vAlign w:val="center"/>
          </w:tcPr>
          <w:p w14:paraId="53EC2C5D" w14:textId="77777777" w:rsidR="00F90DC0" w:rsidRDefault="00F90DC0" w:rsidP="00A6229C">
            <w:pPr>
              <w:widowControl w:val="0"/>
              <w:spacing w:before="60" w:after="60"/>
              <w:ind w:left="120" w:right="120"/>
              <w:rPr>
                <w:rFonts w:ascii="Tahoma" w:eastAsia="Times New Roman" w:hAnsi="Tahoma" w:cs="Tahoma"/>
                <w:color w:val="00000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color w:val="4B4E79"/>
                <w:sz w:val="16"/>
                <w:szCs w:val="16"/>
                <w:lang w:eastAsia="pt-BR"/>
              </w:rPr>
              <w:t>Documentos de Saída</w:t>
            </w:r>
          </w:p>
        </w:tc>
      </w:tr>
    </w:tbl>
    <w:p w14:paraId="03FC2D27" w14:textId="77777777" w:rsidR="00F90DC0" w:rsidRDefault="00F90DC0" w:rsidP="00F90DC0">
      <w:pPr>
        <w:shd w:val="clear" w:color="auto" w:fill="FFFFFF"/>
        <w:spacing w:after="165"/>
      </w:pPr>
    </w:p>
    <w:p w14:paraId="7C5CE444" w14:textId="77777777" w:rsidR="00F90DC0" w:rsidRDefault="00F90DC0" w:rsidP="00F90DC0">
      <w:pPr>
        <w:shd w:val="clear" w:color="auto" w:fill="FFFFFF"/>
        <w:spacing w:after="165"/>
      </w:pPr>
      <w:r>
        <w:t>No campo Cód. Fiscal deve ser informado o CFOP (Código Fiscal de Operação e Prestação). O primeiro dígito indica o tipo de operação fiscal, agrupados segundo a localização do estabelecimento remetente ou o local de início da prestação de serviço:</w:t>
      </w:r>
    </w:p>
    <w:p w14:paraId="12AE0043" w14:textId="77777777" w:rsidR="00F90DC0" w:rsidRDefault="00F90DC0" w:rsidP="00F90DC0">
      <w:pPr>
        <w:pStyle w:val="PargrafodaLista"/>
        <w:numPr>
          <w:ilvl w:val="0"/>
          <w:numId w:val="17"/>
        </w:numPr>
        <w:shd w:val="clear" w:color="auto" w:fill="FFFFFF"/>
        <w:spacing w:after="165"/>
        <w:contextualSpacing/>
      </w:pPr>
      <w:r>
        <w:t>Entrada de material ou bem de origem interna ao Estado do usuário ou aquisição de serviços iniciados no mesmo Estado.</w:t>
      </w:r>
    </w:p>
    <w:p w14:paraId="384CD20C" w14:textId="77777777" w:rsidR="00F90DC0" w:rsidRDefault="00F90DC0" w:rsidP="00F90DC0">
      <w:pPr>
        <w:pStyle w:val="PargrafodaLista"/>
        <w:numPr>
          <w:ilvl w:val="0"/>
          <w:numId w:val="17"/>
        </w:numPr>
        <w:shd w:val="clear" w:color="auto" w:fill="FFFFFF"/>
        <w:spacing w:after="165"/>
        <w:contextualSpacing/>
      </w:pPr>
      <w:r>
        <w:t>Entrada de material ou bem de origem externa ao Estado do usuário ou aquisição de serviços iniciados em outro Estado.</w:t>
      </w:r>
    </w:p>
    <w:p w14:paraId="7622E9AD" w14:textId="77777777" w:rsidR="00F90DC0" w:rsidRDefault="00F90DC0" w:rsidP="00F90DC0">
      <w:pPr>
        <w:pStyle w:val="PargrafodaLista"/>
        <w:numPr>
          <w:ilvl w:val="0"/>
          <w:numId w:val="17"/>
        </w:numPr>
        <w:shd w:val="clear" w:color="auto" w:fill="FFFFFF"/>
        <w:spacing w:after="165"/>
        <w:contextualSpacing/>
      </w:pPr>
      <w:r>
        <w:t>Entrada de material ou bem de procedência estrangeira, importado diretamente pelo estabelecimento ou aquisição de serviços iniciados no exterior.</w:t>
      </w:r>
    </w:p>
    <w:p w14:paraId="346B9174" w14:textId="77777777" w:rsidR="00F90DC0" w:rsidRDefault="00F90DC0" w:rsidP="00F90DC0">
      <w:pPr>
        <w:pStyle w:val="PargrafodaLista"/>
        <w:numPr>
          <w:ilvl w:val="0"/>
          <w:numId w:val="17"/>
        </w:numPr>
        <w:shd w:val="clear" w:color="auto" w:fill="FFFFFF"/>
        <w:spacing w:after="165"/>
        <w:contextualSpacing/>
      </w:pPr>
      <w:r>
        <w:t>Compreende as operações em que os estabelecimentos envolvidos estiverem localizados no mesmo Estado.</w:t>
      </w:r>
    </w:p>
    <w:p w14:paraId="1DB7CF82" w14:textId="77777777" w:rsidR="00F90DC0" w:rsidRDefault="00F90DC0" w:rsidP="00F90DC0">
      <w:pPr>
        <w:pStyle w:val="PargrafodaLista"/>
        <w:numPr>
          <w:ilvl w:val="0"/>
          <w:numId w:val="17"/>
        </w:numPr>
        <w:shd w:val="clear" w:color="auto" w:fill="FFFFFF"/>
        <w:spacing w:after="165"/>
        <w:contextualSpacing/>
      </w:pPr>
      <w:r>
        <w:t>Compreende as operações em que os estabelecimentos envolvidos estiverem localizados em Estados distintos.</w:t>
      </w:r>
    </w:p>
    <w:p w14:paraId="2FA062D4" w14:textId="77777777" w:rsidR="00F90DC0" w:rsidRDefault="00F90DC0" w:rsidP="00F90DC0">
      <w:pPr>
        <w:pStyle w:val="PargrafodaLista"/>
        <w:numPr>
          <w:ilvl w:val="0"/>
          <w:numId w:val="17"/>
        </w:numPr>
        <w:shd w:val="clear" w:color="auto" w:fill="FFFFFF"/>
        <w:spacing w:after="165"/>
        <w:contextualSpacing/>
      </w:pPr>
      <w:r>
        <w:t>Compreende as operações em que o destinatário estiver localizado em outro país.</w:t>
      </w:r>
    </w:p>
    <w:p w14:paraId="36FC2620" w14:textId="77777777" w:rsidR="00F90DC0" w:rsidRDefault="00F90DC0" w:rsidP="00F90DC0">
      <w:pPr>
        <w:shd w:val="clear" w:color="auto" w:fill="FFFFFF"/>
        <w:spacing w:after="165"/>
      </w:pPr>
      <w:r>
        <w:t>Os demais dígitos devem ser informados conforme a operação fiscal. Exemplos:</w:t>
      </w:r>
    </w:p>
    <w:p w14:paraId="024F5B91" w14:textId="77777777" w:rsidR="00F90DC0" w:rsidRDefault="00F90DC0" w:rsidP="00F90DC0">
      <w:pPr>
        <w:pStyle w:val="PargrafodaLista"/>
        <w:numPr>
          <w:ilvl w:val="0"/>
          <w:numId w:val="18"/>
        </w:numPr>
        <w:shd w:val="clear" w:color="auto" w:fill="FFFFFF"/>
        <w:spacing w:after="165"/>
        <w:contextualSpacing/>
      </w:pPr>
      <w:r>
        <w:t>Para os documentos de entrada, verifique Códigos Fiscais de Entrada.</w:t>
      </w:r>
      <w:r>
        <w:br/>
      </w:r>
    </w:p>
    <w:p w14:paraId="39787728" w14:textId="77777777" w:rsidR="00F90DC0" w:rsidRDefault="00F90DC0" w:rsidP="00F90DC0">
      <w:pPr>
        <w:pStyle w:val="PargrafodaLista"/>
        <w:numPr>
          <w:ilvl w:val="0"/>
          <w:numId w:val="18"/>
        </w:numPr>
        <w:shd w:val="clear" w:color="auto" w:fill="FFFFFF"/>
        <w:spacing w:after="165"/>
        <w:contextualSpacing/>
      </w:pPr>
      <w:r>
        <w:t>Para os documentos de saída, verifique Códigos Fiscais de Saída.</w:t>
      </w:r>
    </w:p>
    <w:p w14:paraId="5D801D30" w14:textId="77777777" w:rsidR="00F90DC0" w:rsidRDefault="00F90DC0" w:rsidP="00F90DC0">
      <w:pPr>
        <w:shd w:val="clear" w:color="auto" w:fill="FFFFFF"/>
        <w:spacing w:after="165"/>
      </w:pPr>
      <w:r>
        <w:t xml:space="preserve">Após a utilização de um TES (Tipo de Entrada ou Saída), para classificação de um documento fiscal, ele não deve ser alterado, pois é um </w:t>
      </w:r>
      <w:proofErr w:type="gramStart"/>
      <w:r>
        <w:t>dos principais cadastros responsável</w:t>
      </w:r>
      <w:proofErr w:type="gramEnd"/>
      <w:r>
        <w:t xml:space="preserve"> em efetuar a integração com outros módulos.</w:t>
      </w:r>
    </w:p>
    <w:bookmarkEnd w:id="7"/>
    <w:p w14:paraId="201369FB" w14:textId="77777777" w:rsidR="00F90DC0" w:rsidRPr="00F90DC0" w:rsidRDefault="00F90DC0" w:rsidP="00F90DC0">
      <w:pPr>
        <w:contextualSpacing/>
        <w:rPr>
          <w:rFonts w:ascii="Lato" w:hAnsi="Lato" w:cs="Tahoma"/>
          <w:color w:val="7F7A7F"/>
          <w:lang w:eastAsia="pt-BR"/>
        </w:rPr>
      </w:pPr>
    </w:p>
    <w:p w14:paraId="49F0D693" w14:textId="1AD3E342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8CB0FE1" w14:textId="4DC20D67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8890BA0" w14:textId="3B47003C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DE0DDB5" w14:textId="4A8C45DC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83315FB" w14:textId="3E858BB9" w:rsidR="00CB62A2" w:rsidRDefault="00CB62A2" w:rsidP="00CB62A2">
      <w:pPr>
        <w:pStyle w:val="Ttulo"/>
        <w:spacing w:before="240" w:after="60"/>
        <w:jc w:val="left"/>
        <w:outlineLvl w:val="1"/>
      </w:pPr>
      <w:r>
        <w:lastRenderedPageBreak/>
        <w:t>Cadastro de Clientes</w:t>
      </w:r>
      <w:r w:rsidR="00AF084E">
        <w:t xml:space="preserve"> (Atualizações -&gt; Cadastros -&gt; Clientes)</w:t>
      </w:r>
    </w:p>
    <w:p w14:paraId="5075B3FF" w14:textId="0E49599B" w:rsidR="00356E0E" w:rsidRDefault="00842B6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35B48FB8" wp14:editId="4B476DBA">
            <wp:extent cx="647700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9D84" w14:textId="7E2E591F" w:rsidR="00975DDB" w:rsidRDefault="00975DDB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483F32B" w14:textId="1D5DCE0D" w:rsidR="00975DDB" w:rsidRDefault="00F078FF" w:rsidP="00975DDB">
      <w:pPr>
        <w:pStyle w:val="Ttulo"/>
        <w:spacing w:before="240" w:after="60"/>
        <w:jc w:val="left"/>
        <w:outlineLvl w:val="1"/>
      </w:pPr>
      <w:r>
        <w:rPr>
          <w:noProof/>
        </w:rPr>
        <w:drawing>
          <wp:inline distT="0" distB="0" distL="0" distR="0" wp14:anchorId="775D3C7C" wp14:editId="6179EBF4">
            <wp:extent cx="6469380" cy="236982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8374" w14:textId="0BF69A35" w:rsidR="00975DDB" w:rsidRDefault="00975DDB" w:rsidP="00975DDB">
      <w:pPr>
        <w:pStyle w:val="Ttulo"/>
        <w:spacing w:before="240" w:after="60"/>
        <w:jc w:val="left"/>
        <w:outlineLvl w:val="1"/>
      </w:pPr>
      <w:r>
        <w:t>Pedido de Vendas</w:t>
      </w:r>
      <w:r>
        <w:t xml:space="preserve"> (Atualizações -&gt; </w:t>
      </w:r>
      <w:r w:rsidR="00AE333B">
        <w:t>Pedidos -&gt; Pedidos de Venda</w:t>
      </w:r>
      <w:r>
        <w:t>)</w:t>
      </w:r>
    </w:p>
    <w:p w14:paraId="531E06FA" w14:textId="77777777" w:rsidR="00975DDB" w:rsidRDefault="00975DDB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FCCC269" w14:textId="05D1593E" w:rsidR="00AF084E" w:rsidRDefault="00975DDB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3926BB69" wp14:editId="77334B01">
            <wp:extent cx="6477000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53AD" w14:textId="2C62E18D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8739F8F" w14:textId="5E8A2B50" w:rsidR="00356E0E" w:rsidRDefault="00124C26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lastRenderedPageBreak/>
        <w:drawing>
          <wp:inline distT="0" distB="0" distL="0" distR="0" wp14:anchorId="30BF4899" wp14:editId="46BD12E1">
            <wp:extent cx="6477000" cy="2293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9F31" w14:textId="2D6120CA" w:rsidR="00356E0E" w:rsidRDefault="00975DDB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56B7439" wp14:editId="6545447B">
            <wp:extent cx="6469380" cy="217932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3778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1D31BB85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7822F51A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5E698DC2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768A811B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0C89D840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09292621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7C4B436C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6FE6D57F" w14:textId="77777777" w:rsidR="004F521D" w:rsidRDefault="004F521D" w:rsidP="004E72DE">
      <w:pPr>
        <w:pStyle w:val="Ttulo"/>
        <w:spacing w:before="240" w:after="60"/>
        <w:jc w:val="left"/>
        <w:outlineLvl w:val="1"/>
      </w:pPr>
    </w:p>
    <w:p w14:paraId="5C8CE4B8" w14:textId="0599588F" w:rsidR="004E72DE" w:rsidRDefault="004E72DE" w:rsidP="004E72DE">
      <w:pPr>
        <w:pStyle w:val="Ttulo"/>
        <w:spacing w:before="240" w:after="60"/>
        <w:jc w:val="left"/>
        <w:outlineLvl w:val="1"/>
      </w:pPr>
      <w:r>
        <w:lastRenderedPageBreak/>
        <w:t xml:space="preserve">Preparação </w:t>
      </w:r>
      <w:proofErr w:type="spellStart"/>
      <w:r>
        <w:t>Docto</w:t>
      </w:r>
      <w:proofErr w:type="spellEnd"/>
      <w:r>
        <w:t xml:space="preserve"> de Saída</w:t>
      </w:r>
      <w:r>
        <w:t xml:space="preserve"> (Atualizações -&gt; Pedidos -&gt; Pedidos de Venda)</w:t>
      </w:r>
    </w:p>
    <w:p w14:paraId="0868EA1A" w14:textId="37FF5DFF" w:rsidR="00356E0E" w:rsidRDefault="004F521D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6D952B9E" wp14:editId="29EB03D9">
            <wp:extent cx="6477000" cy="3352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8F4E" w14:textId="583554DD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1057E9A" w14:textId="2382BD6C" w:rsidR="00356E0E" w:rsidRDefault="002019E1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612987A" wp14:editId="4E5EBCED">
            <wp:extent cx="6431280" cy="106680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4AD4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2F4735F8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21567ED9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3DAA8D01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6661BF74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0526D602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3D07B10C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43DE7BE8" w14:textId="77777777" w:rsidR="003C041B" w:rsidRDefault="003C041B" w:rsidP="002019E1">
      <w:pPr>
        <w:pStyle w:val="Ttulo"/>
        <w:spacing w:before="240" w:after="60"/>
        <w:jc w:val="left"/>
        <w:outlineLvl w:val="1"/>
      </w:pPr>
    </w:p>
    <w:p w14:paraId="46CF8202" w14:textId="75700D47" w:rsidR="002019E1" w:rsidRDefault="002019E1" w:rsidP="002019E1">
      <w:pPr>
        <w:pStyle w:val="Ttulo"/>
        <w:spacing w:before="240" w:after="60"/>
        <w:jc w:val="left"/>
        <w:outlineLvl w:val="1"/>
      </w:pPr>
      <w:r>
        <w:lastRenderedPageBreak/>
        <w:t>Transmissão Nota de Serviço</w:t>
      </w:r>
      <w:r>
        <w:t xml:space="preserve"> (Atualizações -&gt;</w:t>
      </w:r>
      <w:r w:rsidR="004679BD">
        <w:t xml:space="preserve"> </w:t>
      </w:r>
      <w:proofErr w:type="spellStart"/>
      <w:r w:rsidR="004679BD">
        <w:t>Nfe</w:t>
      </w:r>
      <w:proofErr w:type="spellEnd"/>
      <w:r w:rsidR="004679BD">
        <w:t xml:space="preserve"> e </w:t>
      </w:r>
      <w:proofErr w:type="spellStart"/>
      <w:r w:rsidR="004679BD">
        <w:t>Nfs</w:t>
      </w:r>
      <w:proofErr w:type="spellEnd"/>
      <w:r w:rsidR="004679BD">
        <w:t>-e</w:t>
      </w:r>
      <w:r>
        <w:t>)</w:t>
      </w:r>
    </w:p>
    <w:p w14:paraId="32BA4864" w14:textId="5EB9C691" w:rsidR="00356E0E" w:rsidRDefault="003C041B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6A90213B" wp14:editId="7400D35F">
            <wp:extent cx="6469380" cy="3078480"/>
            <wp:effectExtent l="0" t="0" r="762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4800" w14:textId="7985FE8A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482EC78" w14:textId="67A3F9CB" w:rsidR="00356E0E" w:rsidRDefault="00703D45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7E62C115" wp14:editId="6BDFCD77">
            <wp:extent cx="4046220" cy="2560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C800" w14:textId="4077F464" w:rsidR="00703D45" w:rsidRDefault="00305A52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610B1149" wp14:editId="758312DF">
            <wp:extent cx="6477000" cy="15849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339E" w14:textId="48C11FC5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3ECADA5" w14:textId="19CE6E0F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6606FA5" w14:textId="65FE447F" w:rsidR="00771956" w:rsidRDefault="00F7597C" w:rsidP="00771956">
      <w:pPr>
        <w:pStyle w:val="Ttulo"/>
        <w:spacing w:before="240" w:after="60"/>
        <w:jc w:val="left"/>
        <w:outlineLvl w:val="1"/>
      </w:pPr>
      <w:r>
        <w:lastRenderedPageBreak/>
        <w:t xml:space="preserve">Exclusão </w:t>
      </w:r>
      <w:proofErr w:type="spellStart"/>
      <w:r>
        <w:t>NFSe</w:t>
      </w:r>
      <w:proofErr w:type="spellEnd"/>
      <w:r w:rsidR="00771956">
        <w:t xml:space="preserve"> (Atualizações -&gt; </w:t>
      </w:r>
      <w:r>
        <w:t>Faturamento -&gt; Exclusão de Documento de Saída</w:t>
      </w:r>
      <w:r w:rsidR="00771956">
        <w:t>)</w:t>
      </w:r>
    </w:p>
    <w:p w14:paraId="36E5BBBF" w14:textId="77777777" w:rsidR="00771956" w:rsidRDefault="00771956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77751A7" w14:textId="38913D34" w:rsidR="005637FE" w:rsidRDefault="00771956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B122864" wp14:editId="68079C77">
            <wp:extent cx="6477000" cy="15087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4714" w14:textId="5452AEF8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FC6239A" w14:textId="6F50D76F" w:rsidR="00E36967" w:rsidRPr="00E36967" w:rsidRDefault="00E36967" w:rsidP="00E36967">
      <w:pPr>
        <w:rPr>
          <w:rFonts w:ascii="Lato" w:hAnsi="Lato" w:cs="Calibri"/>
          <w:color w:val="FF0000"/>
          <w:lang w:eastAsia="pt-BR"/>
        </w:rPr>
      </w:pPr>
    </w:p>
    <w:p w14:paraId="0B65AD58" w14:textId="77777777" w:rsidR="00E36967" w:rsidRDefault="00E36967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27844E55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9" w:name="_Toc463027529"/>
      <w:bookmarkStart w:id="20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9"/>
      <w:bookmarkEnd w:id="20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p w14:paraId="19BDE47A" w14:textId="77777777" w:rsidR="005637FE" w:rsidRDefault="005637FE" w:rsidP="005637FE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 w:rsidTr="00E46162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058F69DF" w14:textId="77777777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039522C" w14:textId="63101844" w:rsidR="00424134" w:rsidRDefault="00356E0E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Leandro Mathias</w:t>
            </w:r>
          </w:p>
          <w:p w14:paraId="4305BF5B" w14:textId="6A6A0471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17191659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64FE09D1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17BD605C" w14:textId="7DE0EFFD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Alexandre Vaz</w:t>
            </w:r>
          </w:p>
          <w:p w14:paraId="5C79ACE7" w14:textId="00CB7112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2EB083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250F0F88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DA6E7D8" w14:textId="4DD394C5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6250A4C7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687EA77E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2ECB267" w14:textId="6472CCB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Wagner Mobile Costa</w:t>
            </w:r>
          </w:p>
          <w:p w14:paraId="078B1F6E" w14:textId="5DEC726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7F41711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8FF2487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C9C46B1" w14:textId="7F293C82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2B2E" w14:textId="77777777" w:rsidR="00E11758" w:rsidRDefault="00E11758">
      <w:r>
        <w:separator/>
      </w:r>
    </w:p>
  </w:endnote>
  <w:endnote w:type="continuationSeparator" w:id="0">
    <w:p w14:paraId="1AC6F3D3" w14:textId="77777777" w:rsidR="00E11758" w:rsidRDefault="00E1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altName w:val="Cambria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FDA8" w14:textId="77777777" w:rsidR="00E11758" w:rsidRDefault="00E11758">
      <w:r>
        <w:separator/>
      </w:r>
    </w:p>
  </w:footnote>
  <w:footnote w:type="continuationSeparator" w:id="0">
    <w:p w14:paraId="729D3613" w14:textId="77777777" w:rsidR="00E11758" w:rsidRDefault="00E1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21" w:name="_Hlk105761182"/>
    <w:bookmarkStart w:id="22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21"/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5568EA"/>
    <w:multiLevelType w:val="multilevel"/>
    <w:tmpl w:val="5646538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8178DD"/>
    <w:multiLevelType w:val="hybridMultilevel"/>
    <w:tmpl w:val="91AC0C08"/>
    <w:lvl w:ilvl="0" w:tplc="CF404D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6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7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DA39C9"/>
    <w:multiLevelType w:val="multilevel"/>
    <w:tmpl w:val="1D083C8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5360406F"/>
    <w:multiLevelType w:val="multilevel"/>
    <w:tmpl w:val="5B1C9C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FB6583"/>
    <w:multiLevelType w:val="multilevel"/>
    <w:tmpl w:val="4C34C1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D0595B"/>
    <w:multiLevelType w:val="multilevel"/>
    <w:tmpl w:val="6AE692BA"/>
    <w:lvl w:ilvl="0">
      <w:start w:val="1"/>
      <w:numFmt w:val="decimal"/>
      <w:pStyle w:val="111SubttuloII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4" w:hanging="432"/>
      </w:pPr>
      <w:rPr>
        <w:rFonts w:ascii="Lato Black" w:hAnsi="Lato Black"/>
        <w:color w:val="4BACC6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Lato Black" w:hAnsi="Lato Black"/>
        <w:color w:val="4BACC6" w:themeColor="accent5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Lato Black" w:hAnsi="Lato Black"/>
        <w:color w:val="4BACC6" w:themeColor="accent5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Lato Black" w:hAnsi="Lato Black"/>
        <w:color w:val="4BACC6" w:themeColor="accent5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Lato Black" w:hAnsi="Lato Black"/>
        <w:color w:val="4BACC6" w:themeColor="accent5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Lato Black" w:hAnsi="Lato Black"/>
        <w:color w:val="4BACC6" w:themeColor="accent5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Lato Black" w:hAnsi="Lato Black"/>
        <w:color w:val="4BACC6" w:themeColor="accent5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Lato Black" w:hAnsi="Lato Black"/>
        <w:color w:val="4BACC6" w:themeColor="accent5"/>
      </w:rPr>
    </w:lvl>
  </w:abstractNum>
  <w:abstractNum w:abstractNumId="18" w15:restartNumberingAfterBreak="0">
    <w:nsid w:val="68FD12A9"/>
    <w:multiLevelType w:val="multilevel"/>
    <w:tmpl w:val="2D7E89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-720"/>
        </w:tabs>
        <w:ind w:left="64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-720"/>
        </w:tabs>
        <w:ind w:left="176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403" w:hanging="360"/>
      </w:pPr>
      <w:rPr>
        <w:rFonts w:ascii="Wingdings" w:hAnsi="Wingdings" w:cs="Wingdings" w:hint="default"/>
      </w:rPr>
    </w:lvl>
  </w:abstractNum>
  <w:num w:numId="1" w16cid:durableId="733964598">
    <w:abstractNumId w:val="6"/>
  </w:num>
  <w:num w:numId="2" w16cid:durableId="1759401630">
    <w:abstractNumId w:val="7"/>
  </w:num>
  <w:num w:numId="3" w16cid:durableId="1947344662">
    <w:abstractNumId w:val="5"/>
  </w:num>
  <w:num w:numId="4" w16cid:durableId="1112554930">
    <w:abstractNumId w:val="14"/>
  </w:num>
  <w:num w:numId="5" w16cid:durableId="1790666824">
    <w:abstractNumId w:val="19"/>
  </w:num>
  <w:num w:numId="6" w16cid:durableId="1272517755">
    <w:abstractNumId w:val="0"/>
  </w:num>
  <w:num w:numId="7" w16cid:durableId="1578518509">
    <w:abstractNumId w:val="4"/>
  </w:num>
  <w:num w:numId="8" w16cid:durableId="1254362851">
    <w:abstractNumId w:val="8"/>
  </w:num>
  <w:num w:numId="9" w16cid:durableId="1643265931">
    <w:abstractNumId w:val="9"/>
  </w:num>
  <w:num w:numId="10" w16cid:durableId="1525631307">
    <w:abstractNumId w:val="16"/>
  </w:num>
  <w:num w:numId="11" w16cid:durableId="784545457">
    <w:abstractNumId w:val="13"/>
  </w:num>
  <w:num w:numId="12" w16cid:durableId="1523082423">
    <w:abstractNumId w:val="3"/>
  </w:num>
  <w:num w:numId="13" w16cid:durableId="654722958">
    <w:abstractNumId w:val="15"/>
  </w:num>
  <w:num w:numId="14" w16cid:durableId="1888028546">
    <w:abstractNumId w:val="17"/>
  </w:num>
  <w:num w:numId="15" w16cid:durableId="1187258351">
    <w:abstractNumId w:val="10"/>
  </w:num>
  <w:num w:numId="16" w16cid:durableId="1417482854">
    <w:abstractNumId w:val="18"/>
  </w:num>
  <w:num w:numId="17" w16cid:durableId="13382318">
    <w:abstractNumId w:val="12"/>
  </w:num>
  <w:num w:numId="18" w16cid:durableId="122820532">
    <w:abstractNumId w:val="11"/>
  </w:num>
  <w:num w:numId="19" w16cid:durableId="955984417">
    <w:abstractNumId w:val="2"/>
  </w:num>
  <w:num w:numId="20" w16cid:durableId="1356342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0D684C"/>
    <w:rsid w:val="0012220A"/>
    <w:rsid w:val="00124C26"/>
    <w:rsid w:val="00161328"/>
    <w:rsid w:val="001C41F3"/>
    <w:rsid w:val="001D7D74"/>
    <w:rsid w:val="002019E1"/>
    <w:rsid w:val="002218B2"/>
    <w:rsid w:val="002725AB"/>
    <w:rsid w:val="002857A5"/>
    <w:rsid w:val="00290387"/>
    <w:rsid w:val="00301D00"/>
    <w:rsid w:val="00305A52"/>
    <w:rsid w:val="00356E0E"/>
    <w:rsid w:val="003C041B"/>
    <w:rsid w:val="00424134"/>
    <w:rsid w:val="004679BD"/>
    <w:rsid w:val="00470A7F"/>
    <w:rsid w:val="004D0349"/>
    <w:rsid w:val="004E72DE"/>
    <w:rsid w:val="004F521D"/>
    <w:rsid w:val="00557695"/>
    <w:rsid w:val="005637FE"/>
    <w:rsid w:val="00637494"/>
    <w:rsid w:val="00662845"/>
    <w:rsid w:val="00662BE0"/>
    <w:rsid w:val="00701754"/>
    <w:rsid w:val="00703D45"/>
    <w:rsid w:val="00724B95"/>
    <w:rsid w:val="00771956"/>
    <w:rsid w:val="007E4B62"/>
    <w:rsid w:val="007E5B2F"/>
    <w:rsid w:val="0084191F"/>
    <w:rsid w:val="00842B6F"/>
    <w:rsid w:val="00881FA6"/>
    <w:rsid w:val="008E1027"/>
    <w:rsid w:val="008F0290"/>
    <w:rsid w:val="00975DDB"/>
    <w:rsid w:val="009D0982"/>
    <w:rsid w:val="009F54AC"/>
    <w:rsid w:val="00A657BE"/>
    <w:rsid w:val="00AB2C89"/>
    <w:rsid w:val="00AE333B"/>
    <w:rsid w:val="00AF084E"/>
    <w:rsid w:val="00B33D60"/>
    <w:rsid w:val="00BA7A1C"/>
    <w:rsid w:val="00BB0B49"/>
    <w:rsid w:val="00BE2BB7"/>
    <w:rsid w:val="00C11169"/>
    <w:rsid w:val="00C53C16"/>
    <w:rsid w:val="00CB62A2"/>
    <w:rsid w:val="00CE3AEF"/>
    <w:rsid w:val="00CE5A6E"/>
    <w:rsid w:val="00D53037"/>
    <w:rsid w:val="00D5582F"/>
    <w:rsid w:val="00D77330"/>
    <w:rsid w:val="00DC183C"/>
    <w:rsid w:val="00E01E91"/>
    <w:rsid w:val="00E11758"/>
    <w:rsid w:val="00E36967"/>
    <w:rsid w:val="00E43A39"/>
    <w:rsid w:val="00E46162"/>
    <w:rsid w:val="00EF314B"/>
    <w:rsid w:val="00F04444"/>
    <w:rsid w:val="00F078FF"/>
    <w:rsid w:val="00F7597C"/>
    <w:rsid w:val="00F76893"/>
    <w:rsid w:val="00F90DC0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99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SubttuloII">
    <w:name w:val="1.1.1 Subtítulo II"/>
    <w:basedOn w:val="PargrafodaLista"/>
    <w:next w:val="Normal"/>
    <w:qFormat/>
    <w:rsid w:val="00F90DC0"/>
    <w:pPr>
      <w:numPr>
        <w:numId w:val="14"/>
      </w:numPr>
      <w:ind w:left="1134" w:hanging="850"/>
      <w:contextualSpacing/>
    </w:pPr>
    <w:rPr>
      <w:rFonts w:ascii="Lato" w:eastAsia="Calibri" w:hAnsi="Lato" w:cs="Times New Roman"/>
      <w:b/>
      <w:color w:val="7F7A7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10</Pages>
  <Words>825</Words>
  <Characters>4458</Characters>
  <Application>Microsoft Office Word</Application>
  <DocSecurity>0</DocSecurity>
  <Lines>37</Lines>
  <Paragraphs>10</Paragraphs>
  <ScaleCrop>false</ScaleCrop>
  <Company>Hewlett-Packard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74</cp:revision>
  <cp:lastPrinted>2022-04-06T13:28:00Z</cp:lastPrinted>
  <dcterms:created xsi:type="dcterms:W3CDTF">2022-06-14T21:36:00Z</dcterms:created>
  <dcterms:modified xsi:type="dcterms:W3CDTF">2022-09-15T16:49:00Z</dcterms:modified>
  <dc:language>pt-BR</dc:language>
</cp:coreProperties>
</file>