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F39142" w14:textId="77777777" w:rsidR="00E3067F" w:rsidRDefault="005010BD">
      <w:pPr>
        <w:spacing w:before="1520"/>
      </w:pPr>
      <w:r>
        <w:rPr>
          <w:b/>
          <w:color w:val="0E7C86"/>
          <w:sz w:val="20"/>
        </w:rPr>
        <w:t>MARITIME TRANSFORMATION PROGRAMME</w:t>
      </w:r>
    </w:p>
    <w:p w14:paraId="0F184DBF" w14:textId="77777777" w:rsidR="00E3067F" w:rsidRDefault="005010BD">
      <w:r>
        <w:rPr>
          <w:b/>
          <w:sz w:val="60"/>
        </w:rPr>
        <w:t>Commercial Proposal</w:t>
      </w:r>
    </w:p>
    <w:p w14:paraId="326B57C7" w14:textId="77777777" w:rsidR="00E3067F" w:rsidRDefault="005010BD">
      <w:r>
        <w:rPr>
          <w:b/>
          <w:color w:val="0E7C86"/>
          <w:sz w:val="44"/>
        </w:rPr>
        <w:t>Unified Maritime Digital Services Platform</w:t>
      </w:r>
    </w:p>
    <w:p w14:paraId="5B133A65" w14:textId="77777777" w:rsidR="00E3067F" w:rsidRDefault="005010BD">
      <w:pPr>
        <w:spacing w:after="360"/>
      </w:pPr>
      <w:r>
        <w:rPr>
          <w:color w:val="52696F"/>
          <w:sz w:val="24"/>
        </w:rPr>
        <w:t>This proposal offers a working platform, a costed and time-boxed transformation programme, and a governed AI operating model as a single commercial construct comprising a two-year delivery envelope with one year of managed support at a fixed price of USD 5.40 million.</w:t>
      </w:r>
    </w:p>
    <w:tbl>
      <w:tblPr>
        <w:tblStyle w:val="TableGrid"/>
        <w:tblW w:w="9280" w:type="dxa"/>
        <w:tblLayout w:type="fixed"/>
        <w:tblLook w:val="04A0" w:firstRow="1" w:lastRow="0" w:firstColumn="1" w:lastColumn="0" w:noHBand="0" w:noVBand="1"/>
      </w:tblPr>
      <w:tblGrid>
        <w:gridCol w:w="2958"/>
        <w:gridCol w:w="6322"/>
      </w:tblGrid>
      <w:tr w:rsidR="00E3067F" w14:paraId="3578ECCB" w14:textId="77777777" w:rsidTr="006F6258">
        <w:trPr>
          <w:tblHeader/>
        </w:trPr>
        <w:tc>
          <w:tcPr>
            <w:tcW w:w="2960" w:type="dxa"/>
            <w:shd w:val="clear" w:color="auto" w:fill="B02E2E"/>
            <w:tcMar>
              <w:top w:w="60" w:type="dxa"/>
              <w:left w:w="100" w:type="dxa"/>
              <w:bottom w:w="60" w:type="dxa"/>
              <w:right w:w="100" w:type="dxa"/>
            </w:tcMar>
          </w:tcPr>
          <w:p w14:paraId="0BB40B03" w14:textId="77777777" w:rsidR="00E3067F" w:rsidRPr="006F6258" w:rsidRDefault="005010BD" w:rsidP="006F6258">
            <w:pPr>
              <w:spacing w:after="40" w:line="250" w:lineRule="auto"/>
              <w:rPr>
                <w:sz w:val="18"/>
              </w:rPr>
            </w:pPr>
            <w:r w:rsidRPr="006F6258">
              <w:rPr>
                <w:b/>
                <w:color w:val="FFFFFF"/>
                <w:sz w:val="18"/>
              </w:rPr>
              <w:t>Document control</w:t>
            </w:r>
          </w:p>
        </w:tc>
        <w:tc>
          <w:tcPr>
            <w:tcW w:w="6328" w:type="dxa"/>
            <w:shd w:val="clear" w:color="auto" w:fill="B02E2E"/>
            <w:tcMar>
              <w:top w:w="60" w:type="dxa"/>
              <w:left w:w="100" w:type="dxa"/>
              <w:bottom w:w="60" w:type="dxa"/>
              <w:right w:w="100" w:type="dxa"/>
            </w:tcMar>
          </w:tcPr>
          <w:p w14:paraId="15172F29" w14:textId="77777777" w:rsidR="00E3067F" w:rsidRPr="006F6258" w:rsidRDefault="00E3067F" w:rsidP="006F6258">
            <w:pPr>
              <w:spacing w:after="40" w:line="250" w:lineRule="auto"/>
              <w:rPr>
                <w:sz w:val="18"/>
              </w:rPr>
            </w:pPr>
          </w:p>
        </w:tc>
      </w:tr>
      <w:tr w:rsidR="00E3067F" w14:paraId="0B630050" w14:textId="77777777" w:rsidTr="006F6258">
        <w:tc>
          <w:tcPr>
            <w:tcW w:w="2960" w:type="dxa"/>
            <w:tcMar>
              <w:top w:w="60" w:type="dxa"/>
              <w:left w:w="100" w:type="dxa"/>
              <w:bottom w:w="60" w:type="dxa"/>
              <w:right w:w="100" w:type="dxa"/>
            </w:tcMar>
          </w:tcPr>
          <w:p w14:paraId="7B210AB9" w14:textId="77777777" w:rsidR="00E3067F" w:rsidRPr="006F6258" w:rsidRDefault="005010BD" w:rsidP="006F6258">
            <w:pPr>
              <w:spacing w:after="40" w:line="250" w:lineRule="auto"/>
              <w:rPr>
                <w:sz w:val="18"/>
              </w:rPr>
            </w:pPr>
            <w:r w:rsidRPr="006F6258">
              <w:rPr>
                <w:sz w:val="18"/>
              </w:rPr>
              <w:t>Classification</w:t>
            </w:r>
          </w:p>
        </w:tc>
        <w:tc>
          <w:tcPr>
            <w:tcW w:w="6328" w:type="dxa"/>
            <w:tcMar>
              <w:top w:w="60" w:type="dxa"/>
              <w:left w:w="100" w:type="dxa"/>
              <w:bottom w:w="60" w:type="dxa"/>
              <w:right w:w="100" w:type="dxa"/>
            </w:tcMar>
          </w:tcPr>
          <w:p w14:paraId="3DA55963" w14:textId="77777777" w:rsidR="00E3067F" w:rsidRPr="006F6258" w:rsidRDefault="005010BD" w:rsidP="006F6258">
            <w:pPr>
              <w:spacing w:after="40" w:line="250" w:lineRule="auto"/>
              <w:rPr>
                <w:sz w:val="18"/>
              </w:rPr>
            </w:pPr>
            <w:r w:rsidRPr="006F6258">
              <w:rPr>
                <w:sz w:val="18"/>
              </w:rPr>
              <w:t>CONFIDENTIAL — commercial in confidence</w:t>
            </w:r>
          </w:p>
        </w:tc>
      </w:tr>
      <w:tr w:rsidR="00E3067F" w14:paraId="42C47788" w14:textId="77777777" w:rsidTr="006F6258">
        <w:tc>
          <w:tcPr>
            <w:tcW w:w="2960" w:type="dxa"/>
            <w:tcMar>
              <w:top w:w="60" w:type="dxa"/>
              <w:left w:w="100" w:type="dxa"/>
              <w:bottom w:w="60" w:type="dxa"/>
              <w:right w:w="100" w:type="dxa"/>
            </w:tcMar>
          </w:tcPr>
          <w:p w14:paraId="700FAC44" w14:textId="77777777" w:rsidR="00E3067F" w:rsidRPr="006F6258" w:rsidRDefault="005010BD" w:rsidP="006F6258">
            <w:pPr>
              <w:spacing w:after="40" w:line="250" w:lineRule="auto"/>
              <w:rPr>
                <w:sz w:val="18"/>
              </w:rPr>
            </w:pPr>
            <w:r w:rsidRPr="006F6258">
              <w:rPr>
                <w:sz w:val="18"/>
              </w:rPr>
              <w:t>Version / Date</w:t>
            </w:r>
          </w:p>
        </w:tc>
        <w:tc>
          <w:tcPr>
            <w:tcW w:w="6328" w:type="dxa"/>
            <w:tcMar>
              <w:top w:w="60" w:type="dxa"/>
              <w:left w:w="100" w:type="dxa"/>
              <w:bottom w:w="60" w:type="dxa"/>
              <w:right w:w="100" w:type="dxa"/>
            </w:tcMar>
          </w:tcPr>
          <w:p w14:paraId="2450972E" w14:textId="77777777" w:rsidR="00E3067F" w:rsidRPr="006F6258" w:rsidRDefault="005010BD" w:rsidP="006F6258">
            <w:pPr>
              <w:spacing w:after="40" w:line="250" w:lineRule="auto"/>
              <w:rPr>
                <w:sz w:val="18"/>
              </w:rPr>
            </w:pPr>
            <w:r w:rsidRPr="006F6258">
              <w:rPr>
                <w:sz w:val="18"/>
              </w:rPr>
              <w:t>Proposal V2 · August 2026</w:t>
            </w:r>
          </w:p>
        </w:tc>
      </w:tr>
      <w:tr w:rsidR="00E3067F" w14:paraId="42C47788" w14:textId="77777777" w:rsidTr="006F6258">
        <w:tc>
          <w:tcPr>
            <w:tcW w:w="2960" w:type="dxa"/>
            <w:tcMar>
              <w:top w:w="60" w:type="dxa"/>
              <w:left w:w="100" w:type="dxa"/>
              <w:bottom w:w="60" w:type="dxa"/>
              <w:right w:w="100" w:type="dxa"/>
            </w:tcMar>
          </w:tcPr>
          <w:p w14:paraId="700FAC44" w14:textId="77777777" w:rsidR="00E3067F" w:rsidRPr="006F6258" w:rsidRDefault="005010BD" w:rsidP="006F6258">
            <w:pPr>
              <w:spacing w:after="40" w:line="250" w:lineRule="auto"/>
              <w:rPr>
                <w:sz w:val="18"/>
              </w:rPr>
            </w:pPr>
            <w:r w:rsidRPr="006F6258">
              <w:rPr>
                <w:sz w:val="18"/>
              </w:rPr>
              <w:t>Validity</w:t>
            </w:r>
          </w:p>
        </w:tc>
        <w:tc>
          <w:tcPr>
            <w:tcW w:w="6328" w:type="dxa"/>
            <w:tcMar>
              <w:top w:w="60" w:type="dxa"/>
              <w:left w:w="100" w:type="dxa"/>
              <w:bottom w:w="60" w:type="dxa"/>
              <w:right w:w="100" w:type="dxa"/>
            </w:tcMar>
          </w:tcPr>
          <w:p w14:paraId="2450972E" w14:textId="77777777" w:rsidR="00E3067F" w:rsidRPr="006F6258" w:rsidRDefault="005010BD" w:rsidP="006F6258">
            <w:pPr>
              <w:spacing w:after="40" w:line="250" w:lineRule="auto"/>
              <w:rPr>
                <w:sz w:val="18"/>
              </w:rPr>
            </w:pPr>
            <w:r w:rsidRPr="006F6258">
              <w:rPr>
                <w:sz w:val="18"/>
              </w:rPr>
              <w:t>90 days from date of issue; prices firm for an award within the validity period</w:t>
            </w:r>
          </w:p>
        </w:tc>
      </w:tr>
      <w:tr w:rsidR="00E3067F" w14:paraId="539D0104" w14:textId="77777777" w:rsidTr="006F6258">
        <w:tc>
          <w:tcPr>
            <w:tcW w:w="2960" w:type="dxa"/>
            <w:tcMar>
              <w:top w:w="60" w:type="dxa"/>
              <w:left w:w="100" w:type="dxa"/>
              <w:bottom w:w="60" w:type="dxa"/>
              <w:right w:w="100" w:type="dxa"/>
            </w:tcMar>
          </w:tcPr>
          <w:p w14:paraId="062A829D" w14:textId="77777777" w:rsidR="00E3067F" w:rsidRPr="006F6258" w:rsidRDefault="005010BD" w:rsidP="006F6258">
            <w:pPr>
              <w:spacing w:after="40" w:line="250" w:lineRule="auto"/>
              <w:rPr>
                <w:sz w:val="18"/>
              </w:rPr>
            </w:pPr>
            <w:r w:rsidRPr="006F6258">
              <w:rPr>
                <w:sz w:val="18"/>
              </w:rPr>
              <w:t>Method</w:t>
            </w:r>
          </w:p>
        </w:tc>
        <w:tc>
          <w:tcPr>
            <w:tcW w:w="6328" w:type="dxa"/>
            <w:tcMar>
              <w:top w:w="60" w:type="dxa"/>
              <w:left w:w="100" w:type="dxa"/>
              <w:bottom w:w="60" w:type="dxa"/>
              <w:right w:w="100" w:type="dxa"/>
            </w:tcMar>
          </w:tcPr>
          <w:p w14:paraId="27E16B39" w14:textId="77777777" w:rsidR="00D0021F" w:rsidRPr="00D0021F" w:rsidRDefault="00D0021F" w:rsidP="00D0021F">
            <w:pPr>
              <w:pStyle w:val="ListBullet"/>
              <w:spacing w:after="40" w:line="240" w:lineRule="auto"/>
              <w:ind w:left="200" w:hanging="200"/>
              <w:rPr>
                <w:sz w:val="18"/>
              </w:rPr>
            </w:pPr>
            <w:r w:rsidRPr="00D0021F">
              <w:rPr>
                <w:sz w:val="18"/>
              </w:rPr>
              <w:t>Commercial companion to the Technical Approach Document (V15) and the Sagar Drishti TAD (V1). Prices from the commercial model workbook (Annexure C); the annexure register is in Section 7.</w:t>
            </w:r>
          </w:p>
          <w:p w14:paraId="0DDB274D" w14:textId="77777777" w:rsidR="00D0021F" w:rsidRPr="00D0021F" w:rsidRDefault="00D0021F" w:rsidP="00D0021F">
            <w:pPr>
              <w:pStyle w:val="ListBullet"/>
              <w:spacing w:after="40" w:line="240" w:lineRule="auto"/>
              <w:ind w:left="200" w:hanging="200"/>
              <w:rPr>
                <w:sz w:val="18"/>
              </w:rPr>
            </w:pPr>
          </w:p>
          <w:p w14:paraId="2B7F744A" w14:textId="77777777" w:rsidR="00E3067F" w:rsidRPr="00D0021F" w:rsidRDefault="00D0021F" w:rsidP="00D0021F">
            <w:pPr>
              <w:pStyle w:val="ListBullet"/>
              <w:spacing w:after="40" w:line="240" w:lineRule="auto"/>
              <w:ind w:left="200" w:hanging="200"/>
              <w:rPr>
                <w:sz w:val="18"/>
              </w:rPr>
            </w:pPr>
          </w:p>
        </w:tc>
      </w:tr>
      <w:tr w:rsidR="00E3067F" w14:paraId="134B66B1" w14:textId="77777777" w:rsidTr="006F6258">
        <w:tc>
          <w:tcPr>
            <w:tcW w:w="2960" w:type="dxa"/>
            <w:tcMar>
              <w:top w:w="60" w:type="dxa"/>
              <w:left w:w="100" w:type="dxa"/>
              <w:bottom w:w="60" w:type="dxa"/>
              <w:right w:w="100" w:type="dxa"/>
            </w:tcMar>
          </w:tcPr>
          <w:p w14:paraId="493CD0E4" w14:textId="77777777" w:rsidR="004344AE" w:rsidRPr="00D0021F" w:rsidRDefault="00D0021F" w:rsidP="00D0021F">
            <w:pPr>
              <w:spacing w:after="40" w:line="240" w:lineRule="auto"/>
              <w:rPr>
                <w:sz w:val="18"/>
              </w:rPr>
            </w:pPr>
            <w:r w:rsidRPr="00D0021F">
              <w:rPr>
                <w:sz w:val="18"/>
              </w:rPr>
              <w:t>Alignment</w:t>
            </w:r>
          </w:p>
          <w:p w14:paraId="3D269DE2" w14:textId="77777777" w:rsidR="00E3067F" w:rsidRPr="00D0021F" w:rsidRDefault="00E3067F" w:rsidP="00D0021F">
            <w:pPr>
              <w:spacing w:after="0" w:line="20" w:lineRule="auto"/>
              <w:rPr>
                <w:sz w:val="2"/>
              </w:rPr>
            </w:pPr>
          </w:p>
        </w:tc>
        <w:tc>
          <w:tcPr>
            <w:tcW w:w="6328" w:type="dxa"/>
            <w:tcMar>
              <w:top w:w="60" w:type="dxa"/>
              <w:left w:w="100" w:type="dxa"/>
              <w:bottom w:w="60" w:type="dxa"/>
              <w:right w:w="100" w:type="dxa"/>
            </w:tcMar>
          </w:tcPr>
          <w:p w14:paraId="0D83C5E4" w14:textId="77777777" w:rsidR="00E3067F" w:rsidRPr="006F6258" w:rsidRDefault="005010BD" w:rsidP="006F6258">
            <w:pPr>
              <w:spacing w:after="40" w:line="250" w:lineRule="auto"/>
              <w:rPr>
                <w:sz w:val="18"/>
              </w:rPr>
            </w:pPr>
            <w:r w:rsidRPr="006F6258">
              <w:rPr>
                <w:sz w:val="18"/>
              </w:rPr>
              <w:t>Target stack aligned to the Client's shared Azure platform architecture: Microsoft Foundry Agent Service AI layer, AKS microservices, ADLS Gen2 + AI Search data/AI foundation, Entra ID + UAE PASS identity, UAE North / UAE Central regions</w:t>
            </w:r>
          </w:p>
        </w:tc>
      </w:tr>
      <w:tr w:rsidR="00E3067F" w14:paraId="0F9D50CF" w14:textId="77777777" w:rsidTr="006F6258">
        <w:tc>
          <w:tcPr>
            <w:tcW w:w="2960" w:type="dxa"/>
            <w:tcMar>
              <w:top w:w="60" w:type="dxa"/>
              <w:left w:w="100" w:type="dxa"/>
              <w:bottom w:w="60" w:type="dxa"/>
              <w:right w:w="100" w:type="dxa"/>
            </w:tcMar>
          </w:tcPr>
          <w:p w14:paraId="4EAF43E1" w14:textId="77777777" w:rsidR="00E3067F" w:rsidRPr="006F6258" w:rsidRDefault="005010BD" w:rsidP="006F6258">
            <w:pPr>
              <w:spacing w:after="40" w:line="250" w:lineRule="auto"/>
              <w:rPr>
                <w:sz w:val="18"/>
              </w:rPr>
            </w:pPr>
            <w:r w:rsidRPr="006F6258">
              <w:rPr>
                <w:sz w:val="18"/>
              </w:rPr>
              <w:t>Baseline evidence</w:t>
            </w:r>
          </w:p>
        </w:tc>
        <w:tc>
          <w:tcPr>
            <w:tcW w:w="6328" w:type="dxa"/>
            <w:tcMar>
              <w:top w:w="60" w:type="dxa"/>
              <w:left w:w="100" w:type="dxa"/>
              <w:bottom w:w="60" w:type="dxa"/>
              <w:right w:w="100" w:type="dxa"/>
            </w:tcMar>
          </w:tcPr>
          <w:p w14:paraId="34CBF5B1" w14:textId="77777777" w:rsidR="00E3067F" w:rsidRPr="006F6258" w:rsidRDefault="005010BD" w:rsidP="006F6258">
            <w:pPr>
              <w:spacing w:after="40" w:line="250" w:lineRule="auto"/>
              <w:rPr>
                <w:sz w:val="18"/>
              </w:rPr>
            </w:pPr>
            <w:r w:rsidRPr="006F6258">
              <w:rPr>
                <w:sz w:val="18"/>
              </w:rPr>
              <w:t>A working 13-module maritime operations platform and a companion AI analytics portal (live demo available); production reference architecture on Azure in operation</w:t>
            </w:r>
          </w:p>
        </w:tc>
      </w:tr>
      <w:tr w:rsidR="00E3067F" w14:paraId="09D3F51B" w14:textId="77777777" w:rsidTr="006F6258">
        <w:tc>
          <w:tcPr>
            <w:tcW w:w="2960" w:type="dxa"/>
            <w:tcMar>
              <w:top w:w="60" w:type="dxa"/>
              <w:left w:w="100" w:type="dxa"/>
              <w:bottom w:w="60" w:type="dxa"/>
              <w:right w:w="100" w:type="dxa"/>
            </w:tcMar>
          </w:tcPr>
          <w:p w14:paraId="2131CFF2" w14:textId="77777777" w:rsidR="00E3067F" w:rsidRPr="006F6258" w:rsidRDefault="005010BD" w:rsidP="006F6258">
            <w:pPr>
              <w:spacing w:after="40" w:line="250" w:lineRule="auto"/>
              <w:rPr>
                <w:sz w:val="18"/>
              </w:rPr>
            </w:pPr>
            <w:r w:rsidRPr="006F6258">
              <w:rPr>
                <w:sz w:val="18"/>
              </w:rPr>
              <w:t>Estimate status</w:t>
            </w:r>
          </w:p>
        </w:tc>
        <w:tc>
          <w:tcPr>
            <w:tcW w:w="6328" w:type="dxa"/>
            <w:tcMar>
              <w:top w:w="60" w:type="dxa"/>
              <w:left w:w="100" w:type="dxa"/>
              <w:bottom w:w="60" w:type="dxa"/>
              <w:right w:w="100" w:type="dxa"/>
            </w:tcMar>
          </w:tcPr>
          <w:p w14:paraId="0F0339FA" w14:textId="77777777" w:rsidR="00E3067F" w:rsidRPr="006F6258" w:rsidRDefault="005010BD" w:rsidP="006F6258">
            <w:pPr>
              <w:spacing w:after="40" w:line="250" w:lineRule="auto"/>
              <w:rPr>
                <w:sz w:val="18"/>
              </w:rPr>
            </w:pPr>
            <w:r w:rsidRPr="006F6258">
              <w:rPr>
                <w:sz w:val="18"/>
              </w:rPr>
              <w:t>Effort estimates indicative at line level, to be confirmed at D0/D1; the price is fixed within the stated scope envelope, with movement beyond it handled by change control</w:t>
            </w:r>
          </w:p>
        </w:tc>
      </w:tr>
    </w:tbl>
    <w:p w14:paraId="236EB2A6" w14:textId="77777777" w:rsidR="00E3067F" w:rsidRDefault="00E3067F">
      <w:pPr>
        <w:spacing w:after="40"/>
      </w:pPr>
    </w:p>
    <w:p w14:paraId="69272316" w14:textId="77777777" w:rsidR="00E3067F" w:rsidRDefault="005010BD">
      <w:r>
        <w:t>Guidance on reading this proposal: every capability claimed herein is operational and evidenced by screenshots in the accompanying Technical Approach Document (V15), and every figure quoted reconciles to the commercial model workbook (CommercialModel-V1.xlsx, Annexure C), in which every rate and share is an editable parameter.</w:t>
      </w:r>
    </w:p>
    <w:p w14:paraId="1D7A0020" w14:textId="77777777" w:rsidR="00E3067F" w:rsidRDefault="005010BD">
      <w:pPr>
        <w:pStyle w:val="Heading1"/>
      </w:pPr>
      <w:bookmarkStart w:id="0" w:name="_Toc238746688"/>
      <w:r>
        <w:lastRenderedPageBreak/>
        <w:t>Contents</w:t>
      </w:r>
      <w:bookmarkEnd w:id="0"/>
    </w:p>
    <w:p w14:paraId="6C638C23" w14:textId="08645B3E"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2000" w:history="1">
        <w:r w:rsidRPr="00A1324F">
          <w:rPr>
            <w:rStyle w:val="Hyperlink"/>
            <w:noProof/>
          </w:rPr>
          <w:t>1.  Executive summary</w:t>
        </w:r>
        <w:r>
          <w:rPr>
            <w:noProof/>
            <w:webHidden/>
          </w:rPr>
          <w:tab/>
        </w:r>
        <w:r>
          <w:rPr>
            <w:noProof/>
            <w:webHidden/>
          </w:rPr>
          <w:fldChar w:fldCharType="begin"/>
        </w:r>
        <w:r>
          <w:rPr>
            <w:noProof/>
            <w:webHidden/>
          </w:rPr>
          <w:instrText xml:space="preserve"> PAGEREF _Toc12000 \h </w:instrText>
        </w:r>
        <w:r>
          <w:rPr>
            <w:noProof/>
            <w:webHidden/>
          </w:rPr>
        </w:r>
        <w:r>
          <w:rPr>
            <w:noProof/>
            <w:webHidden/>
          </w:rPr>
          <w:fldChar w:fldCharType="separate"/>
        </w:r>
        <w:r w:rsidR="000D2596">
          <w:rPr>
            <w:noProof/>
            <w:webHidden/>
          </w:rPr>
          <w:t>2</w:t>
        </w:r>
        <w:r>
          <w:rPr>
            <w:noProof/>
            <w:webHidden/>
          </w:rPr>
          <w:fldChar w:fldCharType="end"/>
        </w:r>
      </w:hyperlink>
    </w:p>
    <w:p w14:paraId="4204039D"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2001" w:history="1">
        <w:r w:rsidRPr="00A1324F">
          <w:rPr>
            <w:rStyle w:val="Hyperlink"/>
            <w:noProof/>
          </w:rPr>
          <w:t>2.  Composition of the fixed price</w:t>
        </w:r>
        <w:r>
          <w:rPr>
            <w:noProof/>
            <w:webHidden/>
          </w:rPr>
          <w:tab/>
        </w:r>
        <w:r>
          <w:rPr>
            <w:noProof/>
            <w:webHidden/>
          </w:rPr>
          <w:fldChar w:fldCharType="begin"/>
        </w:r>
        <w:r>
          <w:rPr>
            <w:noProof/>
            <w:webHidden/>
          </w:rPr>
          <w:instrText xml:space="preserve"> PAGEREF _Toc12001 \h </w:instrText>
        </w:r>
        <w:r>
          <w:rPr>
            <w:noProof/>
            <w:webHidden/>
          </w:rPr>
        </w:r>
        <w:r>
          <w:rPr>
            <w:noProof/>
            <w:webHidden/>
          </w:rPr>
          <w:fldChar w:fldCharType="separate"/>
        </w:r>
        <w:r w:rsidR="000D2596">
          <w:rPr>
            <w:noProof/>
            <w:webHidden/>
          </w:rPr>
          <w:t>2</w:t>
        </w:r>
        <w:r>
          <w:rPr>
            <w:noProof/>
            <w:webHidden/>
          </w:rPr>
          <w:fldChar w:fldCharType="end"/>
        </w:r>
      </w:hyperlink>
    </w:p>
    <w:p w14:paraId="2F0B8344"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12002" w:history="1">
        <w:r w:rsidRPr="00A1324F">
          <w:rPr>
            <w:rStyle w:val="Hyperlink"/>
            <w:noProof/>
          </w:rPr>
          <w:t>2.1  The platform licence — USD 1,676,563</w:t>
        </w:r>
        <w:r>
          <w:rPr>
            <w:noProof/>
            <w:webHidden/>
          </w:rPr>
          <w:tab/>
        </w:r>
        <w:r>
          <w:rPr>
            <w:noProof/>
            <w:webHidden/>
          </w:rPr>
          <w:fldChar w:fldCharType="begin"/>
        </w:r>
        <w:r>
          <w:rPr>
            <w:noProof/>
            <w:webHidden/>
          </w:rPr>
          <w:instrText xml:space="preserve"> PAGEREF _Toc12002 \h </w:instrText>
        </w:r>
        <w:r>
          <w:rPr>
            <w:noProof/>
            <w:webHidden/>
          </w:rPr>
        </w:r>
        <w:r>
          <w:rPr>
            <w:noProof/>
            <w:webHidden/>
          </w:rPr>
          <w:fldChar w:fldCharType="separate"/>
        </w:r>
        <w:r w:rsidR="000D2596">
          <w:rPr>
            <w:noProof/>
            <w:webHidden/>
          </w:rPr>
          <w:t>2</w:t>
        </w:r>
        <w:r>
          <w:rPr>
            <w:noProof/>
            <w:webHidden/>
          </w:rPr>
          <w:fldChar w:fldCharType="end"/>
        </w:r>
      </w:hyperlink>
    </w:p>
    <w:p w14:paraId="67B78A63"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12003" w:history="1">
        <w:r w:rsidRPr="00A1324F">
          <w:rPr>
            <w:rStyle w:val="Hyperlink"/>
            <w:noProof/>
          </w:rPr>
          <w:t>2.2  The transformation programme — USD 2,171,290 plus 10% contingency</w:t>
        </w:r>
        <w:r>
          <w:rPr>
            <w:noProof/>
            <w:webHidden/>
          </w:rPr>
          <w:tab/>
        </w:r>
        <w:r>
          <w:rPr>
            <w:noProof/>
            <w:webHidden/>
          </w:rPr>
          <w:fldChar w:fldCharType="begin"/>
        </w:r>
        <w:r>
          <w:rPr>
            <w:noProof/>
            <w:webHidden/>
          </w:rPr>
          <w:instrText xml:space="preserve"> PAGEREF _Toc12003 \h </w:instrText>
        </w:r>
        <w:r>
          <w:rPr>
            <w:noProof/>
            <w:webHidden/>
          </w:rPr>
        </w:r>
        <w:r>
          <w:rPr>
            <w:noProof/>
            <w:webHidden/>
          </w:rPr>
          <w:fldChar w:fldCharType="separate"/>
        </w:r>
        <w:r w:rsidR="000D2596">
          <w:rPr>
            <w:noProof/>
            <w:webHidden/>
          </w:rPr>
          <w:t>3</w:t>
        </w:r>
        <w:r>
          <w:rPr>
            <w:noProof/>
            <w:webHidden/>
          </w:rPr>
          <w:fldChar w:fldCharType="end"/>
        </w:r>
      </w:hyperlink>
    </w:p>
    <w:p w14:paraId="0744EB2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12004" w:history="1">
        <w:r w:rsidRPr="00A1324F">
          <w:rPr>
            <w:rStyle w:val="Hyperlink"/>
            <w:noProof/>
          </w:rPr>
          <w:t>2.3  Delivery costs — USD 767,018</w:t>
        </w:r>
        <w:r>
          <w:rPr>
            <w:noProof/>
            <w:webHidden/>
          </w:rPr>
          <w:tab/>
        </w:r>
        <w:r>
          <w:rPr>
            <w:noProof/>
            <w:webHidden/>
          </w:rPr>
          <w:fldChar w:fldCharType="begin"/>
        </w:r>
        <w:r>
          <w:rPr>
            <w:noProof/>
            <w:webHidden/>
          </w:rPr>
          <w:instrText xml:space="preserve"> PAGEREF _Toc12004 \h </w:instrText>
        </w:r>
        <w:r>
          <w:rPr>
            <w:noProof/>
            <w:webHidden/>
          </w:rPr>
        </w:r>
        <w:r>
          <w:rPr>
            <w:noProof/>
            <w:webHidden/>
          </w:rPr>
          <w:fldChar w:fldCharType="separate"/>
        </w:r>
        <w:r w:rsidR="000D2596">
          <w:rPr>
            <w:noProof/>
            <w:webHidden/>
          </w:rPr>
          <w:t>3</w:t>
        </w:r>
        <w:r>
          <w:rPr>
            <w:noProof/>
            <w:webHidden/>
          </w:rPr>
          <w:fldChar w:fldCharType="end"/>
        </w:r>
      </w:hyperlink>
    </w:p>
    <w:p w14:paraId="79FD31CB"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12005" w:history="1">
        <w:r w:rsidRPr="00A1324F">
          <w:rPr>
            <w:rStyle w:val="Hyperlink"/>
            <w:noProof/>
          </w:rPr>
          <w:t>2.4  Managed support — AMC Year 1, USD 568,000</w:t>
        </w:r>
        <w:r>
          <w:rPr>
            <w:noProof/>
            <w:webHidden/>
          </w:rPr>
          <w:tab/>
        </w:r>
        <w:r>
          <w:rPr>
            <w:noProof/>
            <w:webHidden/>
          </w:rPr>
          <w:fldChar w:fldCharType="begin"/>
        </w:r>
        <w:r>
          <w:rPr>
            <w:noProof/>
            <w:webHidden/>
          </w:rPr>
          <w:instrText xml:space="preserve"> PAGEREF _Toc12005 \h </w:instrText>
        </w:r>
        <w:r>
          <w:rPr>
            <w:noProof/>
            <w:webHidden/>
          </w:rPr>
        </w:r>
        <w:r>
          <w:rPr>
            <w:noProof/>
            <w:webHidden/>
          </w:rPr>
          <w:fldChar w:fldCharType="separate"/>
        </w:r>
        <w:r w:rsidR="000D2596">
          <w:rPr>
            <w:noProof/>
            <w:webHidden/>
          </w:rPr>
          <w:t>4</w:t>
        </w:r>
        <w:r>
          <w:rPr>
            <w:noProof/>
            <w:webHidden/>
          </w:rPr>
          <w:fldChar w:fldCharType="end"/>
        </w:r>
      </w:hyperlink>
    </w:p>
    <w:p w14:paraId="016C2CAA"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2006" w:history="1">
        <w:r w:rsidRPr="00A1324F">
          <w:rPr>
            <w:rStyle w:val="Hyperlink"/>
            <w:noProof/>
          </w:rPr>
          <w:t>3.  Delivery approach</w:t>
        </w:r>
        <w:r>
          <w:rPr>
            <w:noProof/>
            <w:webHidden/>
          </w:rPr>
          <w:tab/>
        </w:r>
        <w:r>
          <w:rPr>
            <w:noProof/>
            <w:webHidden/>
          </w:rPr>
          <w:fldChar w:fldCharType="begin"/>
        </w:r>
        <w:r>
          <w:rPr>
            <w:noProof/>
            <w:webHidden/>
          </w:rPr>
          <w:instrText xml:space="preserve"> PAGEREF _Toc12006 \h </w:instrText>
        </w:r>
        <w:r>
          <w:rPr>
            <w:noProof/>
            <w:webHidden/>
          </w:rPr>
        </w:r>
        <w:r>
          <w:rPr>
            <w:noProof/>
            <w:webHidden/>
          </w:rPr>
          <w:fldChar w:fldCharType="separate"/>
        </w:r>
        <w:r w:rsidR="000D2596">
          <w:rPr>
            <w:noProof/>
            <w:webHidden/>
          </w:rPr>
          <w:t>4</w:t>
        </w:r>
        <w:r>
          <w:rPr>
            <w:noProof/>
            <w:webHidden/>
          </w:rPr>
          <w:fldChar w:fldCharType="end"/>
        </w:r>
      </w:hyperlink>
    </w:p>
    <w:p w14:paraId="2DFA293C"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2007" w:history="1">
        <w:r w:rsidRPr="00A1324F">
          <w:rPr>
            <w:rStyle w:val="Hyperlink"/>
            <w:noProof/>
          </w:rPr>
          <w:t>4.  Payment schedule</w:t>
        </w:r>
        <w:r>
          <w:rPr>
            <w:noProof/>
            <w:webHidden/>
          </w:rPr>
          <w:tab/>
        </w:r>
        <w:r>
          <w:rPr>
            <w:noProof/>
            <w:webHidden/>
          </w:rPr>
          <w:fldChar w:fldCharType="begin"/>
        </w:r>
        <w:r>
          <w:rPr>
            <w:noProof/>
            <w:webHidden/>
          </w:rPr>
          <w:instrText xml:space="preserve"> PAGEREF _Toc12007 \h </w:instrText>
        </w:r>
        <w:r>
          <w:rPr>
            <w:noProof/>
            <w:webHidden/>
          </w:rPr>
        </w:r>
        <w:r>
          <w:rPr>
            <w:noProof/>
            <w:webHidden/>
          </w:rPr>
          <w:fldChar w:fldCharType="separate"/>
        </w:r>
        <w:r w:rsidR="000D2596">
          <w:rPr>
            <w:noProof/>
            <w:webHidden/>
          </w:rPr>
          <w:t>5</w:t>
        </w:r>
        <w:r>
          <w:rPr>
            <w:noProof/>
            <w:webHidden/>
          </w:rPr>
          <w:fldChar w:fldCharType="end"/>
        </w:r>
      </w:hyperlink>
    </w:p>
    <w:p w14:paraId="710CB478"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2008" w:history="1">
        <w:r w:rsidRPr="00A1324F">
          <w:rPr>
            <w:rStyle w:val="Hyperlink"/>
            <w:noProof/>
          </w:rPr>
          <w:t>5.  Assumptions, exclusions and dependencies</w:t>
        </w:r>
        <w:r>
          <w:rPr>
            <w:noProof/>
            <w:webHidden/>
          </w:rPr>
          <w:tab/>
        </w:r>
        <w:r>
          <w:rPr>
            <w:noProof/>
            <w:webHidden/>
          </w:rPr>
          <w:fldChar w:fldCharType="begin"/>
        </w:r>
        <w:r>
          <w:rPr>
            <w:noProof/>
            <w:webHidden/>
          </w:rPr>
          <w:instrText xml:space="preserve"> PAGEREF _Toc12008 \h </w:instrText>
        </w:r>
        <w:r>
          <w:rPr>
            <w:noProof/>
            <w:webHidden/>
          </w:rPr>
        </w:r>
        <w:r>
          <w:rPr>
            <w:noProof/>
            <w:webHidden/>
          </w:rPr>
          <w:fldChar w:fldCharType="separate"/>
        </w:r>
        <w:r w:rsidR="000D2596">
          <w:rPr>
            <w:noProof/>
            <w:webHidden/>
          </w:rPr>
          <w:t>6</w:t>
        </w:r>
        <w:r>
          <w:rPr>
            <w:noProof/>
            <w:webHidden/>
          </w:rPr>
          <w:fldChar w:fldCharType="end"/>
        </w:r>
      </w:hyperlink>
    </w:p>
    <w:p w14:paraId="0F74447D"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2009" w:history="1">
        <w:r w:rsidRPr="00A1324F">
          <w:rPr>
            <w:rStyle w:val="Hyperlink"/>
            <w:noProof/>
          </w:rPr>
          <w:t>6.  Credibility of the offer</w:t>
        </w:r>
        <w:r>
          <w:rPr>
            <w:noProof/>
            <w:webHidden/>
          </w:rPr>
          <w:tab/>
        </w:r>
        <w:r>
          <w:rPr>
            <w:noProof/>
            <w:webHidden/>
          </w:rPr>
          <w:fldChar w:fldCharType="begin"/>
        </w:r>
        <w:r>
          <w:rPr>
            <w:noProof/>
            <w:webHidden/>
          </w:rPr>
          <w:instrText xml:space="preserve"> PAGEREF _Toc12009 \h </w:instrText>
        </w:r>
        <w:r>
          <w:rPr>
            <w:noProof/>
            <w:webHidden/>
          </w:rPr>
        </w:r>
        <w:r>
          <w:rPr>
            <w:noProof/>
            <w:webHidden/>
          </w:rPr>
          <w:fldChar w:fldCharType="separate"/>
        </w:r>
        <w:r w:rsidR="000D2596">
          <w:rPr>
            <w:noProof/>
            <w:webHidden/>
          </w:rPr>
          <w:t>6</w:t>
        </w:r>
        <w:r>
          <w:rPr>
            <w:noProof/>
            <w:webHidden/>
          </w:rPr>
          <w:fldChar w:fldCharType="end"/>
        </w:r>
      </w:hyperlink>
    </w:p>
    <w:p w14:paraId="6C638C23" w14:textId="08645B3E"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89" w:history="1">
        <w:r w:rsidRPr="00A1324F">
          <w:rPr>
            <w:rStyle w:val="Hyperlink"/>
            <w:noProof/>
          </w:rPr>
          <w:t>7.  Offer terms, validity and annexures</w:t>
        </w:r>
        <w:r>
          <w:rPr>
            <w:noProof/>
            <w:webHidden/>
          </w:rPr>
          <w:tab/>
        </w:r>
        <w:r>
          <w:rPr>
            <w:noProof/>
            <w:webHidden/>
          </w:rPr>
          <w:fldChar w:fldCharType="begin"/>
        </w:r>
        <w:r>
          <w:rPr>
            <w:noProof/>
            <w:webHidden/>
          </w:rPr>
          <w:instrText xml:space="preserve"> PAGEREF _Toc238746689 \h </w:instrText>
        </w:r>
        <w:r>
          <w:rPr>
            <w:noProof/>
            <w:webHidden/>
          </w:rPr>
        </w:r>
        <w:r>
          <w:rPr>
            <w:noProof/>
            <w:webHidden/>
          </w:rPr>
          <w:fldChar w:fldCharType="separate"/>
        </w:r>
        <w:r w:rsidR="000D2596">
          <w:rPr>
            <w:noProof/>
            <w:webHidden/>
          </w:rPr>
          <w:t>6</w:t>
        </w:r>
        <w:r>
          <w:rPr>
            <w:noProof/>
            <w:webHidden/>
          </w:rPr>
          <w:fldChar w:fldCharType="end"/>
        </w:r>
      </w:hyperlink>
    </w:p>
    <w:p>
      <w:pPr>
        <w:pStyle w:val="Heading1"/>
      </w:pPr>
      <w:bookmarkStart w:id="12000" w:name="_Toc12000"/>
      <w:r>
        <w:t>1.  Executive summary</w:t>
      </w:r>
      <w:bookmarkEnd w:id="12000"/>
    </w:p>
    <w:p>
      <w:r>
        <w:t>This proposal comprises three components, of which only one remains to be built. The first is a working platform: a maritime administration system covering all seven RFP domains (ships, seafarers, legislation, the National Maritime Centre, smart inspection, ports and marine facilities), with seven governed AI agents rendering decisions on its records, together with an accompanying AI analytics portal. The platform exists and operates, and the accompanying Technical Approach Document evidences it screen by screen. The second is the transformation from that platform to the Client’s full target: every RFP requirement closed, the application re-architected as microservices, scaled to country level across multiple ports, fully bilingual in Arabic and English, agentic AI positioned at the centre of every service, and a no-code/low-code configuration studio, delivered drop-wise in fourteen months of development with go-live at month fifteen. The third is certainty of operation: a staffed, SLA-backed year of managed support following go-live, extendable at the Client’s option.</w:t>
      </w:r>
    </w:p>
    <w:p>
      <w:r>
        <w:t>The commercial construct comprises the following components:</w:t>
      </w:r>
    </w:p>
    <w:tbl>
      <w:tblPr>
        <w:tblStyle w:val="TableGrid"/>
        <w:tblLook w:firstColumn="1" w:firstRow="1" w:lastColumn="0" w:lastRow="0" w:noHBand="0" w:noVBand="1" w:val="04A0"/>
        <w:tblW w:w="9341" w:type="dxa"/>
        <w:tblLayout w:type="fixed"/>
      </w:tblPr>
      <w:tblGrid>
        <w:gridCol w:w="7141"/>
        <w:gridCol w:w="2200"/>
      </w:tblGrid>
      <w:tr>
        <w:trPr>
          <w:cantSplit/>
          <w:tblHeader/>
        </w:trPr>
        <w:tc>
          <w:tcPr>
            <w:shd w:val="clear" w:color="auto" w:fill="0E7C86"/>
            <w:tcW w:w="7141" w:type="dxa"/>
          </w:tcPr>
          <w:p>
            <w:r>
              <w:rPr>
                <w:b/>
                <w:color w:val="FFFFFF"/>
                <w:sz w:val="18"/>
              </w:rPr>
              <w:t>The offer</w:t>
            </w:r>
          </w:p>
        </w:tc>
        <w:tc>
          <w:tcPr>
            <w:shd w:val="clear" w:color="auto" w:fill="0E7C86"/>
            <w:tcW w:w="2200" w:type="dxa"/>
          </w:tcPr>
          <w:p>
            <w:pPr>
              <w:jc w:val="center"/>
            </w:pPr>
            <w:r>
              <w:rPr>
                <w:b/>
                <w:color w:val="FFFFFF"/>
                <w:sz w:val="18"/>
              </w:rPr>
              <w:t>USD</w:t>
            </w:r>
          </w:p>
        </w:tc>
      </w:tr>
      <w:tr>
        <w:trPr>
          <w:cantSplit/>
        </w:trPr>
        <w:tc>
          <w:tcPr>
            <w:tcW w:w="7141" w:type="dxa"/>
          </w:tcPr>
          <w:p>
            <w:r>
              <w:rPr>
                <w:b w:val="0"/>
                <w:sz w:val="18"/>
              </w:rPr>
              <w:t>The platform — licence for the built estate (both applications)</w:t>
            </w:r>
          </w:p>
        </w:tc>
        <w:tc>
          <w:tcPr>
            <w:tcW w:w="2200" w:type="dxa"/>
          </w:tcPr>
          <w:p>
            <w:pPr>
              <w:jc w:val="center"/>
            </w:pPr>
            <w:r>
              <w:rPr>
                <w:b w:val="0"/>
                <w:sz w:val="18"/>
              </w:rPr>
              <w:t>1,676,563</w:t>
            </w:r>
          </w:p>
        </w:tc>
      </w:tr>
      <w:tr>
        <w:trPr>
          <w:cantSplit/>
        </w:trPr>
        <w:tc>
          <w:tcPr>
            <w:tcW w:w="7141" w:type="dxa"/>
          </w:tcPr>
          <w:p>
            <w:r>
              <w:rPr>
                <w:b w:val="0"/>
                <w:sz w:val="18"/>
              </w:rPr>
              <w:t>The transformation — the complete delta programme, delivered drop-wise, with contingency</w:t>
            </w:r>
          </w:p>
        </w:tc>
        <w:tc>
          <w:tcPr>
            <w:tcW w:w="2200" w:type="dxa"/>
          </w:tcPr>
          <w:p>
            <w:pPr>
              <w:jc w:val="center"/>
            </w:pPr>
            <w:r>
              <w:rPr>
                <w:b w:val="0"/>
                <w:sz w:val="18"/>
              </w:rPr>
              <w:t>2,388,419</w:t>
            </w:r>
          </w:p>
        </w:tc>
      </w:tr>
      <w:tr>
        <w:trPr>
          <w:cantSplit/>
        </w:trPr>
        <w:tc>
          <w:tcPr>
            <w:tcW w:w="7141" w:type="dxa"/>
          </w:tcPr>
          <w:p>
            <w:r>
              <w:rPr>
                <w:b w:val="0"/>
                <w:sz w:val="18"/>
              </w:rPr>
              <w:t>Delivery costs — training, travel and local presence, licences, UAE compliance, miscellaneous</w:t>
            </w:r>
          </w:p>
        </w:tc>
        <w:tc>
          <w:tcPr>
            <w:tcW w:w="2200" w:type="dxa"/>
          </w:tcPr>
          <w:p>
            <w:pPr>
              <w:jc w:val="center"/>
            </w:pPr>
            <w:r>
              <w:rPr>
                <w:b w:val="0"/>
                <w:sz w:val="18"/>
              </w:rPr>
              <w:t>767,018</w:t>
            </w:r>
          </w:p>
        </w:tc>
      </w:tr>
      <w:tr>
        <w:trPr>
          <w:cantSplit/>
        </w:trPr>
        <w:tc>
          <w:tcPr>
            <w:tcW w:w="7141" w:type="dxa"/>
          </w:tcPr>
          <w:p>
            <w:r>
              <w:rPr>
                <w:b w:val="0"/>
                <w:sz w:val="18"/>
              </w:rPr>
              <w:t>Managed support — AMC Year 1, 24/7 SLA-backed</w:t>
            </w:r>
          </w:p>
        </w:tc>
        <w:tc>
          <w:tcPr>
            <w:tcW w:w="2200" w:type="dxa"/>
          </w:tcPr>
          <w:p>
            <w:pPr>
              <w:jc w:val="center"/>
            </w:pPr>
            <w:r>
              <w:rPr>
                <w:b w:val="0"/>
                <w:sz w:val="18"/>
              </w:rPr>
              <w:t>568,000</w:t>
            </w:r>
          </w:p>
        </w:tc>
      </w:tr>
      <w:tr>
        <w:trPr>
          <w:cantSplit/>
        </w:trPr>
        <w:tc>
          <w:tcPr>
            <w:shd w:val="clear" w:color="auto" w:fill="E7F1F2"/>
            <w:tcW w:w="7141" w:type="dxa"/>
          </w:tcPr>
          <w:p>
            <w:r>
              <w:rPr>
                <w:b/>
                <w:sz w:val="18"/>
              </w:rPr>
              <w:t>Total — two-year delivery envelope plus one year of support</w:t>
            </w:r>
          </w:p>
        </w:tc>
        <w:tc>
          <w:tcPr>
            <w:shd w:val="clear" w:color="auto" w:fill="E7F1F2"/>
            <w:tcW w:w="2200" w:type="dxa"/>
          </w:tcPr>
          <w:p>
            <w:pPr>
              <w:jc w:val="center"/>
            </w:pPr>
            <w:r>
              <w:rPr>
                <w:b/>
                <w:sz w:val="18"/>
              </w:rPr>
              <w:t>5,400,000</w:t>
            </w:r>
          </w:p>
        </w:tc>
      </w:tr>
    </w:tbl>
    <w:p>
      <w:r>
        <w:t>Three properties of this offer merit statement at the outset. First, the offer is founded on operational software, and evaluation may accordingly commence directly with access to the working system. Second, the price is fixed and the model behind it is open: every rate, share and quantity is an editable parameter in the commercial workbook, and the construct re-reconciles automatically. Third, delivery risk is lower than the scale of the programme suggests: the foundation is already built, and the delta programme therefore devotes its fourteen months to the Client’s specific requirements rather than to the construction of a new registry platform.</w:t>
      </w:r>
    </w:p>
    <w:p>
      <w:pPr>
        <w:pStyle w:val="Heading1"/>
      </w:pPr>
      <w:bookmarkStart w:id="12001" w:name="_Toc12001"/>
      <w:r>
        <w:t>2.  Composition of the fixed price</w:t>
      </w:r>
      <w:bookmarkEnd w:id="12001"/>
    </w:p>
    <w:p>
      <w:pPr>
        <w:pStyle w:val="Heading2"/>
      </w:pPr>
      <w:bookmarkStart w:id="12002" w:name="_Toc12002"/>
      <w:r>
        <w:t>2.1  The platform licence — USD 1,676,563</w:t>
      </w:r>
      <w:bookmarkEnd w:id="12002"/>
    </w:p>
    <w:p>
      <w:r>
        <w:t>The licence covers the built estate as documented and evidenced by screenshot in the Technical Approach Document: the operations platform, comprising thirteen modules, 207 REST endpoints, 26 data models, deny-by-default RBAC over 24 permission groups, an audit register spanning every write, and seven mandated AI agents with 79 recorded decisions under a governed autonomy model; and the Sagar Drishti analytics portal, with its nine-agent analyst workforce, grounded assistant, three-language interface and 3D port twin. The licence price reflects the embodied build of roughly 240 person-months (about 1,040 man-weeks) of prior engineering, priced at the blended offshore rate of the delivery team of USD 6,990 per person-month, as derived in the commercial workbook. In contrast to an estimate, the estate that this price covers may be inspected prior to signature.</w:t>
      </w:r>
    </w:p>
    <w:p>
      <w:pPr>
        <w:pStyle w:val="ListBullet"/>
      </w:pPr>
      <w:r>
        <w:t>Scope: single-authority national deployment, all environments, both applications.</w:t>
      </w:r>
    </w:p>
    <w:p>
      <w:pPr>
        <w:pStyle w:val="ListBullet"/>
      </w:pPr>
      <w:r>
        <w:t>The licence underpins the credibility of the fourteen-month transformation: the delta programme commences from working software that carries an automated regression suite of 79 tests over the domain rules and API, together with a seeded reference environment, rather than from an analysis phase.</w:t>
      </w:r>
    </w:p>
    <w:p>
      <w:pPr>
        <w:pStyle w:val="Heading2"/>
      </w:pPr>
      <w:bookmarkStart w:id="12003" w:name="_Toc12003"/>
      <w:r>
        <w:t>2.2  The transformation programme — USD 2,171,290 plus 10% contingency</w:t>
      </w:r>
      <w:bookmarkEnd w:id="12003"/>
    </w:p>
    <w:p>
      <w:r>
        <w:t>This component comprises the complete delta between the platform in its current state and the Client’s target, as consolidated in Section 15 of the Technical Approach Document: 944 man-weeks (218 person-months), decomposed into testable line items across every module and every agent, together with the five transformation streams that the Client has directed:</w:t>
      </w:r>
    </w:p>
    <w:tbl>
      <w:tblPr>
        <w:tblStyle w:val="TableGrid"/>
        <w:tblLook w:firstColumn="1" w:firstRow="1" w:lastColumn="0" w:lastRow="0" w:noHBand="0" w:noVBand="1" w:val="04A0"/>
        <w:tblW w:w="8741" w:type="dxa"/>
        <w:tblLayout w:type="fixed"/>
      </w:tblPr>
      <w:tblGrid>
        <w:gridCol w:w="7541"/>
        <w:gridCol w:w="1200"/>
      </w:tblGrid>
      <w:tr>
        <w:trPr>
          <w:cantSplit/>
          <w:tblHeader/>
        </w:trPr>
        <w:tc>
          <w:tcPr>
            <w:shd w:val="clear" w:color="auto" w:fill="0E7C86"/>
            <w:tcW w:w="7541" w:type="dxa"/>
          </w:tcPr>
          <w:p>
            <w:r>
              <w:rPr>
                <w:b/>
                <w:color w:val="FFFFFF"/>
                <w:sz w:val="18"/>
              </w:rPr>
              <w:t>Programme component</w:t>
            </w:r>
          </w:p>
        </w:tc>
        <w:tc>
          <w:tcPr>
            <w:shd w:val="clear" w:color="auto" w:fill="0E7C86"/>
            <w:tcW w:w="1200" w:type="dxa"/>
          </w:tcPr>
          <w:p>
            <w:pPr>
              <w:jc w:val="center"/>
            </w:pPr>
            <w:r>
              <w:rPr>
                <w:b/>
                <w:color w:val="FFFFFF"/>
                <w:sz w:val="18"/>
              </w:rPr>
              <w:t>MW</w:t>
            </w:r>
          </w:p>
        </w:tc>
      </w:tr>
      <w:tr>
        <w:trPr>
          <w:cantSplit/>
        </w:trPr>
        <w:tc>
          <w:tcPr>
            <w:tcW w:w="7541" w:type="dxa"/>
          </w:tcPr>
          <w:p>
            <w:r>
              <w:rPr>
                <w:b w:val="0"/>
                <w:sz w:val="18"/>
              </w:rPr>
              <w:t>RFP domain and platform-module deltas (TAD Sections 3–13)</w:t>
            </w:r>
          </w:p>
        </w:tc>
        <w:tc>
          <w:tcPr>
            <w:tcW w:w="1200" w:type="dxa"/>
          </w:tcPr>
          <w:p>
            <w:pPr>
              <w:jc w:val="center"/>
            </w:pPr>
            <w:r>
              <w:rPr>
                <w:b w:val="0"/>
                <w:sz w:val="18"/>
              </w:rPr>
              <w:t>520</w:t>
            </w:r>
          </w:p>
        </w:tc>
      </w:tr>
      <w:tr>
        <w:trPr>
          <w:cantSplit/>
        </w:trPr>
        <w:tc>
          <w:tcPr>
            <w:tcW w:w="7541" w:type="dxa"/>
          </w:tcPr>
          <w:p>
            <w:r>
              <w:rPr>
                <w:b w:val="0"/>
                <w:sz w:val="18"/>
              </w:rPr>
              <w:t>Agentic AI across the platform — the seven agents to full RFP capability (TAD Section 14)</w:t>
            </w:r>
          </w:p>
        </w:tc>
        <w:tc>
          <w:tcPr>
            <w:tcW w:w="1200" w:type="dxa"/>
          </w:tcPr>
          <w:p>
            <w:pPr>
              <w:jc w:val="center"/>
            </w:pPr>
            <w:r>
              <w:rPr>
                <w:b w:val="0"/>
                <w:sz w:val="18"/>
              </w:rPr>
              <w:t>174</w:t>
            </w:r>
          </w:p>
        </w:tc>
      </w:tr>
      <w:tr>
        <w:trPr>
          <w:cantSplit/>
        </w:trPr>
        <w:tc>
          <w:tcPr>
            <w:tcW w:w="7541" w:type="dxa"/>
          </w:tcPr>
          <w:p>
            <w:r>
              <w:rPr>
                <w:b w:val="0"/>
                <w:sz w:val="18"/>
              </w:rPr>
              <w:t>Microservices re-architecture along the platform’s documented seams</w:t>
            </w:r>
          </w:p>
        </w:tc>
        <w:tc>
          <w:tcPr>
            <w:tcW w:w="1200" w:type="dxa"/>
          </w:tcPr>
          <w:p>
            <w:pPr>
              <w:jc w:val="center"/>
            </w:pPr>
            <w:r>
              <w:rPr>
                <w:b w:val="0"/>
                <w:sz w:val="18"/>
              </w:rPr>
              <w:t>90</w:t>
            </w:r>
          </w:p>
        </w:tc>
      </w:tr>
      <w:tr>
        <w:trPr>
          <w:cantSplit/>
        </w:trPr>
        <w:tc>
          <w:tcPr>
            <w:tcW w:w="7541" w:type="dxa"/>
          </w:tcPr>
          <w:p>
            <w:r>
              <w:rPr>
                <w:b w:val="0"/>
                <w:sz w:val="18"/>
              </w:rPr>
              <w:t>Country-level, multi-port operation (tenancy, national registries, onboarding)</w:t>
            </w:r>
          </w:p>
        </w:tc>
        <w:tc>
          <w:tcPr>
            <w:tcW w:w="1200" w:type="dxa"/>
          </w:tcPr>
          <w:p>
            <w:pPr>
              <w:jc w:val="center"/>
            </w:pPr>
            <w:r>
              <w:rPr>
                <w:b w:val="0"/>
                <w:sz w:val="18"/>
              </w:rPr>
              <w:t>40</w:t>
            </w:r>
          </w:p>
        </w:tc>
      </w:tr>
      <w:tr>
        <w:trPr>
          <w:cantSplit/>
        </w:trPr>
        <w:tc>
          <w:tcPr>
            <w:tcW w:w="7541" w:type="dxa"/>
          </w:tcPr>
          <w:p>
            <w:r>
              <w:rPr>
                <w:b w:val="0"/>
                <w:sz w:val="18"/>
              </w:rPr>
              <w:t>Full Arabic/English multilingual with RTL</w:t>
            </w:r>
          </w:p>
        </w:tc>
        <w:tc>
          <w:tcPr>
            <w:tcW w:w="1200" w:type="dxa"/>
          </w:tcPr>
          <w:p>
            <w:pPr>
              <w:jc w:val="center"/>
            </w:pPr>
            <w:r>
              <w:rPr>
                <w:b w:val="0"/>
                <w:sz w:val="18"/>
              </w:rPr>
              <w:t>18</w:t>
            </w:r>
          </w:p>
        </w:tc>
      </w:tr>
      <w:tr>
        <w:trPr>
          <w:cantSplit/>
        </w:trPr>
        <w:tc>
          <w:tcPr>
            <w:tcW w:w="7541" w:type="dxa"/>
          </w:tcPr>
          <w:p>
            <w:r>
              <w:rPr>
                <w:b w:val="0"/>
                <w:sz w:val="18"/>
              </w:rPr>
              <w:t>Agentic AI at the centre — coverage rollout toward the 80% target</w:t>
            </w:r>
          </w:p>
        </w:tc>
        <w:tc>
          <w:tcPr>
            <w:tcW w:w="1200" w:type="dxa"/>
          </w:tcPr>
          <w:p>
            <w:pPr>
              <w:jc w:val="center"/>
            </w:pPr>
            <w:r>
              <w:rPr>
                <w:b w:val="0"/>
                <w:sz w:val="18"/>
              </w:rPr>
              <w:t>24</w:t>
            </w:r>
          </w:p>
        </w:tc>
      </w:tr>
      <w:tr>
        <w:trPr>
          <w:cantSplit/>
        </w:trPr>
        <w:tc>
          <w:tcPr>
            <w:tcW w:w="7541" w:type="dxa"/>
          </w:tcPr>
          <w:p>
            <w:r>
              <w:rPr>
                <w:b w:val="0"/>
                <w:sz w:val="18"/>
              </w:rPr>
              <w:t>No-code/low-code configuration studio</w:t>
            </w:r>
          </w:p>
        </w:tc>
        <w:tc>
          <w:tcPr>
            <w:tcW w:w="1200" w:type="dxa"/>
          </w:tcPr>
          <w:p>
            <w:pPr>
              <w:jc w:val="center"/>
            </w:pPr>
            <w:r>
              <w:rPr>
                <w:b w:val="0"/>
                <w:sz w:val="18"/>
              </w:rPr>
              <w:t>26</w:t>
            </w:r>
          </w:p>
        </w:tc>
      </w:tr>
      <w:tr>
        <w:trPr>
          <w:cantSplit/>
        </w:trPr>
        <w:tc>
          <w:tcPr>
            <w:tcW w:w="7541" w:type="dxa"/>
          </w:tcPr>
          <w:p>
            <w:r>
              <w:rPr>
                <w:b w:val="0"/>
                <w:sz w:val="18"/>
              </w:rPr>
              <w:t>Customer mobile application (inspector app is inside the domain deltas)</w:t>
            </w:r>
          </w:p>
        </w:tc>
        <w:tc>
          <w:tcPr>
            <w:tcW w:w="1200" w:type="dxa"/>
          </w:tcPr>
          <w:p>
            <w:pPr>
              <w:jc w:val="center"/>
            </w:pPr>
            <w:r>
              <w:rPr>
                <w:b w:val="0"/>
                <w:sz w:val="18"/>
              </w:rPr>
              <w:t>24</w:t>
            </w:r>
          </w:p>
        </w:tc>
      </w:tr>
      <w:tr>
        <w:trPr>
          <w:cantSplit/>
        </w:trPr>
        <w:tc>
          <w:tcPr>
            <w:tcW w:w="7541" w:type="dxa"/>
          </w:tcPr>
          <w:p>
            <w:r>
              <w:rPr>
                <w:b w:val="0"/>
                <w:sz w:val="18"/>
              </w:rPr>
              <w:t>Programme delivery — data readiness, migration, UAT and hypercare, training effort</w:t>
            </w:r>
          </w:p>
        </w:tc>
        <w:tc>
          <w:tcPr>
            <w:tcW w:w="1200" w:type="dxa"/>
          </w:tcPr>
          <w:p>
            <w:pPr>
              <w:jc w:val="center"/>
            </w:pPr>
            <w:r>
              <w:rPr>
                <w:b w:val="0"/>
                <w:sz w:val="18"/>
              </w:rPr>
              <w:t>28</w:t>
            </w:r>
          </w:p>
        </w:tc>
      </w:tr>
      <w:tr>
        <w:trPr>
          <w:cantSplit/>
        </w:trPr>
        <w:tc>
          <w:tcPr>
            <w:shd w:val="clear" w:color="auto" w:fill="E7F1F2"/>
            <w:tcW w:w="7541" w:type="dxa"/>
          </w:tcPr>
          <w:p>
            <w:r>
              <w:rPr>
                <w:b/>
                <w:sz w:val="18"/>
              </w:rPr>
              <w:t>Consolidated programme</w:t>
            </w:r>
          </w:p>
        </w:tc>
        <w:tc>
          <w:tcPr>
            <w:shd w:val="clear" w:color="auto" w:fill="E7F1F2"/>
            <w:tcW w:w="1200" w:type="dxa"/>
          </w:tcPr>
          <w:p>
            <w:pPr>
              <w:jc w:val="center"/>
            </w:pPr>
            <w:r>
              <w:rPr>
                <w:b/>
                <w:sz w:val="18"/>
              </w:rPr>
              <w:t>944</w:t>
            </w:r>
          </w:p>
        </w:tc>
      </w:tr>
    </w:tbl>
    <w:p>
      <w:r>
        <w:t>Delivery is apportioned 70:30 between offshore and onshore effort: the build is executed from the offshore centre, while programme leadership, architecture windows, ministry workshops, UAT and training are conducted onshore with the Client. The team ramps from 8 to a peak of 18 and back to 8 across sixteen months. A contingency of 10% is held against the development estimate within the fixed price; this constitutes the System Integrator’s risk provision and is not an additional charge to the Client.</w:t>
      </w:r>
    </w:p>
    <w:p>
      <w:r>
        <w:t>For readers consulting both documents, it is noted that Section 16.7 of the Technical Approach Document presents the earlier, effort-only sizing of this same programme, with identical effort and rates but a 12% planning contingency and international travel treated as pass-through; its basis is the sizing workbook, Annexure D. This proposal supersedes that indicative view: the 10% contingency, the firm travel and lodging lines, and the totals stated herein constitute the commercial terms.</w:t>
      </w:r>
    </w:p>
    <w:p>
      <w:pPr>
        <w:pStyle w:val="Heading2"/>
      </w:pPr>
      <w:bookmarkStart w:id="12004" w:name="_Toc12004"/>
      <w:r>
        <w:t>2.3  Delivery costs — USD 767,018</w:t>
      </w:r>
      <w:bookmarkEnd w:id="12004"/>
    </w:p>
    <w:tbl>
      <w:tblPr>
        <w:tblStyle w:val="TableGrid"/>
        <w:tblLook w:firstColumn="1" w:firstRow="1" w:lastColumn="0" w:lastRow="0" w:noHBand="0" w:noVBand="1" w:val="04A0"/>
        <w:tblW w:w="9141" w:type="dxa"/>
        <w:tblLayout w:type="fixed"/>
      </w:tblPr>
      <w:tblGrid>
        <w:gridCol w:w="2600"/>
        <w:gridCol w:w="4901"/>
        <w:gridCol w:w="1640"/>
      </w:tblGrid>
      <w:tr>
        <w:trPr>
          <w:cantSplit/>
          <w:tblHeader/>
        </w:trPr>
        <w:tc>
          <w:tcPr>
            <w:shd w:val="clear" w:color="auto" w:fill="0E7C86"/>
            <w:tcW w:w="2600" w:type="dxa"/>
          </w:tcPr>
          <w:p>
            <w:r>
              <w:rPr>
                <w:b/>
                <w:color w:val="FFFFFF"/>
                <w:sz w:val="18"/>
              </w:rPr>
              <w:t>Line</w:t>
            </w:r>
          </w:p>
        </w:tc>
        <w:tc>
          <w:tcPr>
            <w:shd w:val="clear" w:color="auto" w:fill="0E7C86"/>
            <w:tcW w:w="4901" w:type="dxa"/>
          </w:tcPr>
          <w:p>
            <w:r>
              <w:rPr>
                <w:b/>
                <w:color w:val="FFFFFF"/>
                <w:sz w:val="18"/>
              </w:rPr>
              <w:t>What it covers</w:t>
            </w:r>
          </w:p>
        </w:tc>
        <w:tc>
          <w:tcPr>
            <w:shd w:val="clear" w:color="auto" w:fill="0E7C86"/>
            <w:tcW w:w="1640" w:type="dxa"/>
          </w:tcPr>
          <w:p>
            <w:pPr>
              <w:jc w:val="center"/>
            </w:pPr>
            <w:r>
              <w:rPr>
                <w:b/>
                <w:color w:val="FFFFFF"/>
                <w:sz w:val="18"/>
              </w:rPr>
              <w:t>USD</w:t>
            </w:r>
          </w:p>
        </w:tc>
      </w:tr>
      <w:tr>
        <w:trPr>
          <w:cantSplit/>
        </w:trPr>
        <w:tc>
          <w:tcPr>
            <w:tcW w:w="2600" w:type="dxa"/>
          </w:tcPr>
          <w:p>
            <w:r>
              <w:rPr>
                <w:b w:val="0"/>
                <w:sz w:val="18"/>
              </w:rPr>
              <w:t>Training delivery</w:t>
            </w:r>
          </w:p>
        </w:tc>
        <w:tc>
          <w:tcPr>
            <w:tcW w:w="4901" w:type="dxa"/>
          </w:tcPr>
          <w:p>
            <w:r>
              <w:rPr>
                <w:b w:val="0"/>
                <w:sz w:val="18"/>
              </w:rPr>
              <w:t>Bilingual Arabic/English materials, translation, training-lab environments and venues. Trainer effort itself is inside the development estimate — this line is the non-labour cost of doing it properly.</w:t>
            </w:r>
          </w:p>
        </w:tc>
        <w:tc>
          <w:tcPr>
            <w:tcW w:w="1640" w:type="dxa"/>
          </w:tcPr>
          <w:p>
            <w:pPr>
              <w:jc w:val="center"/>
            </w:pPr>
            <w:r>
              <w:rPr>
                <w:b w:val="0"/>
                <w:sz w:val="18"/>
              </w:rPr>
              <w:t>60,000</w:t>
            </w:r>
          </w:p>
        </w:tc>
      </w:tr>
      <w:tr>
        <w:trPr>
          <w:cantSplit/>
        </w:trPr>
        <w:tc>
          <w:tcPr>
            <w:tcW w:w="2600" w:type="dxa"/>
          </w:tcPr>
          <w:p>
            <w:r>
              <w:rPr>
                <w:b w:val="0"/>
                <w:sz w:val="18"/>
              </w:rPr>
              <w:t>Travel</w:t>
            </w:r>
          </w:p>
        </w:tc>
        <w:tc>
          <w:tcPr>
            <w:tcW w:w="4901" w:type="dxa"/>
          </w:tcPr>
          <w:p>
            <w:r>
              <w:rPr>
                <w:b w:val="0"/>
                <w:sz w:val="18"/>
              </w:rPr>
              <w:t>Seventy return rotations across the programme — mobilisation, architecture and drop windows, leadership reviews.</w:t>
            </w:r>
          </w:p>
        </w:tc>
        <w:tc>
          <w:tcPr>
            <w:tcW w:w="1640" w:type="dxa"/>
          </w:tcPr>
          <w:p>
            <w:pPr>
              <w:jc w:val="center"/>
            </w:pPr>
            <w:r>
              <w:rPr>
                <w:b w:val="0"/>
                <w:sz w:val="18"/>
              </w:rPr>
              <w:t>84,000</w:t>
            </w:r>
          </w:p>
        </w:tc>
      </w:tr>
      <w:tr>
        <w:trPr>
          <w:cantSplit/>
        </w:trPr>
        <w:tc>
          <w:tcPr>
            <w:tcW w:w="2600" w:type="dxa"/>
          </w:tcPr>
          <w:p>
            <w:r>
              <w:rPr>
                <w:b w:val="0"/>
                <w:sz w:val="18"/>
              </w:rPr>
              <w:t>Lodging &amp; boarding</w:t>
            </w:r>
          </w:p>
        </w:tc>
        <w:tc>
          <w:tcPr>
            <w:tcW w:w="4901" w:type="dxa"/>
          </w:tcPr>
          <w:p>
            <w:r>
              <w:rPr>
                <w:b w:val="0"/>
                <w:sz w:val="18"/>
              </w:rPr>
              <w:t>65.4 onshore person-months at a serviced-apartment-plus-per-diem basis; onshore labour rates in the commercial model are labour-only, so this cost sits in one explicit, auditable line rather than hidden inside a rate.</w:t>
            </w:r>
          </w:p>
        </w:tc>
        <w:tc>
          <w:tcPr>
            <w:tcW w:w="1640" w:type="dxa"/>
          </w:tcPr>
          <w:p>
            <w:pPr>
              <w:jc w:val="center"/>
            </w:pPr>
            <w:r>
              <w:rPr>
                <w:b w:val="0"/>
                <w:sz w:val="18"/>
              </w:rPr>
              <w:t>240,018</w:t>
            </w:r>
          </w:p>
        </w:tc>
      </w:tr>
      <w:tr>
        <w:trPr>
          <w:cantSplit/>
        </w:trPr>
        <w:tc>
          <w:tcPr>
            <w:tcW w:w="2600" w:type="dxa"/>
          </w:tcPr>
          <w:p>
            <w:r>
              <w:rPr>
                <w:b w:val="0"/>
                <w:sz w:val="18"/>
              </w:rPr>
              <w:t>Local mobility &amp; visas</w:t>
            </w:r>
          </w:p>
        </w:tc>
        <w:tc>
          <w:tcPr>
            <w:tcW w:w="4901" w:type="dxa"/>
          </w:tcPr>
          <w:p>
            <w:r>
              <w:rPr>
                <w:b w:val="0"/>
                <w:sz w:val="18"/>
              </w:rPr>
              <w:t>UAE transport and thirty work permits.</w:t>
            </w:r>
          </w:p>
        </w:tc>
        <w:tc>
          <w:tcPr>
            <w:tcW w:w="1640" w:type="dxa"/>
          </w:tcPr>
          <w:p>
            <w:pPr>
              <w:jc w:val="center"/>
            </w:pPr>
            <w:r>
              <w:rPr>
                <w:b w:val="0"/>
                <w:sz w:val="18"/>
              </w:rPr>
              <w:t>48,000</w:t>
            </w:r>
          </w:p>
        </w:tc>
      </w:tr>
      <w:tr>
        <w:trPr>
          <w:cantSplit/>
        </w:trPr>
        <w:tc>
          <w:tcPr>
            <w:tcW w:w="2600" w:type="dxa"/>
          </w:tcPr>
          <w:p>
            <w:r>
              <w:rPr>
                <w:b w:val="0"/>
                <w:sz w:val="18"/>
              </w:rPr>
              <w:t>Software licences &amp; tooling</w:t>
            </w:r>
          </w:p>
        </w:tc>
        <w:tc>
          <w:tcPr>
            <w:tcW w:w="4901" w:type="dxa"/>
          </w:tcPr>
          <w:p>
            <w:r>
              <w:rPr>
                <w:b w:val="0"/>
                <w:sz w:val="18"/>
              </w:rPr>
              <w:t>Monitoring and APM, code quality, test and load tooling, collaboration licences for the programme term.</w:t>
            </w:r>
          </w:p>
        </w:tc>
        <w:tc>
          <w:tcPr>
            <w:tcW w:w="1640" w:type="dxa"/>
          </w:tcPr>
          <w:p>
            <w:pPr>
              <w:jc w:val="center"/>
            </w:pPr>
            <w:r>
              <w:rPr>
                <w:b w:val="0"/>
                <w:sz w:val="18"/>
              </w:rPr>
              <w:t>160,000</w:t>
            </w:r>
          </w:p>
        </w:tc>
      </w:tr>
      <w:tr>
        <w:trPr>
          <w:cantSplit/>
        </w:trPr>
        <w:tc>
          <w:tcPr>
            <w:tcW w:w="2600" w:type="dxa"/>
          </w:tcPr>
          <w:p>
            <w:r>
              <w:rPr>
                <w:b w:val="0"/>
                <w:sz w:val="18"/>
              </w:rPr>
              <w:t>UAE compliance &amp; certification</w:t>
            </w:r>
          </w:p>
        </w:tc>
        <w:tc>
          <w:tcPr>
            <w:tcW w:w="4901" w:type="dxa"/>
          </w:tcPr>
          <w:p>
            <w:r>
              <w:rPr>
                <w:b w:val="0"/>
                <w:sz w:val="18"/>
              </w:rPr>
              <w:t>UAE-accredited penetration testing (annual, §6.5), TDRA accessibility conformance (§5.9), data-protection and residency advisory (§7.5).</w:t>
            </w:r>
          </w:p>
        </w:tc>
        <w:tc>
          <w:tcPr>
            <w:tcW w:w="1640" w:type="dxa"/>
          </w:tcPr>
          <w:p>
            <w:pPr>
              <w:jc w:val="center"/>
            </w:pPr>
            <w:r>
              <w:rPr>
                <w:b w:val="0"/>
                <w:sz w:val="18"/>
              </w:rPr>
              <w:t>95,000</w:t>
            </w:r>
          </w:p>
        </w:tc>
      </w:tr>
      <w:tr>
        <w:trPr>
          <w:cantSplit/>
        </w:trPr>
        <w:tc>
          <w:tcPr>
            <w:tcW w:w="2600" w:type="dxa"/>
          </w:tcPr>
          <w:p>
            <w:r>
              <w:rPr>
                <w:b w:val="0"/>
                <w:sz w:val="18"/>
              </w:rPr>
              <w:t>Miscellaneous &amp; mobilisation</w:t>
            </w:r>
          </w:p>
        </w:tc>
        <w:tc>
          <w:tcPr>
            <w:tcW w:w="4901" w:type="dxa"/>
          </w:tcPr>
          <w:p>
            <w:r>
              <w:rPr>
                <w:b w:val="0"/>
                <w:sz w:val="18"/>
              </w:rPr>
              <w:t>Insurance, communications, logistics, workspace, mobilise/demobilise.</w:t>
            </w:r>
          </w:p>
        </w:tc>
        <w:tc>
          <w:tcPr>
            <w:tcW w:w="1640" w:type="dxa"/>
          </w:tcPr>
          <w:p>
            <w:pPr>
              <w:jc w:val="center"/>
            </w:pPr>
            <w:r>
              <w:rPr>
                <w:b w:val="0"/>
                <w:sz w:val="18"/>
              </w:rPr>
              <w:t>80,000</w:t>
            </w:r>
          </w:p>
        </w:tc>
      </w:tr>
      <w:tr>
        <w:trPr>
          <w:cantSplit/>
        </w:trPr>
        <w:tc>
          <w:tcPr>
            <w:shd w:val="clear" w:color="auto" w:fill="E7F1F2"/>
            <w:tcW w:w="2600" w:type="dxa"/>
          </w:tcPr>
          <w:p>
            <w:r>
              <w:rPr>
                <w:b/>
                <w:sz w:val="18"/>
              </w:rPr>
              <w:t>Delivery costs</w:t>
            </w:r>
          </w:p>
        </w:tc>
        <w:tc>
          <w:tcPr>
            <w:shd w:val="clear" w:color="auto" w:fill="E7F1F2"/>
            <w:tcW w:w="4901" w:type="dxa"/>
          </w:tcPr>
          <w:p>
            <w:r>
              <w:rPr>
                <w:b/>
                <w:sz w:val="18"/>
              </w:rPr>
            </w:r>
          </w:p>
        </w:tc>
        <w:tc>
          <w:tcPr>
            <w:shd w:val="clear" w:color="auto" w:fill="E7F1F2"/>
            <w:tcW w:w="1640" w:type="dxa"/>
          </w:tcPr>
          <w:p>
            <w:pPr>
              <w:jc w:val="center"/>
            </w:pPr>
            <w:r>
              <w:rPr>
                <w:b/>
                <w:sz w:val="18"/>
              </w:rPr>
              <w:t>767,018</w:t>
            </w:r>
          </w:p>
        </w:tc>
      </w:tr>
    </w:tbl>
    <w:p>
      <w:pPr>
        <w:pStyle w:val="Heading2"/>
      </w:pPr>
      <w:bookmarkStart w:id="12005" w:name="_Toc12005"/>
      <w:r>
        <w:t>2.4  Managed support — AMC Year 1, USD 568,000</w:t>
      </w:r>
      <w:bookmarkEnd w:id="12005"/>
    </w:p>
    <w:p>
      <w:r>
        <w:t>Managed support commences at hypercare exit at the end of month eighteen, ensuring that support is not paid for twice, and a staffed support team maintains the platform against the RFP’s service levels for twelve months. The team comprises three offshore L2/L3 engineers, an onshore half-FTE co-located with the Client, a half-FTE AI/ML engineer for model drift and evaluation, a half-FTE DevOps engineer, and a half-time service delivery manager, with the monitoring and SLA-reporting stack included.</w:t>
      </w:r>
    </w:p>
    <w:p>
      <w:pPr>
        <w:pStyle w:val="ListBullet"/>
      </w:pPr>
      <w:r>
        <w:t>Coverage comprises 24/7 P1 engagement through a follow-the-sun on-call rota (response 30 minutes, resolution 2 hours, per §6.1), staffed cover during Gulf business hours, the §6.5 patch clocks, the §6.6 AI service levels including drift alerts and agent availability, and the quarterly AI adoption reporting of deliverable D12.</w:t>
      </w:r>
    </w:p>
    <w:p>
      <w:pPr>
        <w:pStyle w:val="ListBullet"/>
      </w:pPr>
      <w:r>
        <w:t>Pricing is stated per year at the Client’s option and is extendable year by year:</w:t>
      </w:r>
    </w:p>
    <w:tbl>
      <w:tblPr>
        <w:tblStyle w:val="TableGrid"/>
        <w:tblLook w:firstColumn="1" w:firstRow="1" w:lastColumn="0" w:lastRow="0" w:noHBand="0" w:noVBand="1" w:val="04A0"/>
        <w:tblW w:w="8200" w:type="dxa"/>
        <w:tblLayout w:type="fixed"/>
      </w:tblPr>
      <w:tblGrid>
        <w:gridCol w:w="4400"/>
        <w:gridCol w:w="3800"/>
      </w:tblGrid>
      <w:tr>
        <w:trPr>
          <w:cantSplit/>
          <w:tblHeader/>
        </w:trPr>
        <w:tc>
          <w:tcPr>
            <w:shd w:val="clear" w:color="auto" w:fill="0E7C86"/>
            <w:tcW w:w="4400" w:type="dxa"/>
          </w:tcPr>
          <w:p>
            <w:r>
              <w:rPr>
                <w:b/>
                <w:color w:val="FFFFFF"/>
                <w:sz w:val="18"/>
              </w:rPr>
              <w:t>AMC term</w:t>
            </w:r>
          </w:p>
        </w:tc>
        <w:tc>
          <w:tcPr>
            <w:shd w:val="clear" w:color="auto" w:fill="0E7C86"/>
            <w:tcW w:w="3800" w:type="dxa"/>
          </w:tcPr>
          <w:p>
            <w:pPr>
              <w:jc w:val="center"/>
            </w:pPr>
            <w:r>
              <w:rPr>
                <w:b/>
                <w:color w:val="FFFFFF"/>
                <w:sz w:val="18"/>
              </w:rPr>
              <w:t>Annual price (USD, 3% escalation)</w:t>
            </w:r>
          </w:p>
        </w:tc>
      </w:tr>
      <w:tr>
        <w:trPr>
          <w:cantSplit/>
        </w:trPr>
        <w:tc>
          <w:tcPr>
            <w:tcW w:w="4400" w:type="dxa"/>
          </w:tcPr>
          <w:p>
            <w:r>
              <w:rPr>
                <w:b w:val="0"/>
                <w:sz w:val="18"/>
              </w:rPr>
              <w:t>Year 1 (included in this proposal)</w:t>
            </w:r>
          </w:p>
        </w:tc>
        <w:tc>
          <w:tcPr>
            <w:tcW w:w="3800" w:type="dxa"/>
          </w:tcPr>
          <w:p>
            <w:pPr>
              <w:jc w:val="center"/>
            </w:pPr>
            <w:r>
              <w:rPr>
                <w:b w:val="0"/>
                <w:sz w:val="18"/>
              </w:rPr>
              <w:t>568,000</w:t>
            </w:r>
          </w:p>
        </w:tc>
      </w:tr>
      <w:tr>
        <w:trPr>
          <w:cantSplit/>
        </w:trPr>
        <w:tc>
          <w:tcPr>
            <w:tcW w:w="4400" w:type="dxa"/>
          </w:tcPr>
          <w:p>
            <w:r>
              <w:rPr>
                <w:b w:val="0"/>
                <w:sz w:val="18"/>
              </w:rPr>
              <w:t>Year 2</w:t>
            </w:r>
          </w:p>
        </w:tc>
        <w:tc>
          <w:tcPr>
            <w:tcW w:w="3800" w:type="dxa"/>
          </w:tcPr>
          <w:p>
            <w:pPr>
              <w:jc w:val="center"/>
            </w:pPr>
            <w:r>
              <w:rPr>
                <w:b w:val="0"/>
                <w:sz w:val="18"/>
              </w:rPr>
              <w:t>585,040</w:t>
            </w:r>
          </w:p>
        </w:tc>
      </w:tr>
      <w:tr>
        <w:trPr>
          <w:cantSplit/>
        </w:trPr>
        <w:tc>
          <w:tcPr>
            <w:tcW w:w="4400" w:type="dxa"/>
          </w:tcPr>
          <w:p>
            <w:r>
              <w:rPr>
                <w:b w:val="0"/>
                <w:sz w:val="18"/>
              </w:rPr>
              <w:t>Year 3</w:t>
            </w:r>
          </w:p>
        </w:tc>
        <w:tc>
          <w:tcPr>
            <w:tcW w:w="3800" w:type="dxa"/>
          </w:tcPr>
          <w:p>
            <w:pPr>
              <w:jc w:val="center"/>
            </w:pPr>
            <w:r>
              <w:rPr>
                <w:b w:val="0"/>
                <w:sz w:val="18"/>
              </w:rPr>
              <w:t>602,591</w:t>
            </w:r>
          </w:p>
        </w:tc>
      </w:tr>
      <w:tr>
        <w:trPr>
          <w:cantSplit/>
        </w:trPr>
        <w:tc>
          <w:tcPr>
            <w:tcW w:w="4400" w:type="dxa"/>
          </w:tcPr>
          <w:p>
            <w:r>
              <w:rPr>
                <w:b w:val="0"/>
                <w:sz w:val="18"/>
              </w:rPr>
              <w:t>Year 4</w:t>
            </w:r>
          </w:p>
        </w:tc>
        <w:tc>
          <w:tcPr>
            <w:tcW w:w="3800" w:type="dxa"/>
          </w:tcPr>
          <w:p>
            <w:pPr>
              <w:jc w:val="center"/>
            </w:pPr>
            <w:r>
              <w:rPr>
                <w:b w:val="0"/>
                <w:sz w:val="18"/>
              </w:rPr>
              <w:t>620,669</w:t>
            </w:r>
          </w:p>
        </w:tc>
      </w:tr>
      <w:tr>
        <w:trPr>
          <w:cantSplit/>
        </w:trPr>
        <w:tc>
          <w:tcPr>
            <w:tcW w:w="4400" w:type="dxa"/>
          </w:tcPr>
          <w:p>
            <w:r>
              <w:rPr>
                <w:b w:val="0"/>
                <w:sz w:val="18"/>
              </w:rPr>
              <w:t>Year 5</w:t>
            </w:r>
          </w:p>
        </w:tc>
        <w:tc>
          <w:tcPr>
            <w:tcW w:w="3800" w:type="dxa"/>
          </w:tcPr>
          <w:p>
            <w:pPr>
              <w:jc w:val="center"/>
            </w:pPr>
            <w:r>
              <w:rPr>
                <w:b w:val="0"/>
                <w:sz w:val="18"/>
              </w:rPr>
              <w:t>639,289</w:t>
            </w:r>
          </w:p>
        </w:tc>
      </w:tr>
    </w:tbl>
    <w:p>
      <w:pPr>
        <w:pStyle w:val="Heading1"/>
      </w:pPr>
      <w:bookmarkStart w:id="12006" w:name="_Toc12006"/>
      <w:r>
        <w:t>3.  Delivery approach</w:t>
      </w:r>
      <w:bookmarkEnd w:id="12006"/>
    </w:p>
    <w:p>
      <w:r>
        <w:t>Development runs for fourteen months, delivered drop-wise within a two-year delivery envelope; the full plan, lifecycle and team ramp are set out in Section 16 of the Technical Approach Document, and the outline schedule is as follows:</w:t>
      </w:r>
    </w:p>
    <w:tbl>
      <w:tblPr>
        <w:tblStyle w:val="TableGrid"/>
        <w:tblLook w:firstColumn="1" w:firstRow="1" w:lastColumn="0" w:lastRow="0" w:noHBand="0" w:noVBand="1" w:val="04A0"/>
        <w:tblW w:w="9141" w:type="dxa"/>
        <w:tblLayout w:type="fixed"/>
      </w:tblPr>
      <w:tblGrid>
        <w:gridCol w:w="2800"/>
        <w:gridCol w:w="1300"/>
        <w:gridCol w:w="5041"/>
      </w:tblGrid>
      <w:tr>
        <w:trPr>
          <w:cantSplit/>
          <w:tblHeader/>
        </w:trPr>
        <w:tc>
          <w:tcPr>
            <w:shd w:val="clear" w:color="auto" w:fill="0E7C86"/>
            <w:tcW w:w="2800" w:type="dxa"/>
          </w:tcPr>
          <w:p>
            <w:r>
              <w:rPr>
                <w:b/>
                <w:color w:val="FFFFFF"/>
                <w:sz w:val="18"/>
              </w:rPr>
              <w:t>Milestone</w:t>
            </w:r>
          </w:p>
        </w:tc>
        <w:tc>
          <w:tcPr>
            <w:shd w:val="clear" w:color="auto" w:fill="0E7C86"/>
            <w:tcW w:w="1300" w:type="dxa"/>
          </w:tcPr>
          <w:p>
            <w:r>
              <w:rPr>
                <w:b/>
                <w:color w:val="FFFFFF"/>
                <w:sz w:val="18"/>
              </w:rPr>
              <w:t>When</w:t>
            </w:r>
          </w:p>
        </w:tc>
        <w:tc>
          <w:tcPr>
            <w:shd w:val="clear" w:color="auto" w:fill="0E7C86"/>
            <w:tcW w:w="5041" w:type="dxa"/>
          </w:tcPr>
          <w:p>
            <w:r>
              <w:rPr>
                <w:b/>
                <w:color w:val="FFFFFF"/>
                <w:sz w:val="18"/>
              </w:rPr>
              <w:t>What the Client sees</w:t>
            </w:r>
          </w:p>
        </w:tc>
      </w:tr>
      <w:tr>
        <w:trPr>
          <w:cantSplit/>
        </w:trPr>
        <w:tc>
          <w:tcPr>
            <w:tcW w:w="2800" w:type="dxa"/>
          </w:tcPr>
          <w:p>
            <w:r>
              <w:rPr>
                <w:b w:val="0"/>
                <w:sz w:val="18"/>
              </w:rPr>
              <w:t>Mobilisation &amp; data readiness (D0)</w:t>
            </w:r>
          </w:p>
        </w:tc>
        <w:tc>
          <w:tcPr>
            <w:tcW w:w="1300" w:type="dxa"/>
          </w:tcPr>
          <w:p>
            <w:r>
              <w:rPr>
                <w:b w:val="0"/>
                <w:sz w:val="18"/>
              </w:rPr>
              <w:t>M0–M2</w:t>
            </w:r>
          </w:p>
        </w:tc>
        <w:tc>
          <w:tcPr>
            <w:tcW w:w="5041" w:type="dxa"/>
          </w:tcPr>
          <w:p>
            <w:r>
              <w:rPr>
                <w:b w:val="0"/>
                <w:sz w:val="18"/>
              </w:rPr>
              <w:t>Teams stood up, environments live, the data readiness assessment moving migration risk to month one.</w:t>
            </w:r>
          </w:p>
        </w:tc>
      </w:tr>
      <w:tr>
        <w:trPr>
          <w:cantSplit/>
        </w:trPr>
        <w:tc>
          <w:tcPr>
            <w:tcW w:w="2800" w:type="dxa"/>
          </w:tcPr>
          <w:p>
            <w:r>
              <w:rPr>
                <w:b w:val="0"/>
                <w:sz w:val="18"/>
              </w:rPr>
              <w:t>Architecture baseline (D1)</w:t>
            </w:r>
          </w:p>
        </w:tc>
        <w:tc>
          <w:tcPr>
            <w:tcW w:w="1300" w:type="dxa"/>
          </w:tcPr>
          <w:p>
            <w:r>
              <w:rPr>
                <w:b w:val="0"/>
                <w:sz w:val="18"/>
              </w:rPr>
              <w:t>M5</w:t>
            </w:r>
          </w:p>
        </w:tc>
        <w:tc>
          <w:tcPr>
            <w:tcW w:w="5041" w:type="dxa"/>
          </w:tcPr>
          <w:p>
            <w:r>
              <w:rPr>
                <w:b w:val="0"/>
                <w:sz w:val="18"/>
              </w:rPr>
              <w:t>The AI-native target architecture — microservice seams, tenancy model, LCNC design — approved.</w:t>
            </w:r>
          </w:p>
        </w:tc>
      </w:tr>
      <w:tr>
        <w:trPr>
          <w:cantSplit/>
        </w:trPr>
        <w:tc>
          <w:tcPr>
            <w:tcW w:w="2800" w:type="dxa"/>
          </w:tcPr>
          <w:p>
            <w:r>
              <w:rPr>
                <w:b w:val="0"/>
                <w:sz w:val="18"/>
              </w:rPr>
              <w:t>Drop 1</w:t>
            </w:r>
          </w:p>
        </w:tc>
        <w:tc>
          <w:tcPr>
            <w:tcW w:w="1300" w:type="dxa"/>
          </w:tcPr>
          <w:p>
            <w:r>
              <w:rPr>
                <w:b w:val="0"/>
                <w:sz w:val="18"/>
              </w:rPr>
              <w:t>M7</w:t>
            </w:r>
          </w:p>
        </w:tc>
        <w:tc>
          <w:tcPr>
            <w:tcW w:w="5041" w:type="dxa"/>
          </w:tcPr>
          <w:p>
            <w:r>
              <w:rPr>
                <w:b w:val="0"/>
                <w:sz w:val="18"/>
              </w:rPr>
              <w:t>The registrar’s core working bilingually: master data, ships, legislation, agents A1/A3/A4/A6, UAE PASS federation.</w:t>
            </w:r>
          </w:p>
        </w:tc>
      </w:tr>
      <w:tr>
        <w:trPr>
          <w:cantSplit/>
        </w:trPr>
        <w:tc>
          <w:tcPr>
            <w:tcW w:w="2800" w:type="dxa"/>
          </w:tcPr>
          <w:p>
            <w:r>
              <w:rPr>
                <w:b w:val="0"/>
                <w:sz w:val="18"/>
              </w:rPr>
              <w:t>Drop 2</w:t>
            </w:r>
          </w:p>
        </w:tc>
        <w:tc>
          <w:tcPr>
            <w:tcW w:w="1300" w:type="dxa"/>
          </w:tcPr>
          <w:p>
            <w:r>
              <w:rPr>
                <w:b w:val="0"/>
                <w:sz w:val="18"/>
              </w:rPr>
              <w:t>M11</w:t>
            </w:r>
          </w:p>
        </w:tc>
        <w:tc>
          <w:tcPr>
            <w:tcW w:w="5041" w:type="dxa"/>
          </w:tcPr>
          <w:p>
            <w:r>
              <w:rPr>
                <w:b w:val="0"/>
                <w:sz w:val="18"/>
              </w:rPr>
              <w:t>Seafarers; the NMC on live feeds; smart inspection with the inspector app; A2/A5/A7; GISIS and MOHRE exchanges; LCNC beta; a second port in staging.</w:t>
            </w:r>
          </w:p>
        </w:tc>
      </w:tr>
      <w:tr>
        <w:trPr>
          <w:cantSplit/>
        </w:trPr>
        <w:tc>
          <w:tcPr>
            <w:tcW w:w="2800" w:type="dxa"/>
          </w:tcPr>
          <w:p>
            <w:r>
              <w:rPr>
                <w:b w:val="0"/>
                <w:sz w:val="18"/>
              </w:rPr>
              <w:t>Drop 3</w:t>
            </w:r>
          </w:p>
        </w:tc>
        <w:tc>
          <w:tcPr>
            <w:tcW w:w="1300" w:type="dxa"/>
          </w:tcPr>
          <w:p>
            <w:r>
              <w:rPr>
                <w:b w:val="0"/>
                <w:sz w:val="18"/>
              </w:rPr>
              <w:t>M14</w:t>
            </w:r>
          </w:p>
        </w:tc>
        <w:tc>
          <w:tcPr>
            <w:tcW w:w="5041" w:type="dxa"/>
          </w:tcPr>
          <w:p>
            <w:r>
              <w:rPr>
                <w:b w:val="0"/>
                <w:sz w:val="18"/>
              </w:rPr>
              <w:t>Ports, facilities, revenue with the payment gateway, dashboards, customer app, LCNC GA, national rollout tooling, SLA hardening.</w:t>
            </w:r>
          </w:p>
        </w:tc>
      </w:tr>
      <w:tr>
        <w:trPr>
          <w:cantSplit/>
        </w:trPr>
        <w:tc>
          <w:tcPr>
            <w:tcW w:w="2800" w:type="dxa"/>
          </w:tcPr>
          <w:p>
            <w:r>
              <w:rPr>
                <w:b w:val="0"/>
                <w:sz w:val="18"/>
              </w:rPr>
              <w:t>Migration, UAT, Go-Live (D8, D9)</w:t>
            </w:r>
          </w:p>
        </w:tc>
        <w:tc>
          <w:tcPr>
            <w:tcW w:w="1300" w:type="dxa"/>
          </w:tcPr>
          <w:p>
            <w:r>
              <w:rPr>
                <w:b w:val="0"/>
                <w:sz w:val="18"/>
              </w:rPr>
              <w:t>M15 = T0</w:t>
            </w:r>
          </w:p>
        </w:tc>
        <w:tc>
          <w:tcPr>
            <w:tcW w:w="5041" w:type="dxa"/>
          </w:tcPr>
          <w:p>
            <w:r>
              <w:rPr>
                <w:b w:val="0"/>
                <w:sz w:val="18"/>
              </w:rPr>
              <w:t>Approved migration executed with full validation; operational-readiness review; go-live.</w:t>
            </w:r>
          </w:p>
        </w:tc>
      </w:tr>
      <w:tr>
        <w:trPr>
          <w:cantSplit/>
        </w:trPr>
        <w:tc>
          <w:tcPr>
            <w:tcW w:w="2800" w:type="dxa"/>
          </w:tcPr>
          <w:p>
            <w:r>
              <w:rPr>
                <w:b w:val="0"/>
                <w:sz w:val="18"/>
              </w:rPr>
              <w:t>Hypercare</w:t>
            </w:r>
          </w:p>
        </w:tc>
        <w:tc>
          <w:tcPr>
            <w:tcW w:w="1300" w:type="dxa"/>
          </w:tcPr>
          <w:p>
            <w:r>
              <w:rPr>
                <w:b w:val="0"/>
                <w:sz w:val="18"/>
              </w:rPr>
              <w:t>M16–M18</w:t>
            </w:r>
          </w:p>
        </w:tc>
        <w:tc>
          <w:tcPr>
            <w:tcW w:w="5041" w:type="dxa"/>
          </w:tcPr>
          <w:p>
            <w:r>
              <w:rPr>
                <w:b w:val="0"/>
                <w:sz w:val="18"/>
              </w:rPr>
              <w:t>Elevated support through stabilisation; handover into the AMC.</w:t>
            </w:r>
          </w:p>
        </w:tc>
      </w:tr>
      <w:tr>
        <w:trPr>
          <w:cantSplit/>
        </w:trPr>
        <w:tc>
          <w:tcPr>
            <w:tcW w:w="2800" w:type="dxa"/>
          </w:tcPr>
          <w:p>
            <w:r>
              <w:rPr>
                <w:b w:val="0"/>
                <w:sz w:val="18"/>
              </w:rPr>
              <w:t>KPI clocks</w:t>
            </w:r>
          </w:p>
        </w:tc>
        <w:tc>
          <w:tcPr>
            <w:tcW w:w="1300" w:type="dxa"/>
          </w:tcPr>
          <w:p>
            <w:r>
              <w:rPr>
                <w:b w:val="0"/>
                <w:sz w:val="18"/>
              </w:rPr>
              <w:t>from T0</w:t>
            </w:r>
          </w:p>
        </w:tc>
        <w:tc>
          <w:tcPr>
            <w:tcW w:w="5041" w:type="dxa"/>
          </w:tcPr>
          <w:p>
            <w:r>
              <w:rPr>
                <w:b w:val="0"/>
                <w:sz w:val="18"/>
              </w:rPr>
              <w:t>Prediction accuracy at +12 months; the six Smart Inspection KPIs at +18; 80% AI-assisted coverage at +24 — each instrumented before T0, not asserted after it.</w:t>
            </w:r>
          </w:p>
        </w:tc>
      </w:tr>
    </w:tbl>
    <w:p>
      <w:r>
        <w:t>The schedule reconciles four timelines: development runs fourteen months; go-live occurs at the end of month fifteen; hypercare closes at month eighteen; and the contractual delivery envelope is twenty-four months. The difference between these represents deliberate headroom for national-rollout sequencing rather than concealed work, and AMC Year 1 commences at the close of hypercare.</w:t>
      </w:r>
    </w:p>
    <w:p>
      <w:pPr>
        <w:pStyle w:val="Heading1"/>
      </w:pPr>
      <w:bookmarkStart w:id="12007" w:name="_Toc12007"/>
      <w:r>
        <w:t>4.  Payment schedule</w:t>
      </w:r>
      <w:bookmarkEnd w:id="12007"/>
    </w:p>
    <w:p>
      <w:r>
        <w:t>Following mobilisation, every payment is tied to an accepted, demonstrable milestone, and an advance bank guarantee against the mobilisation payment is offered as standard. The delivery price (the total less AMC) is USD 4,832,000; AMC Year 1 is billed quarterly in arrears from its commencement at hypercare exit (end of month eighteen).</w:t>
      </w:r>
    </w:p>
    <w:tbl>
      <w:tblPr>
        <w:tblStyle w:val="TableGrid"/>
        <w:tblLook w:firstColumn="1" w:firstRow="1" w:lastColumn="0" w:lastRow="0" w:noHBand="0" w:noVBand="1" w:val="04A0"/>
        <w:tblW w:w="8341" w:type="dxa"/>
        <w:tblLayout w:type="fixed"/>
      </w:tblPr>
      <w:tblGrid>
        <w:gridCol w:w="4000"/>
        <w:gridCol w:w="1500"/>
        <w:gridCol w:w="1200"/>
        <w:gridCol w:w="1641"/>
      </w:tblGrid>
      <w:tr>
        <w:trPr>
          <w:cantSplit/>
          <w:tblHeader/>
        </w:trPr>
        <w:tc>
          <w:tcPr>
            <w:shd w:val="clear" w:color="auto" w:fill="0E7C86"/>
            <w:tcW w:w="4000" w:type="dxa"/>
          </w:tcPr>
          <w:p>
            <w:r>
              <w:rPr>
                <w:b/>
                <w:color w:val="FFFFFF"/>
                <w:sz w:val="18"/>
              </w:rPr>
              <w:t>Milestone</w:t>
            </w:r>
          </w:p>
        </w:tc>
        <w:tc>
          <w:tcPr>
            <w:shd w:val="clear" w:color="auto" w:fill="0E7C86"/>
            <w:tcW w:w="1500" w:type="dxa"/>
          </w:tcPr>
          <w:p>
            <w:r>
              <w:rPr>
                <w:b/>
                <w:color w:val="FFFFFF"/>
                <w:sz w:val="18"/>
              </w:rPr>
              <w:t>When</w:t>
            </w:r>
          </w:p>
        </w:tc>
        <w:tc>
          <w:tcPr>
            <w:shd w:val="clear" w:color="auto" w:fill="0E7C86"/>
            <w:tcW w:w="1200" w:type="dxa"/>
          </w:tcPr>
          <w:p>
            <w:pPr>
              <w:jc w:val="center"/>
            </w:pPr>
            <w:r>
              <w:rPr>
                <w:b/>
                <w:color w:val="FFFFFF"/>
                <w:sz w:val="18"/>
              </w:rPr>
              <w:t>Share</w:t>
            </w:r>
          </w:p>
        </w:tc>
        <w:tc>
          <w:tcPr>
            <w:shd w:val="clear" w:color="auto" w:fill="0E7C86"/>
            <w:tcW w:w="1641" w:type="dxa"/>
          </w:tcPr>
          <w:p>
            <w:pPr>
              <w:jc w:val="center"/>
            </w:pPr>
            <w:r>
              <w:rPr>
                <w:b/>
                <w:color w:val="FFFFFF"/>
                <w:sz w:val="18"/>
              </w:rPr>
              <w:t>USD</w:t>
            </w:r>
          </w:p>
        </w:tc>
      </w:tr>
      <w:tr>
        <w:trPr>
          <w:cantSplit/>
        </w:trPr>
        <w:tc>
          <w:tcPr>
            <w:tcW w:w="4000" w:type="dxa"/>
          </w:tcPr>
          <w:p>
            <w:r>
              <w:rPr>
                <w:b w:val="0"/>
                <w:sz w:val="18"/>
              </w:rPr>
              <w:t>Contract signature &amp; mobilisation</w:t>
            </w:r>
          </w:p>
        </w:tc>
        <w:tc>
          <w:tcPr>
            <w:tcW w:w="1500" w:type="dxa"/>
          </w:tcPr>
          <w:p>
            <w:r>
              <w:rPr>
                <w:b w:val="0"/>
                <w:sz w:val="18"/>
              </w:rPr>
              <w:t>M0</w:t>
            </w:r>
          </w:p>
        </w:tc>
        <w:tc>
          <w:tcPr>
            <w:tcW w:w="1200" w:type="dxa"/>
          </w:tcPr>
          <w:p>
            <w:pPr>
              <w:jc w:val="center"/>
            </w:pPr>
            <w:r>
              <w:rPr>
                <w:b w:val="0"/>
                <w:sz w:val="18"/>
              </w:rPr>
              <w:t>10%</w:t>
            </w:r>
          </w:p>
        </w:tc>
        <w:tc>
          <w:tcPr>
            <w:tcW w:w="1641" w:type="dxa"/>
          </w:tcPr>
          <w:p>
            <w:pPr>
              <w:jc w:val="center"/>
            </w:pPr>
            <w:r>
              <w:rPr>
                <w:b w:val="0"/>
                <w:sz w:val="18"/>
              </w:rPr>
              <w:t>483,200</w:t>
            </w:r>
          </w:p>
        </w:tc>
      </w:tr>
      <w:tr>
        <w:trPr>
          <w:cantSplit/>
        </w:trPr>
        <w:tc>
          <w:tcPr>
            <w:tcW w:w="4000" w:type="dxa"/>
          </w:tcPr>
          <w:p>
            <w:r>
              <w:rPr>
                <w:b w:val="0"/>
                <w:sz w:val="18"/>
              </w:rPr>
              <w:t>Architecture &amp; design baseline (D1)</w:t>
            </w:r>
          </w:p>
        </w:tc>
        <w:tc>
          <w:tcPr>
            <w:tcW w:w="1500" w:type="dxa"/>
          </w:tcPr>
          <w:p>
            <w:r>
              <w:rPr>
                <w:b w:val="0"/>
                <w:sz w:val="18"/>
              </w:rPr>
              <w:t>M5</w:t>
            </w:r>
          </w:p>
        </w:tc>
        <w:tc>
          <w:tcPr>
            <w:tcW w:w="1200" w:type="dxa"/>
          </w:tcPr>
          <w:p>
            <w:pPr>
              <w:jc w:val="center"/>
            </w:pPr>
            <w:r>
              <w:rPr>
                <w:b w:val="0"/>
                <w:sz w:val="18"/>
              </w:rPr>
              <w:t>10%</w:t>
            </w:r>
          </w:p>
        </w:tc>
        <w:tc>
          <w:tcPr>
            <w:tcW w:w="1641" w:type="dxa"/>
          </w:tcPr>
          <w:p>
            <w:pPr>
              <w:jc w:val="center"/>
            </w:pPr>
            <w:r>
              <w:rPr>
                <w:b w:val="0"/>
                <w:sz w:val="18"/>
              </w:rPr>
              <w:t>483,200</w:t>
            </w:r>
          </w:p>
        </w:tc>
      </w:tr>
      <w:tr>
        <w:trPr>
          <w:cantSplit/>
        </w:trPr>
        <w:tc>
          <w:tcPr>
            <w:tcW w:w="4000" w:type="dxa"/>
          </w:tcPr>
          <w:p>
            <w:r>
              <w:rPr>
                <w:b w:val="0"/>
                <w:sz w:val="18"/>
              </w:rPr>
              <w:t>Drop 1 accepted</w:t>
            </w:r>
          </w:p>
        </w:tc>
        <w:tc>
          <w:tcPr>
            <w:tcW w:w="1500" w:type="dxa"/>
          </w:tcPr>
          <w:p>
            <w:r>
              <w:rPr>
                <w:b w:val="0"/>
                <w:sz w:val="18"/>
              </w:rPr>
              <w:t>M7</w:t>
            </w:r>
          </w:p>
        </w:tc>
        <w:tc>
          <w:tcPr>
            <w:tcW w:w="1200" w:type="dxa"/>
          </w:tcPr>
          <w:p>
            <w:pPr>
              <w:jc w:val="center"/>
            </w:pPr>
            <w:r>
              <w:rPr>
                <w:b w:val="0"/>
                <w:sz w:val="18"/>
              </w:rPr>
              <w:t>15%</w:t>
            </w:r>
          </w:p>
        </w:tc>
        <w:tc>
          <w:tcPr>
            <w:tcW w:w="1641" w:type="dxa"/>
          </w:tcPr>
          <w:p>
            <w:pPr>
              <w:jc w:val="center"/>
            </w:pPr>
            <w:r>
              <w:rPr>
                <w:b w:val="0"/>
                <w:sz w:val="18"/>
              </w:rPr>
              <w:t>724,800</w:t>
            </w:r>
          </w:p>
        </w:tc>
      </w:tr>
      <w:tr>
        <w:trPr>
          <w:cantSplit/>
        </w:trPr>
        <w:tc>
          <w:tcPr>
            <w:tcW w:w="4000" w:type="dxa"/>
          </w:tcPr>
          <w:p>
            <w:r>
              <w:rPr>
                <w:b w:val="0"/>
                <w:sz w:val="18"/>
              </w:rPr>
              <w:t>Drop 2 accepted</w:t>
            </w:r>
          </w:p>
        </w:tc>
        <w:tc>
          <w:tcPr>
            <w:tcW w:w="1500" w:type="dxa"/>
          </w:tcPr>
          <w:p>
            <w:r>
              <w:rPr>
                <w:b w:val="0"/>
                <w:sz w:val="18"/>
              </w:rPr>
              <w:t>M11</w:t>
            </w:r>
          </w:p>
        </w:tc>
        <w:tc>
          <w:tcPr>
            <w:tcW w:w="1200" w:type="dxa"/>
          </w:tcPr>
          <w:p>
            <w:pPr>
              <w:jc w:val="center"/>
            </w:pPr>
            <w:r>
              <w:rPr>
                <w:b w:val="0"/>
                <w:sz w:val="18"/>
              </w:rPr>
              <w:t>15%</w:t>
            </w:r>
          </w:p>
        </w:tc>
        <w:tc>
          <w:tcPr>
            <w:tcW w:w="1641" w:type="dxa"/>
          </w:tcPr>
          <w:p>
            <w:pPr>
              <w:jc w:val="center"/>
            </w:pPr>
            <w:r>
              <w:rPr>
                <w:b w:val="0"/>
                <w:sz w:val="18"/>
              </w:rPr>
              <w:t>724,800</w:t>
            </w:r>
          </w:p>
        </w:tc>
      </w:tr>
      <w:tr>
        <w:trPr>
          <w:cantSplit/>
        </w:trPr>
        <w:tc>
          <w:tcPr>
            <w:tcW w:w="4000" w:type="dxa"/>
          </w:tcPr>
          <w:p>
            <w:r>
              <w:rPr>
                <w:b w:val="0"/>
                <w:sz w:val="18"/>
              </w:rPr>
              <w:t>Drop 3 accepted</w:t>
            </w:r>
          </w:p>
        </w:tc>
        <w:tc>
          <w:tcPr>
            <w:tcW w:w="1500" w:type="dxa"/>
          </w:tcPr>
          <w:p>
            <w:r>
              <w:rPr>
                <w:b w:val="0"/>
                <w:sz w:val="18"/>
              </w:rPr>
              <w:t>M14</w:t>
            </w:r>
          </w:p>
        </w:tc>
        <w:tc>
          <w:tcPr>
            <w:tcW w:w="1200" w:type="dxa"/>
          </w:tcPr>
          <w:p>
            <w:pPr>
              <w:jc w:val="center"/>
            </w:pPr>
            <w:r>
              <w:rPr>
                <w:b w:val="0"/>
                <w:sz w:val="18"/>
              </w:rPr>
              <w:t>15%</w:t>
            </w:r>
          </w:p>
        </w:tc>
        <w:tc>
          <w:tcPr>
            <w:tcW w:w="1641" w:type="dxa"/>
          </w:tcPr>
          <w:p>
            <w:pPr>
              <w:jc w:val="center"/>
            </w:pPr>
            <w:r>
              <w:rPr>
                <w:b w:val="0"/>
                <w:sz w:val="18"/>
              </w:rPr>
              <w:t>724,800</w:t>
            </w:r>
          </w:p>
        </w:tc>
      </w:tr>
      <w:tr>
        <w:trPr>
          <w:cantSplit/>
        </w:trPr>
        <w:tc>
          <w:tcPr>
            <w:tcW w:w="4000" w:type="dxa"/>
          </w:tcPr>
          <w:p>
            <w:r>
              <w:rPr>
                <w:b w:val="0"/>
                <w:sz w:val="18"/>
              </w:rPr>
              <w:t>Migration approved &amp; UAT complete</w:t>
            </w:r>
          </w:p>
        </w:tc>
        <w:tc>
          <w:tcPr>
            <w:tcW w:w="1500" w:type="dxa"/>
          </w:tcPr>
          <w:p>
            <w:r>
              <w:rPr>
                <w:b w:val="0"/>
                <w:sz w:val="18"/>
              </w:rPr>
              <w:t>M15</w:t>
            </w:r>
          </w:p>
        </w:tc>
        <w:tc>
          <w:tcPr>
            <w:tcW w:w="1200" w:type="dxa"/>
          </w:tcPr>
          <w:p>
            <w:pPr>
              <w:jc w:val="center"/>
            </w:pPr>
            <w:r>
              <w:rPr>
                <w:b w:val="0"/>
                <w:sz w:val="18"/>
              </w:rPr>
              <w:t>10%</w:t>
            </w:r>
          </w:p>
        </w:tc>
        <w:tc>
          <w:tcPr>
            <w:tcW w:w="1641" w:type="dxa"/>
          </w:tcPr>
          <w:p>
            <w:pPr>
              <w:jc w:val="center"/>
            </w:pPr>
            <w:r>
              <w:rPr>
                <w:b w:val="0"/>
                <w:sz w:val="18"/>
              </w:rPr>
              <w:t>483,200</w:t>
            </w:r>
          </w:p>
        </w:tc>
      </w:tr>
      <w:tr>
        <w:trPr>
          <w:cantSplit/>
        </w:trPr>
        <w:tc>
          <w:tcPr>
            <w:tcW w:w="4000" w:type="dxa"/>
          </w:tcPr>
          <w:p>
            <w:r>
              <w:rPr>
                <w:b w:val="0"/>
                <w:sz w:val="18"/>
              </w:rPr>
              <w:t>Go-Live (T0)</w:t>
            </w:r>
          </w:p>
        </w:tc>
        <w:tc>
          <w:tcPr>
            <w:tcW w:w="1500" w:type="dxa"/>
          </w:tcPr>
          <w:p>
            <w:r>
              <w:rPr>
                <w:b w:val="0"/>
                <w:sz w:val="18"/>
              </w:rPr>
              <w:t>end M15</w:t>
            </w:r>
          </w:p>
        </w:tc>
        <w:tc>
          <w:tcPr>
            <w:tcW w:w="1200" w:type="dxa"/>
          </w:tcPr>
          <w:p>
            <w:pPr>
              <w:jc w:val="center"/>
            </w:pPr>
            <w:r>
              <w:rPr>
                <w:b w:val="0"/>
                <w:sz w:val="18"/>
              </w:rPr>
              <w:t>15%</w:t>
            </w:r>
          </w:p>
        </w:tc>
        <w:tc>
          <w:tcPr>
            <w:tcW w:w="1641" w:type="dxa"/>
          </w:tcPr>
          <w:p>
            <w:pPr>
              <w:jc w:val="center"/>
            </w:pPr>
            <w:r>
              <w:rPr>
                <w:b w:val="0"/>
                <w:sz w:val="18"/>
              </w:rPr>
              <w:t>724,800</w:t>
            </w:r>
          </w:p>
        </w:tc>
      </w:tr>
      <w:tr>
        <w:trPr>
          <w:cantSplit/>
        </w:trPr>
        <w:tc>
          <w:tcPr>
            <w:tcW w:w="4000" w:type="dxa"/>
          </w:tcPr>
          <w:p>
            <w:r>
              <w:rPr>
                <w:b w:val="0"/>
                <w:sz w:val="18"/>
              </w:rPr>
              <w:t>Hypercare exit &amp; operational handover</w:t>
            </w:r>
          </w:p>
        </w:tc>
        <w:tc>
          <w:tcPr>
            <w:tcW w:w="1500" w:type="dxa"/>
          </w:tcPr>
          <w:p>
            <w:r>
              <w:rPr>
                <w:b w:val="0"/>
                <w:sz w:val="18"/>
              </w:rPr>
              <w:t>M18</w:t>
            </w:r>
          </w:p>
        </w:tc>
        <w:tc>
          <w:tcPr>
            <w:tcW w:w="1200" w:type="dxa"/>
          </w:tcPr>
          <w:p>
            <w:pPr>
              <w:jc w:val="center"/>
            </w:pPr>
            <w:r>
              <w:rPr>
                <w:b w:val="0"/>
                <w:sz w:val="18"/>
              </w:rPr>
              <w:t>10%</w:t>
            </w:r>
          </w:p>
        </w:tc>
        <w:tc>
          <w:tcPr>
            <w:tcW w:w="1641" w:type="dxa"/>
          </w:tcPr>
          <w:p>
            <w:pPr>
              <w:jc w:val="center"/>
            </w:pPr>
            <w:r>
              <w:rPr>
                <w:b w:val="0"/>
                <w:sz w:val="18"/>
              </w:rPr>
              <w:t>483,200</w:t>
            </w:r>
          </w:p>
        </w:tc>
      </w:tr>
      <w:tr>
        <w:trPr>
          <w:cantSplit/>
        </w:trPr>
        <w:tc>
          <w:tcPr>
            <w:tcW w:w="4000" w:type="dxa"/>
          </w:tcPr>
          <w:p>
            <w:r>
              <w:rPr>
                <w:b w:val="0"/>
                <w:sz w:val="18"/>
              </w:rPr>
              <w:t>AMC Year 1 — four quarterly instalments</w:t>
            </w:r>
          </w:p>
        </w:tc>
        <w:tc>
          <w:tcPr>
            <w:tcW w:w="1500" w:type="dxa"/>
          </w:tcPr>
          <w:p>
            <w:r>
              <w:rPr>
                <w:b w:val="0"/>
                <w:sz w:val="18"/>
              </w:rPr>
              <w:t>from M18</w:t>
            </w:r>
          </w:p>
        </w:tc>
        <w:tc>
          <w:tcPr>
            <w:tcW w:w="1200" w:type="dxa"/>
          </w:tcPr>
          <w:p>
            <w:pPr>
              <w:jc w:val="center"/>
            </w:pPr>
            <w:r>
              <w:rPr>
                <w:b w:val="0"/>
                <w:sz w:val="18"/>
              </w:rPr>
            </w:r>
          </w:p>
        </w:tc>
        <w:tc>
          <w:tcPr>
            <w:tcW w:w="1641" w:type="dxa"/>
          </w:tcPr>
          <w:p>
            <w:pPr>
              <w:jc w:val="center"/>
            </w:pPr>
            <w:r>
              <w:rPr>
                <w:b w:val="0"/>
                <w:sz w:val="18"/>
              </w:rPr>
              <w:t>4 × 142,000</w:t>
            </w:r>
          </w:p>
        </w:tc>
      </w:tr>
      <w:tr>
        <w:trPr>
          <w:cantSplit/>
        </w:trPr>
        <w:tc>
          <w:tcPr>
            <w:shd w:val="clear" w:color="auto" w:fill="E7F1F2"/>
            <w:tcW w:w="4000" w:type="dxa"/>
          </w:tcPr>
          <w:p>
            <w:r>
              <w:rPr>
                <w:b/>
                <w:sz w:val="18"/>
              </w:rPr>
              <w:t>Total</w:t>
            </w:r>
          </w:p>
        </w:tc>
        <w:tc>
          <w:tcPr>
            <w:shd w:val="clear" w:color="auto" w:fill="E7F1F2"/>
            <w:tcW w:w="1500" w:type="dxa"/>
          </w:tcPr>
          <w:p>
            <w:r>
              <w:rPr>
                <w:b/>
                <w:sz w:val="18"/>
              </w:rPr>
            </w:r>
          </w:p>
        </w:tc>
        <w:tc>
          <w:tcPr>
            <w:shd w:val="clear" w:color="auto" w:fill="E7F1F2"/>
            <w:tcW w:w="1200" w:type="dxa"/>
          </w:tcPr>
          <w:p>
            <w:pPr>
              <w:jc w:val="center"/>
            </w:pPr>
            <w:r>
              <w:rPr>
                <w:b/>
                <w:sz w:val="18"/>
              </w:rPr>
            </w:r>
          </w:p>
        </w:tc>
        <w:tc>
          <w:tcPr>
            <w:shd w:val="clear" w:color="auto" w:fill="E7F1F2"/>
            <w:tcW w:w="1641" w:type="dxa"/>
          </w:tcPr>
          <w:p>
            <w:pPr>
              <w:jc w:val="center"/>
            </w:pPr>
            <w:r>
              <w:rPr>
                <w:b/>
                <w:sz w:val="18"/>
              </w:rPr>
              <w:t>5,400,000</w:t>
            </w:r>
          </w:p>
        </w:tc>
      </w:tr>
    </w:tbl>
    <w:p>
      <w:r>
        <w:t>Licence terms: the platform licence is perpetual and is granted at contract signature; its fee is recovered rateably through the blended milestone schedule and vests fully at Drop 3 acceptance. Should the engagement conclude before that point, amounts already paid are applied first to the licence line and the Client retains the platform as delivered to that date. A source-code escrow arrangement is available at the Client’s option. Invoices are payable net 30 days; the 3% AMC escalation applies from Year 2, on each anniversary of the AMC start date.</w:t>
      </w:r>
    </w:p>
    <w:p>
      <w:pPr>
        <w:pStyle w:val="Heading1"/>
      </w:pPr>
      <w:bookmarkStart w:id="12008" w:name="_Toc12008"/>
      <w:r>
        <w:t>5.  Assumptions, exclusions and dependencies</w:t>
      </w:r>
      <w:bookmarkEnd w:id="12008"/>
    </w:p>
    <w:p>
      <w:pPr>
        <w:pStyle w:val="ListBullet"/>
      </w:pPr>
      <w:r>
        <w:t>Prices are in USD, exclusive of VAT and withholding taxes.</w:t>
      </w:r>
    </w:p>
    <w:p>
      <w:pPr>
        <w:pStyle w:val="ListBullet"/>
      </w:pPr>
      <w:r>
        <w:t>Azure subscription and cloud consumption are held by the Client; the model carries an option line should the Client prefer vendor-carried cloud.</w:t>
      </w:r>
    </w:p>
    <w:p>
      <w:pPr>
        <w:pStyle w:val="ListBullet"/>
      </w:pPr>
      <w:r>
        <w:t>Third-party onboarding and usage fees — UAE PASS, ICP, the payment gateway (the RFP names none; provider selection is confirmed at initiation), AIS/LRIT and global PSC data providers — are pass-through at cost.</w:t>
      </w:r>
    </w:p>
    <w:p>
      <w:pPr>
        <w:pStyle w:val="ListBullet"/>
      </w:pPr>
      <w:r>
        <w:t>AI model usage costs (inference) are pass-through; the AMC includes their monitoring but not their consumption.</w:t>
      </w:r>
    </w:p>
    <w:p>
      <w:pPr>
        <w:pStyle w:val="ListBullet"/>
      </w:pPr>
      <w:r>
        <w:t>The Client provides timely access to the systems and authorities upon which the integrations depend; every integration is stubbed in Drop 1 so that the build is not delayed, although live-feed dates gate Drop 2 content.</w:t>
      </w:r>
    </w:p>
    <w:p>
      <w:pPr>
        <w:pStyle w:val="ListBullet"/>
      </w:pPr>
      <w:r>
        <w:t>Effort estimates are indicative prior to detailed design, as flagged throughout the Technical Approach Document; the fixed price is maintained by the parameterised model, in which scope movement within the stated envelope is absorbed through re-reconciliation rather than renegotiation, and movement beyond the envelope follows the change-control procedure agreed at contract.</w:t>
      </w:r>
    </w:p>
    <w:p>
      <w:pPr>
        <w:pStyle w:val="ListBullet"/>
      </w:pPr>
      <w:r>
        <w:t>The +18 and +24-month KPI commitments are instrumented before T0, within the delivery price; their stewardship beyond AMC Year 1 assumes that the AMC is extended, or that an equivalent support arrangement is in place, through the KPI horizon.</w:t>
      </w:r>
    </w:p>
    <w:p>
      <w:pPr>
        <w:pStyle w:val="ListBullet"/>
      </w:pPr>
      <w:r>
        <w:t>All demonstration data in the evaluation environment is fictional; real infrastructure and public benchmarks are used where stated.</w:t>
      </w:r>
    </w:p>
    <w:p>
      <w:pPr>
        <w:pStyle w:val="Heading1"/>
      </w:pPr>
      <w:bookmarkStart w:id="12009" w:name="_Toc12009"/>
      <w:r>
        <w:t>6.  Credibility of the offer</w:t>
      </w:r>
      <w:bookmarkEnd w:id="12009"/>
    </w:p>
    <w:p>
      <w:pPr>
        <w:pStyle w:val="ListBullet"/>
      </w:pPr>
      <w:r>
        <w:t>The offer may be inspected before signature: a zero-install demonstration of the full platform is provided, together with two technical documents in which every screenshot is captured from the running build and every countable claim has been verified by count.</w:t>
      </w:r>
    </w:p>
    <w:p>
      <w:pPr>
        <w:pStyle w:val="ListBullet"/>
      </w:pPr>
      <w:r>
        <w:t>The estimate carries an audit trail: 944 man-weeks decomposed into line items, reconciled table by table, with counted-once boundaries stated wherever estimates adjoin.</w:t>
      </w:r>
    </w:p>
    <w:p>
      <w:pPr>
        <w:pStyle w:val="ListBullet"/>
      </w:pPr>
      <w:r>
        <w:t>The AI operates under governance in the current build: seven agents already render decisions under autonomy levels, thresholds, rate caps and an append-only decision register, and the national directive is accordingly answered with a demonstrable operating model rather than a forward-looking roadmap.</w:t>
      </w:r>
    </w:p>
    <w:p>
      <w:pPr>
        <w:pStyle w:val="ListBullet"/>
      </w:pPr>
      <w:r>
        <w:t>The plan is constructed backwards from the RFP’s own deadlines — agents operational at go-live, prediction accuracy at +12 months, inspection KPIs at +18 months, and coverage at +24 months — each supported by the instrumentation required to evidence it.</w:t>
      </w:r>
    </w:p>
    <w:p>
      <w:pPr>
        <w:pStyle w:val="ListBullet"/>
      </w:pPr>
      <w:r>
        <w:t>The commercial model is open: a single workbook in which every parameter is editable, with the construct re-reconciling to the fixed price as terms are negotiated.</w:t>
      </w:r>
    </w:p>
    <w:p>
      <w:pPr>
        <w:pStyle w:val="Heading1"/>
      </w:pPr>
      <w:bookmarkStart w:id="238746689" w:name="_Toc238746689"/>
      <w:r>
        <w:t>7.  Offer terms, validity and annexures</w:t>
      </w:r>
      <w:bookmarkEnd w:id="238746689"/>
    </w:p>
    <w:p>
      <w:r>
        <w:t>This proposal is issued by the System Integrator; the legal entity, registered address and authorised signatory are completed on the issued copy. The proposal is valid for 90 days from the date of issue. Prices are firm for an award within that window; beyond it, they are reconfirmed through the same open commercial model rather than renegotiated. The proposal and its annexures constitute the entire offer, are commercial-in-confidence, and are intended solely for the Client’s evaluation of this procurement. A single point of contact, with name, title, e-mail and telephone, is named on the issued copy.</w:t>
      </w:r>
    </w:p>
    <w:tbl>
      <w:tblPr>
        <w:tblStyle w:val="TableGrid"/>
        <w:tblLook w:firstColumn="1" w:firstRow="1" w:lastColumn="0" w:lastRow="0" w:noHBand="0" w:noVBand="1" w:val="04A0"/>
        <w:tblW w:w="9360" w:type="dxa"/>
        <w:tblLayout w:type="fixed"/>
      </w:tblPr>
      <w:tblGrid>
        <w:gridCol w:w="900"/>
        <w:gridCol w:w="6060"/>
        <w:gridCol w:w="2400"/>
      </w:tblGrid>
      <w:tr>
        <w:trPr>
          <w:cantSplit/>
          <w:tblHeader/>
        </w:trPr>
        <w:tc>
          <w:tcPr>
            <w:shd w:val="clear" w:color="auto" w:fill="0E7C86"/>
            <w:tcW w:w="900" w:type="dxa"/>
          </w:tcPr>
          <w:p>
            <w:r>
              <w:rPr>
                <w:b/>
                <w:color w:val="FFFFFF"/>
                <w:sz w:val="18"/>
              </w:rPr>
              <w:t>Annexure</w:t>
            </w:r>
          </w:p>
        </w:tc>
        <w:tc>
          <w:tcPr>
            <w:shd w:val="clear" w:color="auto" w:fill="0E7C86"/>
            <w:tcW w:w="6060" w:type="dxa"/>
          </w:tcPr>
          <w:p>
            <w:r>
              <w:rPr>
                <w:b/>
                <w:color w:val="FFFFFF"/>
                <w:sz w:val="18"/>
              </w:rPr>
              <w:t>Document</w:t>
            </w:r>
          </w:p>
        </w:tc>
        <w:tc>
          <w:tcPr>
            <w:shd w:val="clear" w:color="auto" w:fill="0E7C86"/>
            <w:tcW w:w="2400" w:type="dxa"/>
          </w:tcPr>
          <w:p>
            <w:r>
              <w:rPr>
                <w:b/>
                <w:color w:val="FFFFFF"/>
                <w:sz w:val="18"/>
              </w:rPr>
              <w:t>Version · date</w:t>
            </w:r>
          </w:p>
        </w:tc>
      </w:tr>
      <w:tr>
        <w:trPr>
          <w:cantSplit/>
        </w:trPr>
        <w:tc>
          <w:tcPr>
            <w:tcW w:w="900" w:type="dxa"/>
          </w:tcPr>
          <w:p>
            <w:r>
              <w:rPr>
                <w:b w:val="0"/>
                <w:sz w:val="18"/>
              </w:rPr>
              <w:t>A</w:t>
            </w:r>
          </w:p>
        </w:tc>
        <w:tc>
          <w:tcPr>
            <w:tcW w:w="6060" w:type="dxa"/>
          </w:tcPr>
          <w:p>
            <w:r>
              <w:rPr>
                <w:b w:val="0"/>
                <w:sz w:val="18"/>
              </w:rPr>
              <w:t>Technical Approach Document — Unified Maritime Digital Services Platform</w:t>
            </w:r>
          </w:p>
        </w:tc>
        <w:tc>
          <w:tcPr>
            <w:tcW w:w="2400" w:type="dxa"/>
          </w:tcPr>
          <w:p>
            <w:r>
              <w:rPr>
                <w:b w:val="0"/>
                <w:sz w:val="18"/>
              </w:rPr>
              <w:t>V15 · August 2026</w:t>
            </w:r>
          </w:p>
        </w:tc>
      </w:tr>
      <w:tr>
        <w:trPr>
          <w:cantSplit/>
        </w:trPr>
        <w:tc>
          <w:tcPr>
            <w:tcW w:w="900" w:type="dxa"/>
          </w:tcPr>
          <w:p>
            <w:r>
              <w:rPr>
                <w:b w:val="0"/>
                <w:sz w:val="18"/>
              </w:rPr>
              <w:t>B</w:t>
            </w:r>
          </w:p>
        </w:tc>
        <w:tc>
          <w:tcPr>
            <w:tcW w:w="6060" w:type="dxa"/>
          </w:tcPr>
          <w:p>
            <w:r>
              <w:rPr>
                <w:b w:val="0"/>
                <w:sz w:val="18"/>
              </w:rPr>
              <w:t>Sagar Drishti — Technical Approach Document</w:t>
            </w:r>
          </w:p>
        </w:tc>
        <w:tc>
          <w:tcPr>
            <w:tcW w:w="2400" w:type="dxa"/>
          </w:tcPr>
          <w:p>
            <w:r>
              <w:rPr>
                <w:b w:val="0"/>
                <w:sz w:val="18"/>
              </w:rPr>
              <w:t>V1 · August 2026</w:t>
            </w:r>
          </w:p>
        </w:tc>
      </w:tr>
      <w:tr>
        <w:trPr>
          <w:cantSplit/>
        </w:trPr>
        <w:tc>
          <w:tcPr>
            <w:tcW w:w="900" w:type="dxa"/>
          </w:tcPr>
          <w:p>
            <w:r>
              <w:rPr>
                <w:b w:val="0"/>
                <w:sz w:val="18"/>
              </w:rPr>
              <w:t>C</w:t>
            </w:r>
          </w:p>
        </w:tc>
        <w:tc>
          <w:tcPr>
            <w:tcW w:w="6060" w:type="dxa"/>
          </w:tcPr>
          <w:p>
            <w:r>
              <w:rPr>
                <w:b w:val="0"/>
                <w:sz w:val="18"/>
              </w:rPr>
              <w:t>Commercial model workbook — CommercialModel-V1.xlsx</w:t>
            </w:r>
          </w:p>
        </w:tc>
        <w:tc>
          <w:tcPr>
            <w:tcW w:w="2400" w:type="dxa"/>
          </w:tcPr>
          <w:p>
            <w:r>
              <w:rPr>
                <w:b w:val="0"/>
                <w:sz w:val="18"/>
              </w:rPr>
              <w:t>V1 · August 2026</w:t>
            </w:r>
          </w:p>
        </w:tc>
      </w:tr>
      <w:tr>
        <w:trPr>
          <w:cantSplit/>
        </w:trPr>
        <w:tc>
          <w:tcPr>
            <w:tcW w:w="900" w:type="dxa"/>
          </w:tcPr>
          <w:p>
            <w:r>
              <w:rPr>
                <w:b w:val="0"/>
                <w:sz w:val="18"/>
              </w:rPr>
              <w:t>D</w:t>
            </w:r>
          </w:p>
        </w:tc>
        <w:tc>
          <w:tcPr>
            <w:tcW w:w="6060" w:type="dxa"/>
          </w:tcPr>
          <w:p>
            <w:r>
              <w:rPr>
                <w:b w:val="0"/>
                <w:sz w:val="18"/>
              </w:rPr>
              <w:t>Delta-programme sizing workbook — CostingModel-DeltaProgramme.xlsx (effort-only sizing basis; superseded commercially by this proposal)</w:t>
            </w:r>
          </w:p>
        </w:tc>
        <w:tc>
          <w:tcPr>
            <w:tcW w:w="2400" w:type="dxa"/>
          </w:tcPr>
          <w:p>
            <w:r>
              <w:rPr>
                <w:b w:val="0"/>
                <w:sz w:val="18"/>
              </w:rPr>
              <w:t>V1 · August 2026</w:t>
            </w:r>
          </w:p>
        </w:tc>
      </w:tr>
    </w:tbl>
    <w:p>
      <w:r>
        <w:t>Agreed and accepted:</w:t>
      </w:r>
    </w:p>
    <w:tbl>
      <w:tblPr>
        <w:tblStyle w:val="TableGrid"/>
        <w:tblLook w:firstColumn="1" w:firstRow="1" w:lastColumn="0" w:lastRow="0" w:noHBand="0" w:noVBand="1" w:val="04A0"/>
        <w:tblW w:w="9360" w:type="dxa"/>
        <w:tblLayout w:type="fixed"/>
      </w:tblPr>
      <w:tblGrid>
        <w:gridCol w:w="1560"/>
        <w:gridCol w:w="3900"/>
        <w:gridCol w:w="3900"/>
      </w:tblGrid>
      <w:tr>
        <w:trPr>
          <w:cantSplit/>
          <w:tblHeader/>
        </w:trPr>
        <w:tc>
          <w:tcPr>
            <w:shd w:val="clear" w:color="auto" w:fill="0E7C86"/>
            <w:tcW w:w="1560" w:type="dxa"/>
          </w:tcPr>
          <w:p>
            <w:r>
              <w:rPr>
                <w:b/>
                <w:color w:val="FFFFFF"/>
                <w:sz w:val="18"/>
              </w:rPr>
            </w:r>
          </w:p>
        </w:tc>
        <w:tc>
          <w:tcPr>
            <w:shd w:val="clear" w:color="auto" w:fill="0E7C86"/>
            <w:tcW w:w="3900" w:type="dxa"/>
          </w:tcPr>
          <w:p>
            <w:r>
              <w:rPr>
                <w:b/>
                <w:color w:val="FFFFFF"/>
                <w:sz w:val="18"/>
              </w:rPr>
              <w:t>For the System Integrator</w:t>
            </w:r>
          </w:p>
        </w:tc>
        <w:tc>
          <w:tcPr>
            <w:shd w:val="clear" w:color="auto" w:fill="0E7C86"/>
            <w:tcW w:w="3900" w:type="dxa"/>
          </w:tcPr>
          <w:p>
            <w:r>
              <w:rPr>
                <w:b/>
                <w:color w:val="FFFFFF"/>
                <w:sz w:val="18"/>
              </w:rPr>
              <w:t>For the Client</w:t>
            </w:r>
          </w:p>
        </w:tc>
      </w:tr>
      <w:tr>
        <w:trPr>
          <w:cantSplit/>
        </w:trPr>
        <w:tc>
          <w:tcPr>
            <w:tcW w:w="1560" w:type="dxa"/>
          </w:tcPr>
          <w:p>
            <w:r>
              <w:rPr>
                <w:b w:val="0"/>
                <w:sz w:val="18"/>
              </w:rPr>
              <w:t>Name</w:t>
            </w:r>
          </w:p>
        </w:tc>
        <w:tc>
          <w:tcPr>
            <w:tcW w:w="3900" w:type="dxa"/>
          </w:tcPr>
          <w:p>
            <w:r>
              <w:rPr>
                <w:b w:val="0"/>
                <w:sz w:val="18"/>
              </w:rPr>
            </w:r>
          </w:p>
        </w:tc>
        <w:tc>
          <w:tcPr>
            <w:tcW w:w="3900" w:type="dxa"/>
          </w:tcPr>
          <w:p>
            <w:r>
              <w:rPr>
                <w:b w:val="0"/>
                <w:sz w:val="18"/>
              </w:rPr>
            </w:r>
          </w:p>
        </w:tc>
      </w:tr>
      <w:tr>
        <w:trPr>
          <w:cantSplit/>
        </w:trPr>
        <w:tc>
          <w:tcPr>
            <w:tcW w:w="1560" w:type="dxa"/>
          </w:tcPr>
          <w:p>
            <w:r>
              <w:rPr>
                <w:b w:val="0"/>
                <w:sz w:val="18"/>
              </w:rPr>
              <w:t>Title</w:t>
            </w:r>
          </w:p>
        </w:tc>
        <w:tc>
          <w:tcPr>
            <w:tcW w:w="3900" w:type="dxa"/>
          </w:tcPr>
          <w:p>
            <w:r>
              <w:rPr>
                <w:b w:val="0"/>
                <w:sz w:val="18"/>
              </w:rPr>
            </w:r>
          </w:p>
        </w:tc>
        <w:tc>
          <w:tcPr>
            <w:tcW w:w="3900" w:type="dxa"/>
          </w:tcPr>
          <w:p>
            <w:r>
              <w:rPr>
                <w:b w:val="0"/>
                <w:sz w:val="18"/>
              </w:rPr>
            </w:r>
          </w:p>
        </w:tc>
      </w:tr>
      <w:tr>
        <w:trPr>
          <w:cantSplit/>
        </w:trPr>
        <w:tc>
          <w:tcPr>
            <w:tcW w:w="1560" w:type="dxa"/>
          </w:tcPr>
          <w:p>
            <w:r>
              <w:rPr>
                <w:b w:val="0"/>
                <w:sz w:val="18"/>
              </w:rPr>
              <w:t>Signature</w:t>
            </w:r>
          </w:p>
        </w:tc>
        <w:tc>
          <w:tcPr>
            <w:tcW w:w="3900" w:type="dxa"/>
          </w:tcPr>
          <w:p>
            <w:r>
              <w:rPr>
                <w:b w:val="0"/>
                <w:sz w:val="18"/>
              </w:rPr>
            </w:r>
          </w:p>
        </w:tc>
        <w:tc>
          <w:tcPr>
            <w:tcW w:w="3900" w:type="dxa"/>
          </w:tcPr>
          <w:p>
            <w:r>
              <w:rPr>
                <w:b w:val="0"/>
                <w:sz w:val="18"/>
              </w:rPr>
            </w:r>
          </w:p>
        </w:tc>
      </w:tr>
      <w:tr>
        <w:trPr>
          <w:cantSplit/>
        </w:trPr>
        <w:tc>
          <w:tcPr>
            <w:tcW w:w="1560" w:type="dxa"/>
          </w:tcPr>
          <w:p>
            <w:r>
              <w:rPr>
                <w:b w:val="0"/>
                <w:sz w:val="18"/>
              </w:rPr>
              <w:t>Date</w:t>
            </w:r>
          </w:p>
        </w:tc>
        <w:tc>
          <w:tcPr>
            <w:tcW w:w="3900" w:type="dxa"/>
          </w:tcPr>
          <w:p>
            <w:r>
              <w:rPr>
                <w:b w:val="0"/>
                <w:sz w:val="18"/>
              </w:rPr>
            </w:r>
          </w:p>
        </w:tc>
        <w:tc>
          <w:tcPr>
            <w:tcW w:w="3900" w:type="dxa"/>
          </w:tcPr>
          <w:p>
            <w:r>
              <w:rPr>
                <w:b w:val="0"/>
                <w:sz w:val="18"/>
              </w:rPr>
            </w:r>
          </w:p>
        </w:tc>
      </w:tr>
    </w:tbl>
    <w:sectPr w:rsidR="00AD076D" w:rsidSect="00034616">
      <w:headerReference w:type="even" r:id="rId87"/>
      <w:headerReference w:type="default" r:id="rId88"/>
      <w:footerReference w:type="even" r:id="rId89"/>
      <w:footerReference w:type="default" r:id="rId90"/>
      <w:headerReference w:type="first" r:id="rId91"/>
      <w:footerReference w:type="first" r:id="rId92"/>
      <w:pgSz w:w="11909" w:h="16834"/>
      <w:pgMar w:top="1368"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E89C3D" w14:textId="77777777" w:rsidR="00ED61E2" w:rsidRDefault="00ED61E2">
      <w:pPr>
        <w:spacing w:after="0" w:line="240" w:lineRule="auto"/>
      </w:pPr>
      <w:r>
        <w:separator/>
      </w:r>
    </w:p>
  </w:endnote>
  <w:endnote w:type="continuationSeparator" w:id="0">
    <w:p w14:paraId="71B2A007" w14:textId="77777777" w:rsidR="00ED61E2" w:rsidRDefault="00ED6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440110" w14:textId="77777777" w:rsidR="006B6BF1" w:rsidRDefault="006B6B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E4D81" w14:textId="77777777" w:rsidR="00E3067F" w:rsidRDefault="005010BD">
    <w:pPr>
      <w:pStyle w:val="Footer"/>
      <w:jc w:val="center"/>
    </w:pPr>
    <w:r>
      <w:rPr>
        <w:color w:val="52696F"/>
        <w:sz w:val="16"/>
      </w:rPr>
      <w:t xml:space="preserve">CONFIDENTIAL · Commercial Proposal v2.0   ·   Page </w:t>
    </w:r>
    <w:r>
      <w:rPr>
        <w:color w:val="52696F"/>
        <w:sz w:val="16"/>
      </w:rPr>
      <w:fldChar w:fldCharType="begin"/>
    </w:r>
    <w:r>
      <w:rPr>
        <w:color w:val="52696F"/>
        <w:sz w:val="16"/>
      </w:rPr>
      <w:instrText>PAGE</w:instrText>
    </w:r>
    <w:r>
      <w:rPr>
        <w:color w:val="52696F"/>
        <w:sz w:val="16"/>
      </w:rPr>
      <w:fldChar w:fldCharType="separate"/>
    </w:r>
    <w:r w:rsidR="00EA7088">
      <w:rPr>
        <w:noProof/>
        <w:color w:val="52696F"/>
        <w:sz w:val="16"/>
      </w:rPr>
      <w:t>1</w:t>
    </w:r>
    <w:r>
      <w:rPr>
        <w:color w:val="52696F"/>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D7004" w14:textId="77777777" w:rsidR="006B6BF1" w:rsidRDefault="006B6B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397B5B" w14:textId="77777777" w:rsidR="00ED61E2" w:rsidRDefault="00ED61E2">
      <w:pPr>
        <w:spacing w:after="0" w:line="240" w:lineRule="auto"/>
      </w:pPr>
      <w:r>
        <w:separator/>
      </w:r>
    </w:p>
  </w:footnote>
  <w:footnote w:type="continuationSeparator" w:id="0">
    <w:p w14:paraId="15FB1C21" w14:textId="77777777" w:rsidR="00ED61E2" w:rsidRDefault="00ED6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1C02DF" w14:textId="77777777" w:rsidR="006B6BF1" w:rsidRDefault="006B6B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D31D1B" w14:textId="77777777" w:rsidR="00E3067F" w:rsidRDefault="005D3026">
    <w:pPr>
      <w:pStyle w:val="Header"/>
      <w:jc w:val="center"/>
    </w:pPr>
    <w:r>
      <w:rPr>
        <w:b/>
        <w:color w:val="B02E2E"/>
        <w:sz w:val="20"/>
      </w:rPr>
      <w:t>CONFIDENTIAL — Commercial Proposal · Unified Maritime Digital Services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2998D5" w14:textId="77777777" w:rsidR="006B6BF1" w:rsidRDefault="006B6B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903287">
    <w:abstractNumId w:val="8"/>
  </w:num>
  <w:num w:numId="2" w16cid:durableId="1071731996">
    <w:abstractNumId w:val="6"/>
  </w:num>
  <w:num w:numId="3" w16cid:durableId="428284033">
    <w:abstractNumId w:val="5"/>
  </w:num>
  <w:num w:numId="4" w16cid:durableId="602107957">
    <w:abstractNumId w:val="4"/>
  </w:num>
  <w:num w:numId="5" w16cid:durableId="201984491">
    <w:abstractNumId w:val="7"/>
  </w:num>
  <w:num w:numId="6" w16cid:durableId="1242760873">
    <w:abstractNumId w:val="3"/>
  </w:num>
  <w:num w:numId="7" w16cid:durableId="169222340">
    <w:abstractNumId w:val="2"/>
  </w:num>
  <w:num w:numId="8" w16cid:durableId="139077229">
    <w:abstractNumId w:val="1"/>
  </w:num>
  <w:num w:numId="9" w16cid:durableId="829100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AE0"/>
    <w:rsid w:val="00013FDC"/>
    <w:rsid w:val="00027F65"/>
    <w:rsid w:val="000303C5"/>
    <w:rsid w:val="00030922"/>
    <w:rsid w:val="00034616"/>
    <w:rsid w:val="000501E0"/>
    <w:rsid w:val="0006063C"/>
    <w:rsid w:val="0008131F"/>
    <w:rsid w:val="000D2596"/>
    <w:rsid w:val="000F069F"/>
    <w:rsid w:val="00116832"/>
    <w:rsid w:val="0015074B"/>
    <w:rsid w:val="00152176"/>
    <w:rsid w:val="00195CCB"/>
    <w:rsid w:val="001A3831"/>
    <w:rsid w:val="002245AF"/>
    <w:rsid w:val="00251084"/>
    <w:rsid w:val="00252D14"/>
    <w:rsid w:val="0025777F"/>
    <w:rsid w:val="00264A10"/>
    <w:rsid w:val="002778EC"/>
    <w:rsid w:val="002851F0"/>
    <w:rsid w:val="00285C89"/>
    <w:rsid w:val="0029639D"/>
    <w:rsid w:val="002B3E27"/>
    <w:rsid w:val="002E7CE9"/>
    <w:rsid w:val="00326F90"/>
    <w:rsid w:val="00330D70"/>
    <w:rsid w:val="00341873"/>
    <w:rsid w:val="0037152E"/>
    <w:rsid w:val="00386E4F"/>
    <w:rsid w:val="00397539"/>
    <w:rsid w:val="003C2BDA"/>
    <w:rsid w:val="003D71AC"/>
    <w:rsid w:val="003E0E09"/>
    <w:rsid w:val="003E7E40"/>
    <w:rsid w:val="00420429"/>
    <w:rsid w:val="004344AE"/>
    <w:rsid w:val="004D3A7D"/>
    <w:rsid w:val="004D47BE"/>
    <w:rsid w:val="005010BD"/>
    <w:rsid w:val="005026EA"/>
    <w:rsid w:val="00512034"/>
    <w:rsid w:val="00562B24"/>
    <w:rsid w:val="005A286F"/>
    <w:rsid w:val="005C14B7"/>
    <w:rsid w:val="005D3026"/>
    <w:rsid w:val="005E7281"/>
    <w:rsid w:val="005F7199"/>
    <w:rsid w:val="00606E44"/>
    <w:rsid w:val="00613A05"/>
    <w:rsid w:val="006351E7"/>
    <w:rsid w:val="00643355"/>
    <w:rsid w:val="00644676"/>
    <w:rsid w:val="00645F9F"/>
    <w:rsid w:val="00671575"/>
    <w:rsid w:val="0067708E"/>
    <w:rsid w:val="006B6BF1"/>
    <w:rsid w:val="006F6258"/>
    <w:rsid w:val="00737FE5"/>
    <w:rsid w:val="00745539"/>
    <w:rsid w:val="00772B4C"/>
    <w:rsid w:val="00773E36"/>
    <w:rsid w:val="00795955"/>
    <w:rsid w:val="007D1392"/>
    <w:rsid w:val="007E02E6"/>
    <w:rsid w:val="00805284"/>
    <w:rsid w:val="008150DA"/>
    <w:rsid w:val="008A1291"/>
    <w:rsid w:val="008A7D79"/>
    <w:rsid w:val="008B1945"/>
    <w:rsid w:val="008B439D"/>
    <w:rsid w:val="008B52D3"/>
    <w:rsid w:val="008B6957"/>
    <w:rsid w:val="008C754D"/>
    <w:rsid w:val="009131D4"/>
    <w:rsid w:val="009511F0"/>
    <w:rsid w:val="00960D04"/>
    <w:rsid w:val="00971434"/>
    <w:rsid w:val="009A0A57"/>
    <w:rsid w:val="009B5A00"/>
    <w:rsid w:val="009E6010"/>
    <w:rsid w:val="00A71289"/>
    <w:rsid w:val="00A80285"/>
    <w:rsid w:val="00AA1D8D"/>
    <w:rsid w:val="00AA7353"/>
    <w:rsid w:val="00AA7D3E"/>
    <w:rsid w:val="00AD076D"/>
    <w:rsid w:val="00B1016E"/>
    <w:rsid w:val="00B120AB"/>
    <w:rsid w:val="00B13DA6"/>
    <w:rsid w:val="00B44D6A"/>
    <w:rsid w:val="00B45704"/>
    <w:rsid w:val="00B47730"/>
    <w:rsid w:val="00B64FA6"/>
    <w:rsid w:val="00BC7875"/>
    <w:rsid w:val="00C5508B"/>
    <w:rsid w:val="00C712DD"/>
    <w:rsid w:val="00CA5AD4"/>
    <w:rsid w:val="00CB0664"/>
    <w:rsid w:val="00D0021F"/>
    <w:rsid w:val="00D00E2C"/>
    <w:rsid w:val="00D225E5"/>
    <w:rsid w:val="00D27ECE"/>
    <w:rsid w:val="00D72405"/>
    <w:rsid w:val="00E3067F"/>
    <w:rsid w:val="00E30DA8"/>
    <w:rsid w:val="00E4117E"/>
    <w:rsid w:val="00E6533B"/>
    <w:rsid w:val="00E742C3"/>
    <w:rsid w:val="00E863FD"/>
    <w:rsid w:val="00EA7088"/>
    <w:rsid w:val="00EB0719"/>
    <w:rsid w:val="00EC7678"/>
    <w:rsid w:val="00ED60DC"/>
    <w:rsid w:val="00ED61E2"/>
    <w:rsid w:val="00FA2307"/>
    <w:rsid w:val="00FC693F"/>
    <w:rsid w:val="00FF310A"/>
    <w:rsid w:val="00FF31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FDB2A"/>
  <w14:defaultImageDpi w14:val="300"/>
  <w15:docId w15:val="{5758926D-5CA0-49AD-BB57-32107A83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2262E"/>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E7C86"/>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2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E7C86"/>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2262E"/>
      <w:sz w:val="25"/>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40" w:after="280" w:line="240" w:lineRule="auto"/>
    </w:pPr>
    <w:rPr>
      <w:b/>
      <w:bCs/>
      <w:i/>
      <w:color w:val="5269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A7088"/>
    <w:pPr>
      <w:spacing w:after="100"/>
    </w:pPr>
  </w:style>
  <w:style w:type="paragraph" w:styleId="TOC2">
    <w:name w:val="toc 2"/>
    <w:basedOn w:val="Normal"/>
    <w:next w:val="Normal"/>
    <w:autoRedefine/>
    <w:uiPriority w:val="39"/>
    <w:unhideWhenUsed/>
    <w:rsid w:val="00EA7088"/>
    <w:pPr>
      <w:spacing w:after="100"/>
      <w:ind w:left="210"/>
    </w:pPr>
  </w:style>
  <w:style w:type="character" w:styleId="Hyperlink">
    <w:name w:val="Hyperlink"/>
    <w:basedOn w:val="DefaultParagraphFont"/>
    <w:uiPriority w:val="99"/>
    <w:unhideWhenUsed/>
    <w:rsid w:val="00EA70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9"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footer" Target="footer2.xml"/><Relationship Id="rId93" Type="http://schemas.openxmlformats.org/officeDocument/2006/relationships/fontTable" Target="fontTable.xml"/><Relationship Id="rId3" Type="http://schemas.openxmlformats.org/officeDocument/2006/relationships/styles" Target="styles.xml"/><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94" Type="http://schemas.openxmlformats.org/officeDocument/2006/relationships/theme" Target="theme/theme1.xml"/><Relationship Id="rId4" Type="http://schemas.openxmlformats.org/officeDocument/2006/relationships/settings" Target="settings.xml"/><Relationship Id="rId7" Type="http://schemas.openxmlformats.org/officeDocument/2006/relationships/endnotes" Target="endnotes.xml"/><Relationship Id="rId92" Type="http://schemas.openxmlformats.org/officeDocument/2006/relationships/footer" Target="footer3.xml"/><Relationship Id="rId2" Type="http://schemas.openxmlformats.org/officeDocument/2006/relationships/numbering" Target="numbering.xml"/><Relationship Id="rId8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EF294A-84F1-414A-B999-0B550D6EDF2F}">
  <we:reference id="d51ccb01-85e7-42ab-885b-de05c07799f3" version="1.0.0.1" store="EXCatalog" storeType="EXCatalog"/>
  <we:alternateReferences>
    <we:reference id="WA200010453" version="1.0.0.1" store="en-GB" storeType="OMEX"/>
  </we:alternateReferences>
  <we:properties>
    <we:property name="claude.fileId" value="&quot;c6e8b164-d69e-477e-aed2-edb2a3a3f898&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009435AC-7EBC-9245-8CDB-1A862F958AEF}">
  <we:reference id="11d7cf85-ae5a-43b8-bc58-1e1a151cce24" version="1.0.0.1" store="EXCatalog" storeType="EXCatalog"/>
  <we:alternateReferences>
    <we:reference id="WA200010725" version="1.0.0.1" store="en-GB" storeType="OMEX"/>
  </we:alternateReferences>
  <we:properties>
    <we:property name="claude.fileId" value="&quot;09c9b3fe-446c-49e8-8852-6a6da033b06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6</Pages>
  <Words>2604</Word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Sharma</dc:creator>
  <cp:keywords/>
  <cp:lastModifiedBy>Ashish Sharma</cp:lastModifiedBy>
  <cp:revision>142</cp:revision>
  <cp:lastPrinted>2026-08-27T15:18:00Z</cp:lastPrinted>
  <dcterms:created xsi:type="dcterms:W3CDTF">2026-08-28T09:00:00Z</dcterms:created>
  <dcterms:modified xsi:type="dcterms:W3CDTF">2026-08-28T12:00:00Z</dcterms:modified>
  <cp:category/>
  <dc:title>Commercial Proposal — Unified Maritime Digital Services Platform</dc:title>
</cp:coreProperties>
</file>