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F39142" w14:textId="77777777" w:rsidR="00E3067F" w:rsidRDefault="005010BD">
      <w:pPr>
        <w:spacing w:before="1520"/>
      </w:pPr>
      <w:r>
        <w:rPr>
          <w:b/>
          <w:color w:val="0E7C86"/>
          <w:sz w:val="20"/>
        </w:rPr>
        <w:t>MARITIME TRANSFORMATION PROGRAMME</w:t>
      </w:r>
    </w:p>
    <w:p w14:paraId="0F184DBF" w14:textId="77777777" w:rsidR="00E3067F" w:rsidRDefault="005010BD">
      <w:r>
        <w:rPr>
          <w:b/>
          <w:sz w:val="60"/>
        </w:rPr>
        <w:t>Commercial Proposal</w:t>
      </w:r>
    </w:p>
    <w:p w14:paraId="326B57C7" w14:textId="77777777" w:rsidR="00E3067F" w:rsidRDefault="005010BD">
      <w:r>
        <w:rPr>
          <w:b/>
          <w:color w:val="0E7C86"/>
          <w:sz w:val="44"/>
        </w:rPr>
        <w:t>Unified Maritime Digital Services Platform</w:t>
      </w:r>
    </w:p>
    <w:p w14:paraId="5B133A65" w14:textId="77777777" w:rsidR="00E3067F" w:rsidRDefault="005010BD">
      <w:pPr>
        <w:spacing w:after="360"/>
      </w:pPr>
      <w:r>
        <w:rPr>
          <w:color w:val="52696F"/>
          <w:sz w:val="24"/>
        </w:rPr>
        <w:t>A working platform, a costed and time-boxed transformation, and a governed AI operating model — offered as one commercial construct: a two-year delivery envelope with one year of managed support, at a fixed price of USD 5.40 million.</w:t>
      </w:r>
    </w:p>
    <w:tbl>
      <w:tblPr>
        <w:tblStyle w:val="TableGrid"/>
        <w:tblW w:w="9280" w:type="dxa"/>
        <w:tblLayout w:type="fixed"/>
        <w:tblLook w:val="04A0" w:firstRow="1" w:lastRow="0" w:firstColumn="1" w:lastColumn="0" w:noHBand="0" w:noVBand="1"/>
      </w:tblPr>
      <w:tblGrid>
        <w:gridCol w:w="2958"/>
        <w:gridCol w:w="6322"/>
      </w:tblGrid>
      <w:tr w:rsidR="00E3067F" w14:paraId="3578ECCB" w14:textId="77777777" w:rsidTr="006F6258">
        <w:trPr>
          <w:tblHeader/>
        </w:trPr>
        <w:tc>
          <w:tcPr>
            <w:tcW w:w="2960" w:type="dxa"/>
            <w:shd w:val="clear" w:color="auto" w:fill="B02E2E"/>
            <w:tcMar>
              <w:top w:w="60" w:type="dxa"/>
              <w:left w:w="100" w:type="dxa"/>
              <w:bottom w:w="60" w:type="dxa"/>
              <w:right w:w="100" w:type="dxa"/>
            </w:tcMar>
          </w:tcPr>
          <w:p w14:paraId="0BB40B03" w14:textId="77777777" w:rsidR="00E3067F" w:rsidRPr="006F6258" w:rsidRDefault="005010BD" w:rsidP="006F6258">
            <w:pPr>
              <w:spacing w:after="40" w:line="250" w:lineRule="auto"/>
              <w:rPr>
                <w:sz w:val="18"/>
              </w:rPr>
            </w:pPr>
            <w:r w:rsidRPr="006F6258">
              <w:rPr>
                <w:b/>
                <w:color w:val="FFFFFF"/>
                <w:sz w:val="18"/>
              </w:rPr>
              <w:t>Document control</w:t>
            </w:r>
          </w:p>
        </w:tc>
        <w:tc>
          <w:tcPr>
            <w:tcW w:w="6328" w:type="dxa"/>
            <w:shd w:val="clear" w:color="auto" w:fill="B02E2E"/>
            <w:tcMar>
              <w:top w:w="60" w:type="dxa"/>
              <w:left w:w="100" w:type="dxa"/>
              <w:bottom w:w="60" w:type="dxa"/>
              <w:right w:w="100" w:type="dxa"/>
            </w:tcMar>
          </w:tcPr>
          <w:p w14:paraId="15172F29" w14:textId="77777777" w:rsidR="00E3067F" w:rsidRPr="006F6258" w:rsidRDefault="00E3067F" w:rsidP="006F6258">
            <w:pPr>
              <w:spacing w:after="40" w:line="250" w:lineRule="auto"/>
              <w:rPr>
                <w:sz w:val="18"/>
              </w:rPr>
            </w:pPr>
          </w:p>
        </w:tc>
      </w:tr>
      <w:tr w:rsidR="00E3067F" w14:paraId="0B630050" w14:textId="77777777" w:rsidTr="006F6258">
        <w:tc>
          <w:tcPr>
            <w:tcW w:w="2960" w:type="dxa"/>
            <w:tcMar>
              <w:top w:w="60" w:type="dxa"/>
              <w:left w:w="100" w:type="dxa"/>
              <w:bottom w:w="60" w:type="dxa"/>
              <w:right w:w="100" w:type="dxa"/>
            </w:tcMar>
          </w:tcPr>
          <w:p w14:paraId="7B210AB9" w14:textId="77777777" w:rsidR="00E3067F" w:rsidRPr="006F6258" w:rsidRDefault="005010BD" w:rsidP="006F6258">
            <w:pPr>
              <w:spacing w:after="40" w:line="250" w:lineRule="auto"/>
              <w:rPr>
                <w:sz w:val="18"/>
              </w:rPr>
            </w:pPr>
            <w:r w:rsidRPr="006F6258">
              <w:rPr>
                <w:sz w:val="18"/>
              </w:rPr>
              <w:t>Classification</w:t>
            </w:r>
          </w:p>
        </w:tc>
        <w:tc>
          <w:tcPr>
            <w:tcW w:w="6328" w:type="dxa"/>
            <w:tcMar>
              <w:top w:w="60" w:type="dxa"/>
              <w:left w:w="100" w:type="dxa"/>
              <w:bottom w:w="60" w:type="dxa"/>
              <w:right w:w="100" w:type="dxa"/>
            </w:tcMar>
          </w:tcPr>
          <w:p w14:paraId="3DA55963" w14:textId="77777777" w:rsidR="00E3067F" w:rsidRPr="006F6258" w:rsidRDefault="005010BD" w:rsidP="006F6258">
            <w:pPr>
              <w:spacing w:after="40" w:line="250" w:lineRule="auto"/>
              <w:rPr>
                <w:sz w:val="18"/>
              </w:rPr>
            </w:pPr>
            <w:r w:rsidRPr="006F6258">
              <w:rPr>
                <w:sz w:val="18"/>
              </w:rPr>
              <w:t>CONFIDENTIAL — commercial in confidence</w:t>
            </w:r>
          </w:p>
        </w:tc>
      </w:tr>
      <w:tr w:rsidR="00E3067F" w14:paraId="42C47788" w14:textId="77777777" w:rsidTr="006F6258">
        <w:tc>
          <w:tcPr>
            <w:tcW w:w="2960" w:type="dxa"/>
            <w:tcMar>
              <w:top w:w="60" w:type="dxa"/>
              <w:left w:w="100" w:type="dxa"/>
              <w:bottom w:w="60" w:type="dxa"/>
              <w:right w:w="100" w:type="dxa"/>
            </w:tcMar>
          </w:tcPr>
          <w:p w14:paraId="700FAC44" w14:textId="77777777" w:rsidR="00E3067F" w:rsidRPr="006F6258" w:rsidRDefault="005010BD" w:rsidP="006F6258">
            <w:pPr>
              <w:spacing w:after="40" w:line="250" w:lineRule="auto"/>
              <w:rPr>
                <w:sz w:val="18"/>
              </w:rPr>
            </w:pPr>
            <w:r w:rsidRPr="006F6258">
              <w:rPr>
                <w:sz w:val="18"/>
              </w:rPr>
              <w:t>Version / Date</w:t>
            </w:r>
          </w:p>
        </w:tc>
        <w:tc>
          <w:tcPr>
            <w:tcW w:w="6328" w:type="dxa"/>
            <w:tcMar>
              <w:top w:w="60" w:type="dxa"/>
              <w:left w:w="100" w:type="dxa"/>
              <w:bottom w:w="60" w:type="dxa"/>
              <w:right w:w="100" w:type="dxa"/>
            </w:tcMar>
          </w:tcPr>
          <w:p w14:paraId="2450972E" w14:textId="77777777" w:rsidR="00E3067F" w:rsidRPr="006F6258" w:rsidRDefault="005010BD" w:rsidP="006F6258">
            <w:pPr>
              <w:spacing w:after="40" w:line="250" w:lineRule="auto"/>
              <w:rPr>
                <w:sz w:val="18"/>
              </w:rPr>
            </w:pPr>
            <w:r w:rsidRPr="006F6258">
              <w:rPr>
                <w:sz w:val="18"/>
              </w:rPr>
              <w:t>Proposal V1 · August 2026</w:t>
            </w:r>
          </w:p>
        </w:tc>
      </w:tr>
      <w:tr w:rsidR="00E3067F" w14:paraId="42C47788" w14:textId="77777777" w:rsidTr="006F6258">
        <w:tc>
          <w:tcPr>
            <w:tcW w:w="2960" w:type="dxa"/>
            <w:tcMar>
              <w:top w:w="60" w:type="dxa"/>
              <w:left w:w="100" w:type="dxa"/>
              <w:bottom w:w="60" w:type="dxa"/>
              <w:right w:w="100" w:type="dxa"/>
            </w:tcMar>
          </w:tcPr>
          <w:p w14:paraId="700FAC44" w14:textId="77777777" w:rsidR="00E3067F" w:rsidRPr="006F6258" w:rsidRDefault="005010BD" w:rsidP="006F6258">
            <w:pPr>
              <w:spacing w:after="40" w:line="250" w:lineRule="auto"/>
              <w:rPr>
                <w:sz w:val="18"/>
              </w:rPr>
            </w:pPr>
            <w:r w:rsidRPr="006F6258">
              <w:rPr>
                <w:sz w:val="18"/>
              </w:rPr>
              <w:t>Validity</w:t>
            </w:r>
          </w:p>
        </w:tc>
        <w:tc>
          <w:tcPr>
            <w:tcW w:w="6328" w:type="dxa"/>
            <w:tcMar>
              <w:top w:w="60" w:type="dxa"/>
              <w:left w:w="100" w:type="dxa"/>
              <w:bottom w:w="60" w:type="dxa"/>
              <w:right w:w="100" w:type="dxa"/>
            </w:tcMar>
          </w:tcPr>
          <w:p w14:paraId="2450972E" w14:textId="77777777" w:rsidR="00E3067F" w:rsidRPr="006F6258" w:rsidRDefault="005010BD" w:rsidP="006F6258">
            <w:pPr>
              <w:spacing w:after="40" w:line="250" w:lineRule="auto"/>
              <w:rPr>
                <w:sz w:val="18"/>
              </w:rPr>
            </w:pPr>
            <w:r w:rsidRPr="006F6258">
              <w:rPr>
                <w:sz w:val="18"/>
              </w:rPr>
              <w:t>90 days from date of issue; prices firm for an award within the validity period</w:t>
            </w:r>
          </w:p>
        </w:tc>
      </w:tr>
      <w:tr w:rsidR="00E3067F" w14:paraId="539D0104" w14:textId="77777777" w:rsidTr="006F6258">
        <w:tc>
          <w:tcPr>
            <w:tcW w:w="2960" w:type="dxa"/>
            <w:tcMar>
              <w:top w:w="60" w:type="dxa"/>
              <w:left w:w="100" w:type="dxa"/>
              <w:bottom w:w="60" w:type="dxa"/>
              <w:right w:w="100" w:type="dxa"/>
            </w:tcMar>
          </w:tcPr>
          <w:p w14:paraId="062A829D" w14:textId="77777777" w:rsidR="00E3067F" w:rsidRPr="006F6258" w:rsidRDefault="005010BD" w:rsidP="006F6258">
            <w:pPr>
              <w:spacing w:after="40" w:line="250" w:lineRule="auto"/>
              <w:rPr>
                <w:sz w:val="18"/>
              </w:rPr>
            </w:pPr>
            <w:r w:rsidRPr="006F6258">
              <w:rPr>
                <w:sz w:val="18"/>
              </w:rPr>
              <w:t>Method</w:t>
            </w:r>
          </w:p>
        </w:tc>
        <w:tc>
          <w:tcPr>
            <w:tcW w:w="6328" w:type="dxa"/>
            <w:tcMar>
              <w:top w:w="60" w:type="dxa"/>
              <w:left w:w="100" w:type="dxa"/>
              <w:bottom w:w="60" w:type="dxa"/>
              <w:right w:w="100" w:type="dxa"/>
            </w:tcMar>
          </w:tcPr>
          <w:p w14:paraId="27E16B39" w14:textId="77777777" w:rsidR="00D0021F" w:rsidRPr="00D0021F" w:rsidRDefault="00D0021F" w:rsidP="00D0021F">
            <w:pPr>
              <w:pStyle w:val="ListBullet"/>
              <w:spacing w:after="40" w:line="240" w:lineRule="auto"/>
              <w:ind w:left="200" w:hanging="200"/>
              <w:rPr>
                <w:sz w:val="18"/>
              </w:rPr>
            </w:pPr>
            <w:r w:rsidRPr="00D0021F">
              <w:rPr>
                <w:sz w:val="18"/>
              </w:rPr>
              <w:t>Commercial companion to the Technical Approach Document (V15) and the Sagar Drishti TAD (V1). Prices from the commercial model workbook (Annexure C); the annexure register is in Section 7.</w:t>
            </w:r>
          </w:p>
          <w:p w14:paraId="0DDB274D" w14:textId="77777777" w:rsidR="00D0021F" w:rsidRPr="00D0021F" w:rsidRDefault="00D0021F" w:rsidP="00D0021F">
            <w:pPr>
              <w:pStyle w:val="ListBullet"/>
              <w:spacing w:after="40" w:line="240" w:lineRule="auto"/>
              <w:ind w:left="200" w:hanging="200"/>
              <w:rPr>
                <w:sz w:val="18"/>
              </w:rPr>
            </w:pPr>
          </w:p>
          <w:p w14:paraId="2B7F744A" w14:textId="77777777" w:rsidR="00E3067F" w:rsidRPr="00D0021F" w:rsidRDefault="00D0021F" w:rsidP="00D0021F">
            <w:pPr>
              <w:pStyle w:val="ListBullet"/>
              <w:spacing w:after="40" w:line="240" w:lineRule="auto"/>
              <w:ind w:left="200" w:hanging="200"/>
              <w:rPr>
                <w:sz w:val="18"/>
              </w:rPr>
            </w:pPr>
          </w:p>
        </w:tc>
      </w:tr>
      <w:tr w:rsidR="00E3067F" w14:paraId="134B66B1" w14:textId="77777777" w:rsidTr="006F6258">
        <w:tc>
          <w:tcPr>
            <w:tcW w:w="2960" w:type="dxa"/>
            <w:tcMar>
              <w:top w:w="60" w:type="dxa"/>
              <w:left w:w="100" w:type="dxa"/>
              <w:bottom w:w="60" w:type="dxa"/>
              <w:right w:w="100" w:type="dxa"/>
            </w:tcMar>
          </w:tcPr>
          <w:p w14:paraId="493CD0E4" w14:textId="77777777" w:rsidR="004344AE" w:rsidRPr="00D0021F" w:rsidRDefault="00D0021F" w:rsidP="00D0021F">
            <w:pPr>
              <w:spacing w:after="40" w:line="240" w:lineRule="auto"/>
              <w:rPr>
                <w:sz w:val="18"/>
              </w:rPr>
            </w:pPr>
            <w:r w:rsidRPr="00D0021F">
              <w:rPr>
                <w:sz w:val="18"/>
              </w:rPr>
              <w:t>Alignment</w:t>
            </w:r>
          </w:p>
          <w:p w14:paraId="3D269DE2" w14:textId="77777777" w:rsidR="00E3067F" w:rsidRPr="00D0021F" w:rsidRDefault="00E3067F" w:rsidP="00D0021F">
            <w:pPr>
              <w:spacing w:after="0" w:line="20" w:lineRule="auto"/>
              <w:rPr>
                <w:sz w:val="2"/>
              </w:rPr>
            </w:pPr>
          </w:p>
        </w:tc>
        <w:tc>
          <w:tcPr>
            <w:tcW w:w="6328" w:type="dxa"/>
            <w:tcMar>
              <w:top w:w="60" w:type="dxa"/>
              <w:left w:w="100" w:type="dxa"/>
              <w:bottom w:w="60" w:type="dxa"/>
              <w:right w:w="100" w:type="dxa"/>
            </w:tcMar>
          </w:tcPr>
          <w:p w14:paraId="0D83C5E4" w14:textId="77777777" w:rsidR="00E3067F" w:rsidRPr="006F6258" w:rsidRDefault="005010BD" w:rsidP="006F6258">
            <w:pPr>
              <w:spacing w:after="40" w:line="250" w:lineRule="auto"/>
              <w:rPr>
                <w:sz w:val="18"/>
              </w:rPr>
            </w:pPr>
            <w:r w:rsidRPr="006F6258">
              <w:rPr>
                <w:sz w:val="18"/>
              </w:rPr>
              <w:t>Target stack aligned to the Client's shared Azure platform architecture: Microsoft Foundry Agent Service AI layer, AKS microservices, ADLS Gen2 + AI Search data/AI foundation, Entra ID + UAE PASS identity, UAE North / UAE Central regions</w:t>
            </w:r>
          </w:p>
        </w:tc>
      </w:tr>
      <w:tr w:rsidR="00E3067F" w14:paraId="0F9D50CF" w14:textId="77777777" w:rsidTr="006F6258">
        <w:tc>
          <w:tcPr>
            <w:tcW w:w="2960" w:type="dxa"/>
            <w:tcMar>
              <w:top w:w="60" w:type="dxa"/>
              <w:left w:w="100" w:type="dxa"/>
              <w:bottom w:w="60" w:type="dxa"/>
              <w:right w:w="100" w:type="dxa"/>
            </w:tcMar>
          </w:tcPr>
          <w:p w14:paraId="4EAF43E1" w14:textId="77777777" w:rsidR="00E3067F" w:rsidRPr="006F6258" w:rsidRDefault="005010BD" w:rsidP="006F6258">
            <w:pPr>
              <w:spacing w:after="40" w:line="250" w:lineRule="auto"/>
              <w:rPr>
                <w:sz w:val="18"/>
              </w:rPr>
            </w:pPr>
            <w:r w:rsidRPr="006F6258">
              <w:rPr>
                <w:sz w:val="18"/>
              </w:rPr>
              <w:t>Baseline evidence</w:t>
            </w:r>
          </w:p>
        </w:tc>
        <w:tc>
          <w:tcPr>
            <w:tcW w:w="6328" w:type="dxa"/>
            <w:tcMar>
              <w:top w:w="60" w:type="dxa"/>
              <w:left w:w="100" w:type="dxa"/>
              <w:bottom w:w="60" w:type="dxa"/>
              <w:right w:w="100" w:type="dxa"/>
            </w:tcMar>
          </w:tcPr>
          <w:p w14:paraId="34CBF5B1" w14:textId="77777777" w:rsidR="00E3067F" w:rsidRPr="006F6258" w:rsidRDefault="005010BD" w:rsidP="006F6258">
            <w:pPr>
              <w:spacing w:after="40" w:line="250" w:lineRule="auto"/>
              <w:rPr>
                <w:sz w:val="18"/>
              </w:rPr>
            </w:pPr>
            <w:r w:rsidRPr="006F6258">
              <w:rPr>
                <w:sz w:val="18"/>
              </w:rPr>
              <w:t>A working 13-module maritime operations platform and a companion AI analytics portal (live demo available); production reference architecture on Azure in operation</w:t>
            </w:r>
          </w:p>
        </w:tc>
      </w:tr>
      <w:tr w:rsidR="00E3067F" w14:paraId="09D3F51B" w14:textId="77777777" w:rsidTr="006F6258">
        <w:tc>
          <w:tcPr>
            <w:tcW w:w="2960" w:type="dxa"/>
            <w:tcMar>
              <w:top w:w="60" w:type="dxa"/>
              <w:left w:w="100" w:type="dxa"/>
              <w:bottom w:w="60" w:type="dxa"/>
              <w:right w:w="100" w:type="dxa"/>
            </w:tcMar>
          </w:tcPr>
          <w:p w14:paraId="2131CFF2" w14:textId="77777777" w:rsidR="00E3067F" w:rsidRPr="006F6258" w:rsidRDefault="005010BD" w:rsidP="006F6258">
            <w:pPr>
              <w:spacing w:after="40" w:line="250" w:lineRule="auto"/>
              <w:rPr>
                <w:sz w:val="18"/>
              </w:rPr>
            </w:pPr>
            <w:r w:rsidRPr="006F6258">
              <w:rPr>
                <w:sz w:val="18"/>
              </w:rPr>
              <w:t>Estimate status</w:t>
            </w:r>
          </w:p>
        </w:tc>
        <w:tc>
          <w:tcPr>
            <w:tcW w:w="6328" w:type="dxa"/>
            <w:tcMar>
              <w:top w:w="60" w:type="dxa"/>
              <w:left w:w="100" w:type="dxa"/>
              <w:bottom w:w="60" w:type="dxa"/>
              <w:right w:w="100" w:type="dxa"/>
            </w:tcMar>
          </w:tcPr>
          <w:p w14:paraId="0F0339FA" w14:textId="77777777" w:rsidR="00E3067F" w:rsidRPr="006F6258" w:rsidRDefault="005010BD" w:rsidP="006F6258">
            <w:pPr>
              <w:spacing w:after="40" w:line="250" w:lineRule="auto"/>
              <w:rPr>
                <w:sz w:val="18"/>
              </w:rPr>
            </w:pPr>
            <w:r w:rsidRPr="006F6258">
              <w:rPr>
                <w:sz w:val="18"/>
              </w:rPr>
              <w:t>Effort estimates indicative at line level, to be confirmed at D0/D1; the price is fixed within the stated scope envelope, with movement beyond it handled by change control</w:t>
            </w:r>
          </w:p>
        </w:tc>
      </w:tr>
    </w:tbl>
    <w:p w14:paraId="236EB2A6" w14:textId="77777777" w:rsidR="00E3067F" w:rsidRDefault="00E3067F">
      <w:pPr>
        <w:spacing w:after="40"/>
      </w:pPr>
    </w:p>
    <w:p w14:paraId="69272316" w14:textId="77777777" w:rsidR="00E3067F" w:rsidRDefault="005010BD">
      <w:r>
        <w:t>How to read this proposal: every capability claimed is running today and photographed in the accompanying Technical Approach Document (V15); every number quoted reconciles to the commercial model workbook (CommercialModel-V1.xlsx, Annexure C), where every rate and share is an editable parameter.</w:t>
      </w:r>
    </w:p>
    <w:p w14:paraId="1D7A0020" w14:textId="77777777" w:rsidR="00E3067F" w:rsidRDefault="005010BD">
      <w:pPr>
        <w:pStyle w:val="Heading1"/>
      </w:pPr>
      <w:bookmarkStart w:id="0" w:name="_Toc238746688"/>
      <w:r>
        <w:lastRenderedPageBreak/>
        <w:t>Contents</w:t>
      </w:r>
      <w:bookmarkEnd w:id="0"/>
    </w:p>
    <w:p w14:paraId="6C638C23" w14:textId="08645B3E"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12000" w:history="1">
        <w:r w:rsidRPr="00A1324F">
          <w:rPr>
            <w:rStyle w:val="Hyperlink"/>
            <w:noProof/>
          </w:rPr>
          <w:t>1.  Executive summary</w:t>
        </w:r>
        <w:r>
          <w:rPr>
            <w:noProof/>
            <w:webHidden/>
          </w:rPr>
          <w:tab/>
        </w:r>
        <w:r>
          <w:rPr>
            <w:noProof/>
            <w:webHidden/>
          </w:rPr>
          <w:fldChar w:fldCharType="begin"/>
        </w:r>
        <w:r>
          <w:rPr>
            <w:noProof/>
            <w:webHidden/>
          </w:rPr>
          <w:instrText xml:space="preserve"> PAGEREF _Toc12000 \h </w:instrText>
        </w:r>
        <w:r>
          <w:rPr>
            <w:noProof/>
            <w:webHidden/>
          </w:rPr>
        </w:r>
        <w:r>
          <w:rPr>
            <w:noProof/>
            <w:webHidden/>
          </w:rPr>
          <w:fldChar w:fldCharType="separate"/>
        </w:r>
        <w:r w:rsidR="000D2596">
          <w:rPr>
            <w:noProof/>
            <w:webHidden/>
          </w:rPr>
          <w:t>2</w:t>
        </w:r>
        <w:r>
          <w:rPr>
            <w:noProof/>
            <w:webHidden/>
          </w:rPr>
          <w:fldChar w:fldCharType="end"/>
        </w:r>
      </w:hyperlink>
    </w:p>
    <w:p w14:paraId="4204039D"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12001" w:history="1">
        <w:r w:rsidRPr="00A1324F">
          <w:rPr>
            <w:rStyle w:val="Hyperlink"/>
            <w:noProof/>
          </w:rPr>
          <w:t>2.  What the price buys — the construct in detail</w:t>
        </w:r>
        <w:r>
          <w:rPr>
            <w:noProof/>
            <w:webHidden/>
          </w:rPr>
          <w:tab/>
        </w:r>
        <w:r>
          <w:rPr>
            <w:noProof/>
            <w:webHidden/>
          </w:rPr>
          <w:fldChar w:fldCharType="begin"/>
        </w:r>
        <w:r>
          <w:rPr>
            <w:noProof/>
            <w:webHidden/>
          </w:rPr>
          <w:instrText xml:space="preserve"> PAGEREF _Toc12001 \h </w:instrText>
        </w:r>
        <w:r>
          <w:rPr>
            <w:noProof/>
            <w:webHidden/>
          </w:rPr>
        </w:r>
        <w:r>
          <w:rPr>
            <w:noProof/>
            <w:webHidden/>
          </w:rPr>
          <w:fldChar w:fldCharType="separate"/>
        </w:r>
        <w:r w:rsidR="000D2596">
          <w:rPr>
            <w:noProof/>
            <w:webHidden/>
          </w:rPr>
          <w:t>2</w:t>
        </w:r>
        <w:r>
          <w:rPr>
            <w:noProof/>
            <w:webHidden/>
          </w:rPr>
          <w:fldChar w:fldCharType="end"/>
        </w:r>
      </w:hyperlink>
    </w:p>
    <w:p w14:paraId="2F0B8344"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12002" w:history="1">
        <w:r w:rsidRPr="00A1324F">
          <w:rPr>
            <w:rStyle w:val="Hyperlink"/>
            <w:noProof/>
          </w:rPr>
          <w:t>2.1  The platform licence — USD 1,676,563</w:t>
        </w:r>
        <w:r>
          <w:rPr>
            <w:noProof/>
            <w:webHidden/>
          </w:rPr>
          <w:tab/>
        </w:r>
        <w:r>
          <w:rPr>
            <w:noProof/>
            <w:webHidden/>
          </w:rPr>
          <w:fldChar w:fldCharType="begin"/>
        </w:r>
        <w:r>
          <w:rPr>
            <w:noProof/>
            <w:webHidden/>
          </w:rPr>
          <w:instrText xml:space="preserve"> PAGEREF _Toc12002 \h </w:instrText>
        </w:r>
        <w:r>
          <w:rPr>
            <w:noProof/>
            <w:webHidden/>
          </w:rPr>
        </w:r>
        <w:r>
          <w:rPr>
            <w:noProof/>
            <w:webHidden/>
          </w:rPr>
          <w:fldChar w:fldCharType="separate"/>
        </w:r>
        <w:r w:rsidR="000D2596">
          <w:rPr>
            <w:noProof/>
            <w:webHidden/>
          </w:rPr>
          <w:t>2</w:t>
        </w:r>
        <w:r>
          <w:rPr>
            <w:noProof/>
            <w:webHidden/>
          </w:rPr>
          <w:fldChar w:fldCharType="end"/>
        </w:r>
      </w:hyperlink>
    </w:p>
    <w:p w14:paraId="67B78A63"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12003" w:history="1">
        <w:r w:rsidRPr="00A1324F">
          <w:rPr>
            <w:rStyle w:val="Hyperlink"/>
            <w:noProof/>
          </w:rPr>
          <w:t>2.2  The transformation programme — USD 2,171,290 plus 10% contingency</w:t>
        </w:r>
        <w:r>
          <w:rPr>
            <w:noProof/>
            <w:webHidden/>
          </w:rPr>
          <w:tab/>
        </w:r>
        <w:r>
          <w:rPr>
            <w:noProof/>
            <w:webHidden/>
          </w:rPr>
          <w:fldChar w:fldCharType="begin"/>
        </w:r>
        <w:r>
          <w:rPr>
            <w:noProof/>
            <w:webHidden/>
          </w:rPr>
          <w:instrText xml:space="preserve"> PAGEREF _Toc12003 \h </w:instrText>
        </w:r>
        <w:r>
          <w:rPr>
            <w:noProof/>
            <w:webHidden/>
          </w:rPr>
        </w:r>
        <w:r>
          <w:rPr>
            <w:noProof/>
            <w:webHidden/>
          </w:rPr>
          <w:fldChar w:fldCharType="separate"/>
        </w:r>
        <w:r w:rsidR="000D2596">
          <w:rPr>
            <w:noProof/>
            <w:webHidden/>
          </w:rPr>
          <w:t>3</w:t>
        </w:r>
        <w:r>
          <w:rPr>
            <w:noProof/>
            <w:webHidden/>
          </w:rPr>
          <w:fldChar w:fldCharType="end"/>
        </w:r>
      </w:hyperlink>
    </w:p>
    <w:p w14:paraId="0744EB22"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12004" w:history="1">
        <w:r w:rsidRPr="00A1324F">
          <w:rPr>
            <w:rStyle w:val="Hyperlink"/>
            <w:noProof/>
          </w:rPr>
          <w:t>2.3  Delivery costs — USD 767,018</w:t>
        </w:r>
        <w:r>
          <w:rPr>
            <w:noProof/>
            <w:webHidden/>
          </w:rPr>
          <w:tab/>
        </w:r>
        <w:r>
          <w:rPr>
            <w:noProof/>
            <w:webHidden/>
          </w:rPr>
          <w:fldChar w:fldCharType="begin"/>
        </w:r>
        <w:r>
          <w:rPr>
            <w:noProof/>
            <w:webHidden/>
          </w:rPr>
          <w:instrText xml:space="preserve"> PAGEREF _Toc12004 \h </w:instrText>
        </w:r>
        <w:r>
          <w:rPr>
            <w:noProof/>
            <w:webHidden/>
          </w:rPr>
        </w:r>
        <w:r>
          <w:rPr>
            <w:noProof/>
            <w:webHidden/>
          </w:rPr>
          <w:fldChar w:fldCharType="separate"/>
        </w:r>
        <w:r w:rsidR="000D2596">
          <w:rPr>
            <w:noProof/>
            <w:webHidden/>
          </w:rPr>
          <w:t>3</w:t>
        </w:r>
        <w:r>
          <w:rPr>
            <w:noProof/>
            <w:webHidden/>
          </w:rPr>
          <w:fldChar w:fldCharType="end"/>
        </w:r>
      </w:hyperlink>
    </w:p>
    <w:p w14:paraId="79FD31CB"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12005" w:history="1">
        <w:r w:rsidRPr="00A1324F">
          <w:rPr>
            <w:rStyle w:val="Hyperlink"/>
            <w:noProof/>
          </w:rPr>
          <w:t>2.4  Managed support — AMC Year 1, USD 568,000</w:t>
        </w:r>
        <w:r>
          <w:rPr>
            <w:noProof/>
            <w:webHidden/>
          </w:rPr>
          <w:tab/>
        </w:r>
        <w:r>
          <w:rPr>
            <w:noProof/>
            <w:webHidden/>
          </w:rPr>
          <w:fldChar w:fldCharType="begin"/>
        </w:r>
        <w:r>
          <w:rPr>
            <w:noProof/>
            <w:webHidden/>
          </w:rPr>
          <w:instrText xml:space="preserve"> PAGEREF _Toc12005 \h </w:instrText>
        </w:r>
        <w:r>
          <w:rPr>
            <w:noProof/>
            <w:webHidden/>
          </w:rPr>
        </w:r>
        <w:r>
          <w:rPr>
            <w:noProof/>
            <w:webHidden/>
          </w:rPr>
          <w:fldChar w:fldCharType="separate"/>
        </w:r>
        <w:r w:rsidR="000D2596">
          <w:rPr>
            <w:noProof/>
            <w:webHidden/>
          </w:rPr>
          <w:t>4</w:t>
        </w:r>
        <w:r>
          <w:rPr>
            <w:noProof/>
            <w:webHidden/>
          </w:rPr>
          <w:fldChar w:fldCharType="end"/>
        </w:r>
      </w:hyperlink>
    </w:p>
    <w:p w14:paraId="016C2CAA"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12006" w:history="1">
        <w:r w:rsidRPr="00A1324F">
          <w:rPr>
            <w:rStyle w:val="Hyperlink"/>
            <w:noProof/>
          </w:rPr>
          <w:t>3.  How it is delivered</w:t>
        </w:r>
        <w:r>
          <w:rPr>
            <w:noProof/>
            <w:webHidden/>
          </w:rPr>
          <w:tab/>
        </w:r>
        <w:r>
          <w:rPr>
            <w:noProof/>
            <w:webHidden/>
          </w:rPr>
          <w:fldChar w:fldCharType="begin"/>
        </w:r>
        <w:r>
          <w:rPr>
            <w:noProof/>
            <w:webHidden/>
          </w:rPr>
          <w:instrText xml:space="preserve"> PAGEREF _Toc12006 \h </w:instrText>
        </w:r>
        <w:r>
          <w:rPr>
            <w:noProof/>
            <w:webHidden/>
          </w:rPr>
        </w:r>
        <w:r>
          <w:rPr>
            <w:noProof/>
            <w:webHidden/>
          </w:rPr>
          <w:fldChar w:fldCharType="separate"/>
        </w:r>
        <w:r w:rsidR="000D2596">
          <w:rPr>
            <w:noProof/>
            <w:webHidden/>
          </w:rPr>
          <w:t>4</w:t>
        </w:r>
        <w:r>
          <w:rPr>
            <w:noProof/>
            <w:webHidden/>
          </w:rPr>
          <w:fldChar w:fldCharType="end"/>
        </w:r>
      </w:hyperlink>
    </w:p>
    <w:p w14:paraId="2DFA293C"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12007" w:history="1">
        <w:r w:rsidRPr="00A1324F">
          <w:rPr>
            <w:rStyle w:val="Hyperlink"/>
            <w:noProof/>
          </w:rPr>
          <w:t>4.  Payment schedule</w:t>
        </w:r>
        <w:r>
          <w:rPr>
            <w:noProof/>
            <w:webHidden/>
          </w:rPr>
          <w:tab/>
        </w:r>
        <w:r>
          <w:rPr>
            <w:noProof/>
            <w:webHidden/>
          </w:rPr>
          <w:fldChar w:fldCharType="begin"/>
        </w:r>
        <w:r>
          <w:rPr>
            <w:noProof/>
            <w:webHidden/>
          </w:rPr>
          <w:instrText xml:space="preserve"> PAGEREF _Toc12007 \h </w:instrText>
        </w:r>
        <w:r>
          <w:rPr>
            <w:noProof/>
            <w:webHidden/>
          </w:rPr>
        </w:r>
        <w:r>
          <w:rPr>
            <w:noProof/>
            <w:webHidden/>
          </w:rPr>
          <w:fldChar w:fldCharType="separate"/>
        </w:r>
        <w:r w:rsidR="000D2596">
          <w:rPr>
            <w:noProof/>
            <w:webHidden/>
          </w:rPr>
          <w:t>5</w:t>
        </w:r>
        <w:r>
          <w:rPr>
            <w:noProof/>
            <w:webHidden/>
          </w:rPr>
          <w:fldChar w:fldCharType="end"/>
        </w:r>
      </w:hyperlink>
    </w:p>
    <w:p w14:paraId="710CB478"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12008" w:history="1">
        <w:r w:rsidRPr="00A1324F">
          <w:rPr>
            <w:rStyle w:val="Hyperlink"/>
            <w:noProof/>
          </w:rPr>
          <w:t>5.  Assumptions, exclusions and dependencies</w:t>
        </w:r>
        <w:r>
          <w:rPr>
            <w:noProof/>
            <w:webHidden/>
          </w:rPr>
          <w:tab/>
        </w:r>
        <w:r>
          <w:rPr>
            <w:noProof/>
            <w:webHidden/>
          </w:rPr>
          <w:fldChar w:fldCharType="begin"/>
        </w:r>
        <w:r>
          <w:rPr>
            <w:noProof/>
            <w:webHidden/>
          </w:rPr>
          <w:instrText xml:space="preserve"> PAGEREF _Toc12008 \h </w:instrText>
        </w:r>
        <w:r>
          <w:rPr>
            <w:noProof/>
            <w:webHidden/>
          </w:rPr>
        </w:r>
        <w:r>
          <w:rPr>
            <w:noProof/>
            <w:webHidden/>
          </w:rPr>
          <w:fldChar w:fldCharType="separate"/>
        </w:r>
        <w:r w:rsidR="000D2596">
          <w:rPr>
            <w:noProof/>
            <w:webHidden/>
          </w:rPr>
          <w:t>5</w:t>
        </w:r>
        <w:r>
          <w:rPr>
            <w:noProof/>
            <w:webHidden/>
          </w:rPr>
          <w:fldChar w:fldCharType="end"/>
        </w:r>
      </w:hyperlink>
    </w:p>
    <w:p w14:paraId="0F74447D"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12009" w:history="1">
        <w:r w:rsidRPr="00A1324F">
          <w:rPr>
            <w:rStyle w:val="Hyperlink"/>
            <w:noProof/>
          </w:rPr>
          <w:t>6.  Why this offer is credible</w:t>
        </w:r>
        <w:r>
          <w:rPr>
            <w:noProof/>
            <w:webHidden/>
          </w:rPr>
          <w:tab/>
        </w:r>
        <w:r>
          <w:rPr>
            <w:noProof/>
            <w:webHidden/>
          </w:rPr>
          <w:fldChar w:fldCharType="begin"/>
        </w:r>
        <w:r>
          <w:rPr>
            <w:noProof/>
            <w:webHidden/>
          </w:rPr>
          <w:instrText xml:space="preserve"> PAGEREF _Toc12009 \h </w:instrText>
        </w:r>
        <w:r>
          <w:rPr>
            <w:noProof/>
            <w:webHidden/>
          </w:rPr>
        </w:r>
        <w:r>
          <w:rPr>
            <w:noProof/>
            <w:webHidden/>
          </w:rPr>
          <w:fldChar w:fldCharType="separate"/>
        </w:r>
        <w:r w:rsidR="000D2596">
          <w:rPr>
            <w:noProof/>
            <w:webHidden/>
          </w:rPr>
          <w:t>6</w:t>
        </w:r>
        <w:r>
          <w:rPr>
            <w:noProof/>
            <w:webHidden/>
          </w:rPr>
          <w:fldChar w:fldCharType="end"/>
        </w:r>
      </w:hyperlink>
    </w:p>
    <w:p w14:paraId="6C638C23" w14:textId="08645B3E"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689" w:history="1">
        <w:r w:rsidRPr="00A1324F">
          <w:rPr>
            <w:rStyle w:val="Hyperlink"/>
            <w:noProof/>
          </w:rPr>
          <w:t>7.  Offer terms, validity and annexures</w:t>
        </w:r>
        <w:r>
          <w:rPr>
            <w:noProof/>
            <w:webHidden/>
          </w:rPr>
          <w:tab/>
        </w:r>
        <w:r>
          <w:rPr>
            <w:noProof/>
            <w:webHidden/>
          </w:rPr>
          <w:fldChar w:fldCharType="begin"/>
        </w:r>
        <w:r>
          <w:rPr>
            <w:noProof/>
            <w:webHidden/>
          </w:rPr>
          <w:instrText xml:space="preserve"> PAGEREF _Toc238746689 \h </w:instrText>
        </w:r>
        <w:r>
          <w:rPr>
            <w:noProof/>
            <w:webHidden/>
          </w:rPr>
        </w:r>
        <w:r>
          <w:rPr>
            <w:noProof/>
            <w:webHidden/>
          </w:rPr>
          <w:fldChar w:fldCharType="separate"/>
        </w:r>
        <w:r w:rsidR="000D2596">
          <w:rPr>
            <w:noProof/>
            <w:webHidden/>
          </w:rPr>
          <w:t>6</w:t>
        </w:r>
        <w:r>
          <w:rPr>
            <w:noProof/>
            <w:webHidden/>
          </w:rPr>
          <w:fldChar w:fldCharType="end"/>
        </w:r>
      </w:hyperlink>
    </w:p>
    <w:p>
      <w:pPr>
        <w:pStyle w:val="Heading1"/>
      </w:pPr>
      <w:bookmarkStart w:id="12000" w:name="_Toc12000"/>
      <w:r>
        <w:t>1.  Executive summary</w:t>
      </w:r>
      <w:bookmarkEnd w:id="12000"/>
    </w:p>
    <w:p>
      <w:r>
        <w:t>The Client is buying three things, and only one of them is still to be built. The first is a working platform: a maritime administration system covering all seven RFP domains — ships, seafarers, legislation, the National Maritime Centre, smart inspection, ports and marine facilities — with seven governed AI agents deciding on its own records today, and an AI analytics portal beside it. It exists, it runs, and the accompanying Technical Approach Document photographs it screen by screen. The second is the transformation from that platform to the Client’s full target: every RFP requirement closed, the application re-architected as microservices, scaled to country level across multiple ports, fully bilingual in Arabic and English, agentic AI at the centre of every service, and a no-code/low-code configuration studio — delivered drop-wise in fourteen months of development with go-live at month fifteen. The third is certainty of operation: a staffed, SLA-backed year of managed support after go-live, extendable at the Client’s option.</w:t>
      </w:r>
    </w:p>
    <w:p>
      <w:r>
        <w:t>The commercial construct is deliberately simple:</w:t>
      </w:r>
    </w:p>
    <w:tbl>
      <w:tblPr>
        <w:tblStyle w:val="TableGrid"/>
        <w:tblLook w:firstColumn="1" w:firstRow="1" w:lastColumn="0" w:lastRow="0" w:noHBand="0" w:noVBand="1" w:val="04A0"/>
        <w:tblW w:w="9341" w:type="dxa"/>
        <w:tblLayout w:type="fixed"/>
      </w:tblPr>
      <w:tblGrid>
        <w:gridCol w:w="7141"/>
        <w:gridCol w:w="2200"/>
      </w:tblGrid>
      <w:tr>
        <w:trPr>
          <w:cantSplit/>
          <w:tblHeader/>
        </w:trPr>
        <w:tc>
          <w:tcPr>
            <w:shd w:val="clear" w:color="auto" w:fill="0E7C86"/>
            <w:tcW w:w="7141" w:type="dxa"/>
          </w:tcPr>
          <w:p>
            <w:r>
              <w:rPr>
                <w:b/>
                <w:color w:val="FFFFFF"/>
                <w:sz w:val="18"/>
              </w:rPr>
              <w:t>The offer</w:t>
            </w:r>
          </w:p>
        </w:tc>
        <w:tc>
          <w:tcPr>
            <w:shd w:val="clear" w:color="auto" w:fill="0E7C86"/>
            <w:tcW w:w="2200" w:type="dxa"/>
          </w:tcPr>
          <w:p>
            <w:pPr>
              <w:jc w:val="center"/>
            </w:pPr>
            <w:r>
              <w:rPr>
                <w:b/>
                <w:color w:val="FFFFFF"/>
                <w:sz w:val="18"/>
              </w:rPr>
              <w:t>USD</w:t>
            </w:r>
          </w:p>
        </w:tc>
      </w:tr>
      <w:tr>
        <w:trPr>
          <w:cantSplit/>
        </w:trPr>
        <w:tc>
          <w:tcPr>
            <w:tcW w:w="7141" w:type="dxa"/>
          </w:tcPr>
          <w:p>
            <w:r>
              <w:rPr>
                <w:b w:val="0"/>
                <w:sz w:val="18"/>
              </w:rPr>
              <w:t>The platform — licence for the built estate (both applications)</w:t>
            </w:r>
          </w:p>
        </w:tc>
        <w:tc>
          <w:tcPr>
            <w:tcW w:w="2200" w:type="dxa"/>
          </w:tcPr>
          <w:p>
            <w:pPr>
              <w:jc w:val="center"/>
            </w:pPr>
            <w:r>
              <w:rPr>
                <w:b w:val="0"/>
                <w:sz w:val="18"/>
              </w:rPr>
              <w:t>1,676,563</w:t>
            </w:r>
          </w:p>
        </w:tc>
      </w:tr>
      <w:tr>
        <w:trPr>
          <w:cantSplit/>
        </w:trPr>
        <w:tc>
          <w:tcPr>
            <w:tcW w:w="7141" w:type="dxa"/>
          </w:tcPr>
          <w:p>
            <w:r>
              <w:rPr>
                <w:b w:val="0"/>
                <w:sz w:val="18"/>
              </w:rPr>
              <w:t>The transformation — the complete delta programme, delivered drop-wise, with contingency</w:t>
            </w:r>
          </w:p>
        </w:tc>
        <w:tc>
          <w:tcPr>
            <w:tcW w:w="2200" w:type="dxa"/>
          </w:tcPr>
          <w:p>
            <w:pPr>
              <w:jc w:val="center"/>
            </w:pPr>
            <w:r>
              <w:rPr>
                <w:b w:val="0"/>
                <w:sz w:val="18"/>
              </w:rPr>
              <w:t>2,388,419</w:t>
            </w:r>
          </w:p>
        </w:tc>
      </w:tr>
      <w:tr>
        <w:trPr>
          <w:cantSplit/>
        </w:trPr>
        <w:tc>
          <w:tcPr>
            <w:tcW w:w="7141" w:type="dxa"/>
          </w:tcPr>
          <w:p>
            <w:r>
              <w:rPr>
                <w:b w:val="0"/>
                <w:sz w:val="18"/>
              </w:rPr>
              <w:t>Delivery costs — training, travel and local presence, licences, UAE compliance, miscellaneous</w:t>
            </w:r>
          </w:p>
        </w:tc>
        <w:tc>
          <w:tcPr>
            <w:tcW w:w="2200" w:type="dxa"/>
          </w:tcPr>
          <w:p>
            <w:pPr>
              <w:jc w:val="center"/>
            </w:pPr>
            <w:r>
              <w:rPr>
                <w:b w:val="0"/>
                <w:sz w:val="18"/>
              </w:rPr>
              <w:t>767,018</w:t>
            </w:r>
          </w:p>
        </w:tc>
      </w:tr>
      <w:tr>
        <w:trPr>
          <w:cantSplit/>
        </w:trPr>
        <w:tc>
          <w:tcPr>
            <w:tcW w:w="7141" w:type="dxa"/>
          </w:tcPr>
          <w:p>
            <w:r>
              <w:rPr>
                <w:b w:val="0"/>
                <w:sz w:val="18"/>
              </w:rPr>
              <w:t>Managed support — AMC Year 1, 24/7 SLA-backed</w:t>
            </w:r>
          </w:p>
        </w:tc>
        <w:tc>
          <w:tcPr>
            <w:tcW w:w="2200" w:type="dxa"/>
          </w:tcPr>
          <w:p>
            <w:pPr>
              <w:jc w:val="center"/>
            </w:pPr>
            <w:r>
              <w:rPr>
                <w:b w:val="0"/>
                <w:sz w:val="18"/>
              </w:rPr>
              <w:t>568,000</w:t>
            </w:r>
          </w:p>
        </w:tc>
      </w:tr>
      <w:tr>
        <w:trPr>
          <w:cantSplit/>
        </w:trPr>
        <w:tc>
          <w:tcPr>
            <w:shd w:val="clear" w:color="auto" w:fill="E7F1F2"/>
            <w:tcW w:w="7141" w:type="dxa"/>
          </w:tcPr>
          <w:p>
            <w:r>
              <w:rPr>
                <w:b/>
                <w:sz w:val="18"/>
              </w:rPr>
              <w:t>Total — two-year delivery envelope plus one year of support</w:t>
            </w:r>
          </w:p>
        </w:tc>
        <w:tc>
          <w:tcPr>
            <w:shd w:val="clear" w:color="auto" w:fill="E7F1F2"/>
            <w:tcW w:w="2200" w:type="dxa"/>
          </w:tcPr>
          <w:p>
            <w:pPr>
              <w:jc w:val="center"/>
            </w:pPr>
            <w:r>
              <w:rPr>
                <w:b/>
                <w:sz w:val="18"/>
              </w:rPr>
              <w:t>5,400,000</w:t>
            </w:r>
          </w:p>
        </w:tc>
      </w:tr>
    </w:tbl>
    <w:p>
      <w:r>
        <w:t>Three properties of this offer are worth stating up front. It starts from software, not slideware — evaluation can begin with a login, not a workshop. Its price is fixed, with an open model behind it: every rate, share and quantity is an editable parameter in the commercial workbook, and the construct re-reconciles automatically. And its risk is lower than the ambition suggests: the foundation is already built, so the delta programme spends its fourteen months on the Client’s specific requirements rather than on reinventing a registry platform.</w:t>
      </w:r>
    </w:p>
    <w:p>
      <w:pPr>
        <w:pStyle w:val="Heading1"/>
      </w:pPr>
      <w:bookmarkStart w:id="12001" w:name="_Toc12001"/>
      <w:r>
        <w:t>2.  What the price buys — the construct in detail</w:t>
      </w:r>
      <w:bookmarkEnd w:id="12001"/>
    </w:p>
    <w:p>
      <w:pPr>
        <w:pStyle w:val="Heading2"/>
      </w:pPr>
      <w:bookmarkStart w:id="12002" w:name="_Toc12002"/>
      <w:r>
        <w:t>2.1  The platform licence — USD 1,676,563</w:t>
      </w:r>
      <w:bookmarkEnd w:id="12002"/>
    </w:p>
    <w:p>
      <w:r>
        <w:t>The licence covers the built estate as documented and photographed in the Technical Approach Document: the operations platform — thirteen modules, 207 REST endpoints, 26 data models, deny-by-default RBAC over 24 permission groups, an audit register spanning every write, seven mandated AI agents with 79 recorded decisions under a governed autonomy model — and the Sagar Drishti analytics portal with its nine-agent analyst workforce, grounded assistant, three-language interface and 3D port twin. The licence price reflects the embodied build: roughly 240 person-months (about 1,040 man-weeks) of prior engineering, priced at the blended offshore rate of the delivery team — USD 6,990 per person-month, derived in the commercial workbook — and unlike an estimate, the estate it prices can be inspected before signature.</w:t>
      </w:r>
    </w:p>
    <w:p>
      <w:pPr>
        <w:pStyle w:val="ListBullet"/>
      </w:pPr>
      <w:r>
        <w:t>Scope: single-authority national deployment, all environments, both applications.</w:t>
      </w:r>
    </w:p>
    <w:p>
      <w:pPr>
        <w:pStyle w:val="ListBullet"/>
      </w:pPr>
      <w:r>
        <w:t>The licence is what makes a fourteen-month transformation credible: the delta programme starts from working software carrying an automated regression suite of 79 tests over the domain rules and API, and a seeded reference world — not from analysis.</w:t>
      </w:r>
    </w:p>
    <w:p>
      <w:pPr>
        <w:pStyle w:val="Heading2"/>
      </w:pPr>
      <w:bookmarkStart w:id="12003" w:name="_Toc12003"/>
      <w:r>
        <w:t>2.2  The transformation programme — USD 2,171,290 plus 10% contingency</w:t>
      </w:r>
      <w:bookmarkEnd w:id="12003"/>
    </w:p>
    <w:p>
      <w:r>
        <w:t>The complete delta between the platform as it stands and the Client’s target, consolidated in Section 15 of the Technical Approach Document: 944 man-weeks — 218 person-months — decomposed to testable line items across every module and every agent, plus the five transformation streams the Client has directed:</w:t>
      </w:r>
    </w:p>
    <w:tbl>
      <w:tblPr>
        <w:tblStyle w:val="TableGrid"/>
        <w:tblLook w:firstColumn="1" w:firstRow="1" w:lastColumn="0" w:lastRow="0" w:noHBand="0" w:noVBand="1" w:val="04A0"/>
        <w:tblW w:w="8741" w:type="dxa"/>
        <w:tblLayout w:type="fixed"/>
      </w:tblPr>
      <w:tblGrid>
        <w:gridCol w:w="7541"/>
        <w:gridCol w:w="1200"/>
      </w:tblGrid>
      <w:tr>
        <w:trPr>
          <w:cantSplit/>
          <w:tblHeader/>
        </w:trPr>
        <w:tc>
          <w:tcPr>
            <w:shd w:val="clear" w:color="auto" w:fill="0E7C86"/>
            <w:tcW w:w="7541" w:type="dxa"/>
          </w:tcPr>
          <w:p>
            <w:r>
              <w:rPr>
                <w:b/>
                <w:color w:val="FFFFFF"/>
                <w:sz w:val="18"/>
              </w:rPr>
              <w:t>Programme component</w:t>
            </w:r>
          </w:p>
        </w:tc>
        <w:tc>
          <w:tcPr>
            <w:shd w:val="clear" w:color="auto" w:fill="0E7C86"/>
            <w:tcW w:w="1200" w:type="dxa"/>
          </w:tcPr>
          <w:p>
            <w:pPr>
              <w:jc w:val="center"/>
            </w:pPr>
            <w:r>
              <w:rPr>
                <w:b/>
                <w:color w:val="FFFFFF"/>
                <w:sz w:val="18"/>
              </w:rPr>
              <w:t>MW</w:t>
            </w:r>
          </w:p>
        </w:tc>
      </w:tr>
      <w:tr>
        <w:trPr>
          <w:cantSplit/>
        </w:trPr>
        <w:tc>
          <w:tcPr>
            <w:tcW w:w="7541" w:type="dxa"/>
          </w:tcPr>
          <w:p>
            <w:r>
              <w:rPr>
                <w:b w:val="0"/>
                <w:sz w:val="18"/>
              </w:rPr>
              <w:t>RFP domain and platform-module deltas (TAD Sections 3–13)</w:t>
            </w:r>
          </w:p>
        </w:tc>
        <w:tc>
          <w:tcPr>
            <w:tcW w:w="1200" w:type="dxa"/>
          </w:tcPr>
          <w:p>
            <w:pPr>
              <w:jc w:val="center"/>
            </w:pPr>
            <w:r>
              <w:rPr>
                <w:b w:val="0"/>
                <w:sz w:val="18"/>
              </w:rPr>
              <w:t>520</w:t>
            </w:r>
          </w:p>
        </w:tc>
      </w:tr>
      <w:tr>
        <w:trPr>
          <w:cantSplit/>
        </w:trPr>
        <w:tc>
          <w:tcPr>
            <w:tcW w:w="7541" w:type="dxa"/>
          </w:tcPr>
          <w:p>
            <w:r>
              <w:rPr>
                <w:b w:val="0"/>
                <w:sz w:val="18"/>
              </w:rPr>
              <w:t>Agentic AI across the platform — the seven agents to full RFP capability (TAD Section 14)</w:t>
            </w:r>
          </w:p>
        </w:tc>
        <w:tc>
          <w:tcPr>
            <w:tcW w:w="1200" w:type="dxa"/>
          </w:tcPr>
          <w:p>
            <w:pPr>
              <w:jc w:val="center"/>
            </w:pPr>
            <w:r>
              <w:rPr>
                <w:b w:val="0"/>
                <w:sz w:val="18"/>
              </w:rPr>
              <w:t>174</w:t>
            </w:r>
          </w:p>
        </w:tc>
      </w:tr>
      <w:tr>
        <w:trPr>
          <w:cantSplit/>
        </w:trPr>
        <w:tc>
          <w:tcPr>
            <w:tcW w:w="7541" w:type="dxa"/>
          </w:tcPr>
          <w:p>
            <w:r>
              <w:rPr>
                <w:b w:val="0"/>
                <w:sz w:val="18"/>
              </w:rPr>
              <w:t>Microservices re-architecture along the platform’s documented seams</w:t>
            </w:r>
          </w:p>
        </w:tc>
        <w:tc>
          <w:tcPr>
            <w:tcW w:w="1200" w:type="dxa"/>
          </w:tcPr>
          <w:p>
            <w:pPr>
              <w:jc w:val="center"/>
            </w:pPr>
            <w:r>
              <w:rPr>
                <w:b w:val="0"/>
                <w:sz w:val="18"/>
              </w:rPr>
              <w:t>90</w:t>
            </w:r>
          </w:p>
        </w:tc>
      </w:tr>
      <w:tr>
        <w:trPr>
          <w:cantSplit/>
        </w:trPr>
        <w:tc>
          <w:tcPr>
            <w:tcW w:w="7541" w:type="dxa"/>
          </w:tcPr>
          <w:p>
            <w:r>
              <w:rPr>
                <w:b w:val="0"/>
                <w:sz w:val="18"/>
              </w:rPr>
              <w:t>Country-level, multi-port operation (tenancy, national registries, onboarding)</w:t>
            </w:r>
          </w:p>
        </w:tc>
        <w:tc>
          <w:tcPr>
            <w:tcW w:w="1200" w:type="dxa"/>
          </w:tcPr>
          <w:p>
            <w:pPr>
              <w:jc w:val="center"/>
            </w:pPr>
            <w:r>
              <w:rPr>
                <w:b w:val="0"/>
                <w:sz w:val="18"/>
              </w:rPr>
              <w:t>40</w:t>
            </w:r>
          </w:p>
        </w:tc>
      </w:tr>
      <w:tr>
        <w:trPr>
          <w:cantSplit/>
        </w:trPr>
        <w:tc>
          <w:tcPr>
            <w:tcW w:w="7541" w:type="dxa"/>
          </w:tcPr>
          <w:p>
            <w:r>
              <w:rPr>
                <w:b w:val="0"/>
                <w:sz w:val="18"/>
              </w:rPr>
              <w:t>Full Arabic/English multilingual with RTL</w:t>
            </w:r>
          </w:p>
        </w:tc>
        <w:tc>
          <w:tcPr>
            <w:tcW w:w="1200" w:type="dxa"/>
          </w:tcPr>
          <w:p>
            <w:pPr>
              <w:jc w:val="center"/>
            </w:pPr>
            <w:r>
              <w:rPr>
                <w:b w:val="0"/>
                <w:sz w:val="18"/>
              </w:rPr>
              <w:t>18</w:t>
            </w:r>
          </w:p>
        </w:tc>
      </w:tr>
      <w:tr>
        <w:trPr>
          <w:cantSplit/>
        </w:trPr>
        <w:tc>
          <w:tcPr>
            <w:tcW w:w="7541" w:type="dxa"/>
          </w:tcPr>
          <w:p>
            <w:r>
              <w:rPr>
                <w:b w:val="0"/>
                <w:sz w:val="18"/>
              </w:rPr>
              <w:t>Agentic AI at the centre — coverage rollout toward the 80% target</w:t>
            </w:r>
          </w:p>
        </w:tc>
        <w:tc>
          <w:tcPr>
            <w:tcW w:w="1200" w:type="dxa"/>
          </w:tcPr>
          <w:p>
            <w:pPr>
              <w:jc w:val="center"/>
            </w:pPr>
            <w:r>
              <w:rPr>
                <w:b w:val="0"/>
                <w:sz w:val="18"/>
              </w:rPr>
              <w:t>24</w:t>
            </w:r>
          </w:p>
        </w:tc>
      </w:tr>
      <w:tr>
        <w:trPr>
          <w:cantSplit/>
        </w:trPr>
        <w:tc>
          <w:tcPr>
            <w:tcW w:w="7541" w:type="dxa"/>
          </w:tcPr>
          <w:p>
            <w:r>
              <w:rPr>
                <w:b w:val="0"/>
                <w:sz w:val="18"/>
              </w:rPr>
              <w:t>No-code/low-code configuration studio</w:t>
            </w:r>
          </w:p>
        </w:tc>
        <w:tc>
          <w:tcPr>
            <w:tcW w:w="1200" w:type="dxa"/>
          </w:tcPr>
          <w:p>
            <w:pPr>
              <w:jc w:val="center"/>
            </w:pPr>
            <w:r>
              <w:rPr>
                <w:b w:val="0"/>
                <w:sz w:val="18"/>
              </w:rPr>
              <w:t>26</w:t>
            </w:r>
          </w:p>
        </w:tc>
      </w:tr>
      <w:tr>
        <w:trPr>
          <w:cantSplit/>
        </w:trPr>
        <w:tc>
          <w:tcPr>
            <w:tcW w:w="7541" w:type="dxa"/>
          </w:tcPr>
          <w:p>
            <w:r>
              <w:rPr>
                <w:b w:val="0"/>
                <w:sz w:val="18"/>
              </w:rPr>
              <w:t>Customer mobile application (inspector app is inside the domain deltas)</w:t>
            </w:r>
          </w:p>
        </w:tc>
        <w:tc>
          <w:tcPr>
            <w:tcW w:w="1200" w:type="dxa"/>
          </w:tcPr>
          <w:p>
            <w:pPr>
              <w:jc w:val="center"/>
            </w:pPr>
            <w:r>
              <w:rPr>
                <w:b w:val="0"/>
                <w:sz w:val="18"/>
              </w:rPr>
              <w:t>24</w:t>
            </w:r>
          </w:p>
        </w:tc>
      </w:tr>
      <w:tr>
        <w:trPr>
          <w:cantSplit/>
        </w:trPr>
        <w:tc>
          <w:tcPr>
            <w:tcW w:w="7541" w:type="dxa"/>
          </w:tcPr>
          <w:p>
            <w:r>
              <w:rPr>
                <w:b w:val="0"/>
                <w:sz w:val="18"/>
              </w:rPr>
              <w:t>Programme delivery — data readiness, migration, UAT and hypercare, training effort</w:t>
            </w:r>
          </w:p>
        </w:tc>
        <w:tc>
          <w:tcPr>
            <w:tcW w:w="1200" w:type="dxa"/>
          </w:tcPr>
          <w:p>
            <w:pPr>
              <w:jc w:val="center"/>
            </w:pPr>
            <w:r>
              <w:rPr>
                <w:b w:val="0"/>
                <w:sz w:val="18"/>
              </w:rPr>
              <w:t>28</w:t>
            </w:r>
          </w:p>
        </w:tc>
      </w:tr>
      <w:tr>
        <w:trPr>
          <w:cantSplit/>
        </w:trPr>
        <w:tc>
          <w:tcPr>
            <w:shd w:val="clear" w:color="auto" w:fill="E7F1F2"/>
            <w:tcW w:w="7541" w:type="dxa"/>
          </w:tcPr>
          <w:p>
            <w:r>
              <w:rPr>
                <w:b/>
                <w:sz w:val="18"/>
              </w:rPr>
              <w:t>Consolidated programme</w:t>
            </w:r>
          </w:p>
        </w:tc>
        <w:tc>
          <w:tcPr>
            <w:shd w:val="clear" w:color="auto" w:fill="E7F1F2"/>
            <w:tcW w:w="1200" w:type="dxa"/>
          </w:tcPr>
          <w:p>
            <w:pPr>
              <w:jc w:val="center"/>
            </w:pPr>
            <w:r>
              <w:rPr>
                <w:b/>
                <w:sz w:val="18"/>
              </w:rPr>
              <w:t>944</w:t>
            </w:r>
          </w:p>
        </w:tc>
      </w:tr>
    </w:tbl>
    <w:p>
      <w:r>
        <w:t>Delivery runs 70:30 offshore/onshore: the build from the offshore centre; programme leadership, architecture windows, ministry workshops, UAT and training onshore with the Client. The team ramps from 8 to a peak of 18 and back to 8 across sixteen months. A contingency of 10% is held against the development estimate inside the fixed price — it is the System Integrator’s risk provision, not an additional charge to the Client.</w:t>
      </w:r>
    </w:p>
    <w:p>
      <w:r>
        <w:t>A note for the reader holding both documents: Section 16.7 of the Technical Approach Document is the earlier, effort-only sizing of this same programme — identical effort and rates, but with a 12% planning contingency and international travel treated as pass-through (its basis is the sizing workbook, Annexure D). This proposal supersedes that indicative view: the 10% contingency, the firm travel and lodging lines, and the totals stated here are the commercial terms.</w:t>
      </w:r>
    </w:p>
    <w:p>
      <w:pPr>
        <w:pStyle w:val="Heading2"/>
      </w:pPr>
      <w:bookmarkStart w:id="12004" w:name="_Toc12004"/>
      <w:r>
        <w:t>2.3  Delivery costs — USD 767,018</w:t>
      </w:r>
      <w:bookmarkEnd w:id="12004"/>
    </w:p>
    <w:tbl>
      <w:tblPr>
        <w:tblStyle w:val="TableGrid"/>
        <w:tblLook w:firstColumn="1" w:firstRow="1" w:lastColumn="0" w:lastRow="0" w:noHBand="0" w:noVBand="1" w:val="04A0"/>
        <w:tblW w:w="9141" w:type="dxa"/>
        <w:tblLayout w:type="fixed"/>
      </w:tblPr>
      <w:tblGrid>
        <w:gridCol w:w="2600"/>
        <w:gridCol w:w="4901"/>
        <w:gridCol w:w="1640"/>
      </w:tblGrid>
      <w:tr>
        <w:trPr>
          <w:cantSplit/>
          <w:tblHeader/>
        </w:trPr>
        <w:tc>
          <w:tcPr>
            <w:shd w:val="clear" w:color="auto" w:fill="0E7C86"/>
            <w:tcW w:w="2600" w:type="dxa"/>
          </w:tcPr>
          <w:p>
            <w:r>
              <w:rPr>
                <w:b/>
                <w:color w:val="FFFFFF"/>
                <w:sz w:val="18"/>
              </w:rPr>
              <w:t>Line</w:t>
            </w:r>
          </w:p>
        </w:tc>
        <w:tc>
          <w:tcPr>
            <w:shd w:val="clear" w:color="auto" w:fill="0E7C86"/>
            <w:tcW w:w="4901" w:type="dxa"/>
          </w:tcPr>
          <w:p>
            <w:r>
              <w:rPr>
                <w:b/>
                <w:color w:val="FFFFFF"/>
                <w:sz w:val="18"/>
              </w:rPr>
              <w:t>What it covers</w:t>
            </w:r>
          </w:p>
        </w:tc>
        <w:tc>
          <w:tcPr>
            <w:shd w:val="clear" w:color="auto" w:fill="0E7C86"/>
            <w:tcW w:w="1640" w:type="dxa"/>
          </w:tcPr>
          <w:p>
            <w:pPr>
              <w:jc w:val="center"/>
            </w:pPr>
            <w:r>
              <w:rPr>
                <w:b/>
                <w:color w:val="FFFFFF"/>
                <w:sz w:val="18"/>
              </w:rPr>
              <w:t>USD</w:t>
            </w:r>
          </w:p>
        </w:tc>
      </w:tr>
      <w:tr>
        <w:trPr>
          <w:cantSplit/>
        </w:trPr>
        <w:tc>
          <w:tcPr>
            <w:tcW w:w="2600" w:type="dxa"/>
          </w:tcPr>
          <w:p>
            <w:r>
              <w:rPr>
                <w:b w:val="0"/>
                <w:sz w:val="18"/>
              </w:rPr>
              <w:t>Training delivery</w:t>
            </w:r>
          </w:p>
        </w:tc>
        <w:tc>
          <w:tcPr>
            <w:tcW w:w="4901" w:type="dxa"/>
          </w:tcPr>
          <w:p>
            <w:r>
              <w:rPr>
                <w:b w:val="0"/>
                <w:sz w:val="18"/>
              </w:rPr>
              <w:t>Bilingual Arabic/English materials, translation, training-lab environments and venues. Trainer effort itself is inside the development estimate — this line is the non-labour cost of doing it properly.</w:t>
            </w:r>
          </w:p>
        </w:tc>
        <w:tc>
          <w:tcPr>
            <w:tcW w:w="1640" w:type="dxa"/>
          </w:tcPr>
          <w:p>
            <w:pPr>
              <w:jc w:val="center"/>
            </w:pPr>
            <w:r>
              <w:rPr>
                <w:b w:val="0"/>
                <w:sz w:val="18"/>
              </w:rPr>
              <w:t>60,000</w:t>
            </w:r>
          </w:p>
        </w:tc>
      </w:tr>
      <w:tr>
        <w:trPr>
          <w:cantSplit/>
        </w:trPr>
        <w:tc>
          <w:tcPr>
            <w:tcW w:w="2600" w:type="dxa"/>
          </w:tcPr>
          <w:p>
            <w:r>
              <w:rPr>
                <w:b w:val="0"/>
                <w:sz w:val="18"/>
              </w:rPr>
              <w:t>Travel</w:t>
            </w:r>
          </w:p>
        </w:tc>
        <w:tc>
          <w:tcPr>
            <w:tcW w:w="4901" w:type="dxa"/>
          </w:tcPr>
          <w:p>
            <w:r>
              <w:rPr>
                <w:b w:val="0"/>
                <w:sz w:val="18"/>
              </w:rPr>
              <w:t>Seventy return rotations across the programme — mobilisation, architecture and drop windows, leadership reviews.</w:t>
            </w:r>
          </w:p>
        </w:tc>
        <w:tc>
          <w:tcPr>
            <w:tcW w:w="1640" w:type="dxa"/>
          </w:tcPr>
          <w:p>
            <w:pPr>
              <w:jc w:val="center"/>
            </w:pPr>
            <w:r>
              <w:rPr>
                <w:b w:val="0"/>
                <w:sz w:val="18"/>
              </w:rPr>
              <w:t>84,000</w:t>
            </w:r>
          </w:p>
        </w:tc>
      </w:tr>
      <w:tr>
        <w:trPr>
          <w:cantSplit/>
        </w:trPr>
        <w:tc>
          <w:tcPr>
            <w:tcW w:w="2600" w:type="dxa"/>
          </w:tcPr>
          <w:p>
            <w:r>
              <w:rPr>
                <w:b w:val="0"/>
                <w:sz w:val="18"/>
              </w:rPr>
              <w:t>Lodging &amp; boarding</w:t>
            </w:r>
          </w:p>
        </w:tc>
        <w:tc>
          <w:tcPr>
            <w:tcW w:w="4901" w:type="dxa"/>
          </w:tcPr>
          <w:p>
            <w:r>
              <w:rPr>
                <w:b w:val="0"/>
                <w:sz w:val="18"/>
              </w:rPr>
              <w:t>65.4 onshore person-months at a serviced-apartment-plus-per-diem basis; onshore labour rates in the commercial model are labour-only, so this cost sits in one explicit, auditable line rather than hidden inside a rate.</w:t>
            </w:r>
          </w:p>
        </w:tc>
        <w:tc>
          <w:tcPr>
            <w:tcW w:w="1640" w:type="dxa"/>
          </w:tcPr>
          <w:p>
            <w:pPr>
              <w:jc w:val="center"/>
            </w:pPr>
            <w:r>
              <w:rPr>
                <w:b w:val="0"/>
                <w:sz w:val="18"/>
              </w:rPr>
              <w:t>240,018</w:t>
            </w:r>
          </w:p>
        </w:tc>
      </w:tr>
      <w:tr>
        <w:trPr>
          <w:cantSplit/>
        </w:trPr>
        <w:tc>
          <w:tcPr>
            <w:tcW w:w="2600" w:type="dxa"/>
          </w:tcPr>
          <w:p>
            <w:r>
              <w:rPr>
                <w:b w:val="0"/>
                <w:sz w:val="18"/>
              </w:rPr>
              <w:t>Local mobility &amp; visas</w:t>
            </w:r>
          </w:p>
        </w:tc>
        <w:tc>
          <w:tcPr>
            <w:tcW w:w="4901" w:type="dxa"/>
          </w:tcPr>
          <w:p>
            <w:r>
              <w:rPr>
                <w:b w:val="0"/>
                <w:sz w:val="18"/>
              </w:rPr>
              <w:t>UAE transport and thirty work permits.</w:t>
            </w:r>
          </w:p>
        </w:tc>
        <w:tc>
          <w:tcPr>
            <w:tcW w:w="1640" w:type="dxa"/>
          </w:tcPr>
          <w:p>
            <w:pPr>
              <w:jc w:val="center"/>
            </w:pPr>
            <w:r>
              <w:rPr>
                <w:b w:val="0"/>
                <w:sz w:val="18"/>
              </w:rPr>
              <w:t>48,000</w:t>
            </w:r>
          </w:p>
        </w:tc>
      </w:tr>
      <w:tr>
        <w:trPr>
          <w:cantSplit/>
        </w:trPr>
        <w:tc>
          <w:tcPr>
            <w:tcW w:w="2600" w:type="dxa"/>
          </w:tcPr>
          <w:p>
            <w:r>
              <w:rPr>
                <w:b w:val="0"/>
                <w:sz w:val="18"/>
              </w:rPr>
              <w:t>Software licences &amp; tooling</w:t>
            </w:r>
          </w:p>
        </w:tc>
        <w:tc>
          <w:tcPr>
            <w:tcW w:w="4901" w:type="dxa"/>
          </w:tcPr>
          <w:p>
            <w:r>
              <w:rPr>
                <w:b w:val="0"/>
                <w:sz w:val="18"/>
              </w:rPr>
              <w:t>Monitoring and APM, code quality, test and load tooling, collaboration licences for the programme term.</w:t>
            </w:r>
          </w:p>
        </w:tc>
        <w:tc>
          <w:tcPr>
            <w:tcW w:w="1640" w:type="dxa"/>
          </w:tcPr>
          <w:p>
            <w:pPr>
              <w:jc w:val="center"/>
            </w:pPr>
            <w:r>
              <w:rPr>
                <w:b w:val="0"/>
                <w:sz w:val="18"/>
              </w:rPr>
              <w:t>160,000</w:t>
            </w:r>
          </w:p>
        </w:tc>
      </w:tr>
      <w:tr>
        <w:trPr>
          <w:cantSplit/>
        </w:trPr>
        <w:tc>
          <w:tcPr>
            <w:tcW w:w="2600" w:type="dxa"/>
          </w:tcPr>
          <w:p>
            <w:r>
              <w:rPr>
                <w:b w:val="0"/>
                <w:sz w:val="18"/>
              </w:rPr>
              <w:t>UAE compliance &amp; certification</w:t>
            </w:r>
          </w:p>
        </w:tc>
        <w:tc>
          <w:tcPr>
            <w:tcW w:w="4901" w:type="dxa"/>
          </w:tcPr>
          <w:p>
            <w:r>
              <w:rPr>
                <w:b w:val="0"/>
                <w:sz w:val="18"/>
              </w:rPr>
              <w:t>UAE-accredited penetration testing (annual, §6.5), TDRA accessibility conformance (§5.9), data-protection and residency advisory (§7.5).</w:t>
            </w:r>
          </w:p>
        </w:tc>
        <w:tc>
          <w:tcPr>
            <w:tcW w:w="1640" w:type="dxa"/>
          </w:tcPr>
          <w:p>
            <w:pPr>
              <w:jc w:val="center"/>
            </w:pPr>
            <w:r>
              <w:rPr>
                <w:b w:val="0"/>
                <w:sz w:val="18"/>
              </w:rPr>
              <w:t>95,000</w:t>
            </w:r>
          </w:p>
        </w:tc>
      </w:tr>
      <w:tr>
        <w:trPr>
          <w:cantSplit/>
        </w:trPr>
        <w:tc>
          <w:tcPr>
            <w:tcW w:w="2600" w:type="dxa"/>
          </w:tcPr>
          <w:p>
            <w:r>
              <w:rPr>
                <w:b w:val="0"/>
                <w:sz w:val="18"/>
              </w:rPr>
              <w:t>Miscellaneous &amp; mobilisation</w:t>
            </w:r>
          </w:p>
        </w:tc>
        <w:tc>
          <w:tcPr>
            <w:tcW w:w="4901" w:type="dxa"/>
          </w:tcPr>
          <w:p>
            <w:r>
              <w:rPr>
                <w:b w:val="0"/>
                <w:sz w:val="18"/>
              </w:rPr>
              <w:t>Insurance, communications, logistics, workspace, mobilise/demobilise.</w:t>
            </w:r>
          </w:p>
        </w:tc>
        <w:tc>
          <w:tcPr>
            <w:tcW w:w="1640" w:type="dxa"/>
          </w:tcPr>
          <w:p>
            <w:pPr>
              <w:jc w:val="center"/>
            </w:pPr>
            <w:r>
              <w:rPr>
                <w:b w:val="0"/>
                <w:sz w:val="18"/>
              </w:rPr>
              <w:t>80,000</w:t>
            </w:r>
          </w:p>
        </w:tc>
      </w:tr>
      <w:tr>
        <w:trPr>
          <w:cantSplit/>
        </w:trPr>
        <w:tc>
          <w:tcPr>
            <w:shd w:val="clear" w:color="auto" w:fill="E7F1F2"/>
            <w:tcW w:w="2600" w:type="dxa"/>
          </w:tcPr>
          <w:p>
            <w:r>
              <w:rPr>
                <w:b/>
                <w:sz w:val="18"/>
              </w:rPr>
              <w:t>Delivery costs</w:t>
            </w:r>
          </w:p>
        </w:tc>
        <w:tc>
          <w:tcPr>
            <w:shd w:val="clear" w:color="auto" w:fill="E7F1F2"/>
            <w:tcW w:w="4901" w:type="dxa"/>
          </w:tcPr>
          <w:p>
            <w:r>
              <w:rPr>
                <w:b/>
                <w:sz w:val="18"/>
              </w:rPr>
            </w:r>
          </w:p>
        </w:tc>
        <w:tc>
          <w:tcPr>
            <w:shd w:val="clear" w:color="auto" w:fill="E7F1F2"/>
            <w:tcW w:w="1640" w:type="dxa"/>
          </w:tcPr>
          <w:p>
            <w:pPr>
              <w:jc w:val="center"/>
            </w:pPr>
            <w:r>
              <w:rPr>
                <w:b/>
                <w:sz w:val="18"/>
              </w:rPr>
              <w:t>767,018</w:t>
            </w:r>
          </w:p>
        </w:tc>
      </w:tr>
    </w:tbl>
    <w:p>
      <w:pPr>
        <w:pStyle w:val="Heading2"/>
      </w:pPr>
      <w:bookmarkStart w:id="12005" w:name="_Toc12005"/>
      <w:r>
        <w:t>2.4  Managed support — AMC Year 1, USD 568,000</w:t>
      </w:r>
      <w:bookmarkEnd w:id="12005"/>
    </w:p>
    <w:p>
      <w:r>
        <w:t>From hypercare exit at the end of month eighteen — so support is never paid for twice — a staffed support pod carries the platform against the RFP’s service levels for twelve months: three offshore L2/L3 engineers, an onshore half-FTE beside the Client, half an AI/ML engineer for model drift and evaluation, half a DevOps engineer, and a half-time service delivery manager — with the monitoring and SLA-reporting stack included.</w:t>
      </w:r>
    </w:p>
    <w:p>
      <w:pPr>
        <w:pStyle w:val="ListBullet"/>
      </w:pPr>
      <w:r>
        <w:t>Coverage: 24/7 P1 engagement through a follow-the-sun on-call rota (response 30 minutes, resolution 2 hours, per §6.1) with staffed cover in Gulf business hours, the §6.5 patch clocks, §6.6 AI service levels including drift alerts and agent availability, and the quarterly AI adoption reporting of deliverable D12.</w:t>
      </w:r>
    </w:p>
    <w:p>
      <w:pPr>
        <w:pStyle w:val="ListBullet"/>
      </w:pPr>
      <w:r>
        <w:t>Per-year pricing at the Client’s option, extendable year by year:</w:t>
      </w:r>
    </w:p>
    <w:tbl>
      <w:tblPr>
        <w:tblStyle w:val="TableGrid"/>
        <w:tblLook w:firstColumn="1" w:firstRow="1" w:lastColumn="0" w:lastRow="0" w:noHBand="0" w:noVBand="1" w:val="04A0"/>
        <w:tblW w:w="8200" w:type="dxa"/>
        <w:tblLayout w:type="fixed"/>
      </w:tblPr>
      <w:tblGrid>
        <w:gridCol w:w="4400"/>
        <w:gridCol w:w="3800"/>
      </w:tblGrid>
      <w:tr>
        <w:trPr>
          <w:cantSplit/>
          <w:tblHeader/>
        </w:trPr>
        <w:tc>
          <w:tcPr>
            <w:shd w:val="clear" w:color="auto" w:fill="0E7C86"/>
            <w:tcW w:w="4400" w:type="dxa"/>
          </w:tcPr>
          <w:p>
            <w:r>
              <w:rPr>
                <w:b/>
                <w:color w:val="FFFFFF"/>
                <w:sz w:val="18"/>
              </w:rPr>
              <w:t>AMC term</w:t>
            </w:r>
          </w:p>
        </w:tc>
        <w:tc>
          <w:tcPr>
            <w:shd w:val="clear" w:color="auto" w:fill="0E7C86"/>
            <w:tcW w:w="3800" w:type="dxa"/>
          </w:tcPr>
          <w:p>
            <w:pPr>
              <w:jc w:val="center"/>
            </w:pPr>
            <w:r>
              <w:rPr>
                <w:b/>
                <w:color w:val="FFFFFF"/>
                <w:sz w:val="18"/>
              </w:rPr>
              <w:t>Annual price (USD, 3% escalation)</w:t>
            </w:r>
          </w:p>
        </w:tc>
      </w:tr>
      <w:tr>
        <w:trPr>
          <w:cantSplit/>
        </w:trPr>
        <w:tc>
          <w:tcPr>
            <w:tcW w:w="4400" w:type="dxa"/>
          </w:tcPr>
          <w:p>
            <w:r>
              <w:rPr>
                <w:b w:val="0"/>
                <w:sz w:val="18"/>
              </w:rPr>
              <w:t>Year 1 (included in this proposal)</w:t>
            </w:r>
          </w:p>
        </w:tc>
        <w:tc>
          <w:tcPr>
            <w:tcW w:w="3800" w:type="dxa"/>
          </w:tcPr>
          <w:p>
            <w:pPr>
              <w:jc w:val="center"/>
            </w:pPr>
            <w:r>
              <w:rPr>
                <w:b w:val="0"/>
                <w:sz w:val="18"/>
              </w:rPr>
              <w:t>568,000</w:t>
            </w:r>
          </w:p>
        </w:tc>
      </w:tr>
      <w:tr>
        <w:trPr>
          <w:cantSplit/>
        </w:trPr>
        <w:tc>
          <w:tcPr>
            <w:tcW w:w="4400" w:type="dxa"/>
          </w:tcPr>
          <w:p>
            <w:r>
              <w:rPr>
                <w:b w:val="0"/>
                <w:sz w:val="18"/>
              </w:rPr>
              <w:t>Year 2</w:t>
            </w:r>
          </w:p>
        </w:tc>
        <w:tc>
          <w:tcPr>
            <w:tcW w:w="3800" w:type="dxa"/>
          </w:tcPr>
          <w:p>
            <w:pPr>
              <w:jc w:val="center"/>
            </w:pPr>
            <w:r>
              <w:rPr>
                <w:b w:val="0"/>
                <w:sz w:val="18"/>
              </w:rPr>
              <w:t>585,040</w:t>
            </w:r>
          </w:p>
        </w:tc>
      </w:tr>
      <w:tr>
        <w:trPr>
          <w:cantSplit/>
        </w:trPr>
        <w:tc>
          <w:tcPr>
            <w:tcW w:w="4400" w:type="dxa"/>
          </w:tcPr>
          <w:p>
            <w:r>
              <w:rPr>
                <w:b w:val="0"/>
                <w:sz w:val="18"/>
              </w:rPr>
              <w:t>Year 3</w:t>
            </w:r>
          </w:p>
        </w:tc>
        <w:tc>
          <w:tcPr>
            <w:tcW w:w="3800" w:type="dxa"/>
          </w:tcPr>
          <w:p>
            <w:pPr>
              <w:jc w:val="center"/>
            </w:pPr>
            <w:r>
              <w:rPr>
                <w:b w:val="0"/>
                <w:sz w:val="18"/>
              </w:rPr>
              <w:t>602,591</w:t>
            </w:r>
          </w:p>
        </w:tc>
      </w:tr>
      <w:tr>
        <w:trPr>
          <w:cantSplit/>
        </w:trPr>
        <w:tc>
          <w:tcPr>
            <w:tcW w:w="4400" w:type="dxa"/>
          </w:tcPr>
          <w:p>
            <w:r>
              <w:rPr>
                <w:b w:val="0"/>
                <w:sz w:val="18"/>
              </w:rPr>
              <w:t>Year 4</w:t>
            </w:r>
          </w:p>
        </w:tc>
        <w:tc>
          <w:tcPr>
            <w:tcW w:w="3800" w:type="dxa"/>
          </w:tcPr>
          <w:p>
            <w:pPr>
              <w:jc w:val="center"/>
            </w:pPr>
            <w:r>
              <w:rPr>
                <w:b w:val="0"/>
                <w:sz w:val="18"/>
              </w:rPr>
              <w:t>620,669</w:t>
            </w:r>
          </w:p>
        </w:tc>
      </w:tr>
      <w:tr>
        <w:trPr>
          <w:cantSplit/>
        </w:trPr>
        <w:tc>
          <w:tcPr>
            <w:tcW w:w="4400" w:type="dxa"/>
          </w:tcPr>
          <w:p>
            <w:r>
              <w:rPr>
                <w:b w:val="0"/>
                <w:sz w:val="18"/>
              </w:rPr>
              <w:t>Year 5</w:t>
            </w:r>
          </w:p>
        </w:tc>
        <w:tc>
          <w:tcPr>
            <w:tcW w:w="3800" w:type="dxa"/>
          </w:tcPr>
          <w:p>
            <w:pPr>
              <w:jc w:val="center"/>
            </w:pPr>
            <w:r>
              <w:rPr>
                <w:b w:val="0"/>
                <w:sz w:val="18"/>
              </w:rPr>
              <w:t>639,289</w:t>
            </w:r>
          </w:p>
        </w:tc>
      </w:tr>
    </w:tbl>
    <w:p>
      <w:pPr>
        <w:pStyle w:val="Heading1"/>
      </w:pPr>
      <w:bookmarkStart w:id="12006" w:name="_Toc12006"/>
      <w:r>
        <w:t>3.  How it is delivered</w:t>
      </w:r>
      <w:bookmarkEnd w:id="12006"/>
    </w:p>
    <w:p>
      <w:r>
        <w:t>Fourteen months of development, drop-wise, inside a two-year delivery envelope — the full plan, lifecycle and team ramp are Section 16 of the Technical Approach Document; the skeleton is:</w:t>
      </w:r>
    </w:p>
    <w:tbl>
      <w:tblPr>
        <w:tblStyle w:val="TableGrid"/>
        <w:tblLook w:firstColumn="1" w:firstRow="1" w:lastColumn="0" w:lastRow="0" w:noHBand="0" w:noVBand="1" w:val="04A0"/>
        <w:tblW w:w="9141" w:type="dxa"/>
        <w:tblLayout w:type="fixed"/>
      </w:tblPr>
      <w:tblGrid>
        <w:gridCol w:w="2800"/>
        <w:gridCol w:w="1300"/>
        <w:gridCol w:w="5041"/>
      </w:tblGrid>
      <w:tr>
        <w:trPr>
          <w:cantSplit/>
          <w:tblHeader/>
        </w:trPr>
        <w:tc>
          <w:tcPr>
            <w:shd w:val="clear" w:color="auto" w:fill="0E7C86"/>
            <w:tcW w:w="2800" w:type="dxa"/>
          </w:tcPr>
          <w:p>
            <w:r>
              <w:rPr>
                <w:b/>
                <w:color w:val="FFFFFF"/>
                <w:sz w:val="18"/>
              </w:rPr>
              <w:t>Milestone</w:t>
            </w:r>
          </w:p>
        </w:tc>
        <w:tc>
          <w:tcPr>
            <w:shd w:val="clear" w:color="auto" w:fill="0E7C86"/>
            <w:tcW w:w="1300" w:type="dxa"/>
          </w:tcPr>
          <w:p>
            <w:r>
              <w:rPr>
                <w:b/>
                <w:color w:val="FFFFFF"/>
                <w:sz w:val="18"/>
              </w:rPr>
              <w:t>When</w:t>
            </w:r>
          </w:p>
        </w:tc>
        <w:tc>
          <w:tcPr>
            <w:shd w:val="clear" w:color="auto" w:fill="0E7C86"/>
            <w:tcW w:w="5041" w:type="dxa"/>
          </w:tcPr>
          <w:p>
            <w:r>
              <w:rPr>
                <w:b/>
                <w:color w:val="FFFFFF"/>
                <w:sz w:val="18"/>
              </w:rPr>
              <w:t>What the Client sees</w:t>
            </w:r>
          </w:p>
        </w:tc>
      </w:tr>
      <w:tr>
        <w:trPr>
          <w:cantSplit/>
        </w:trPr>
        <w:tc>
          <w:tcPr>
            <w:tcW w:w="2800" w:type="dxa"/>
          </w:tcPr>
          <w:p>
            <w:r>
              <w:rPr>
                <w:b w:val="0"/>
                <w:sz w:val="18"/>
              </w:rPr>
              <w:t>Mobilisation &amp; data readiness (D0)</w:t>
            </w:r>
          </w:p>
        </w:tc>
        <w:tc>
          <w:tcPr>
            <w:tcW w:w="1300" w:type="dxa"/>
          </w:tcPr>
          <w:p>
            <w:r>
              <w:rPr>
                <w:b w:val="0"/>
                <w:sz w:val="18"/>
              </w:rPr>
              <w:t>M0–M2</w:t>
            </w:r>
          </w:p>
        </w:tc>
        <w:tc>
          <w:tcPr>
            <w:tcW w:w="5041" w:type="dxa"/>
          </w:tcPr>
          <w:p>
            <w:r>
              <w:rPr>
                <w:b w:val="0"/>
                <w:sz w:val="18"/>
              </w:rPr>
              <w:t>Teams stood up, environments live, the data readiness assessment moving migration risk to month one.</w:t>
            </w:r>
          </w:p>
        </w:tc>
      </w:tr>
      <w:tr>
        <w:trPr>
          <w:cantSplit/>
        </w:trPr>
        <w:tc>
          <w:tcPr>
            <w:tcW w:w="2800" w:type="dxa"/>
          </w:tcPr>
          <w:p>
            <w:r>
              <w:rPr>
                <w:b w:val="0"/>
                <w:sz w:val="18"/>
              </w:rPr>
              <w:t>Architecture baseline (D1)</w:t>
            </w:r>
          </w:p>
        </w:tc>
        <w:tc>
          <w:tcPr>
            <w:tcW w:w="1300" w:type="dxa"/>
          </w:tcPr>
          <w:p>
            <w:r>
              <w:rPr>
                <w:b w:val="0"/>
                <w:sz w:val="18"/>
              </w:rPr>
              <w:t>M5</w:t>
            </w:r>
          </w:p>
        </w:tc>
        <w:tc>
          <w:tcPr>
            <w:tcW w:w="5041" w:type="dxa"/>
          </w:tcPr>
          <w:p>
            <w:r>
              <w:rPr>
                <w:b w:val="0"/>
                <w:sz w:val="18"/>
              </w:rPr>
              <w:t>The AI-native target architecture — microservice seams, tenancy model, LCNC design — approved.</w:t>
            </w:r>
          </w:p>
        </w:tc>
      </w:tr>
      <w:tr>
        <w:trPr>
          <w:cantSplit/>
        </w:trPr>
        <w:tc>
          <w:tcPr>
            <w:tcW w:w="2800" w:type="dxa"/>
          </w:tcPr>
          <w:p>
            <w:r>
              <w:rPr>
                <w:b w:val="0"/>
                <w:sz w:val="18"/>
              </w:rPr>
              <w:t>Drop 1</w:t>
            </w:r>
          </w:p>
        </w:tc>
        <w:tc>
          <w:tcPr>
            <w:tcW w:w="1300" w:type="dxa"/>
          </w:tcPr>
          <w:p>
            <w:r>
              <w:rPr>
                <w:b w:val="0"/>
                <w:sz w:val="18"/>
              </w:rPr>
              <w:t>M7</w:t>
            </w:r>
          </w:p>
        </w:tc>
        <w:tc>
          <w:tcPr>
            <w:tcW w:w="5041" w:type="dxa"/>
          </w:tcPr>
          <w:p>
            <w:r>
              <w:rPr>
                <w:b w:val="0"/>
                <w:sz w:val="18"/>
              </w:rPr>
              <w:t>The registrar’s core working bilingually: master data, ships, legislation, agents A1/A3/A4/A6, UAE PASS federation.</w:t>
            </w:r>
          </w:p>
        </w:tc>
      </w:tr>
      <w:tr>
        <w:trPr>
          <w:cantSplit/>
        </w:trPr>
        <w:tc>
          <w:tcPr>
            <w:tcW w:w="2800" w:type="dxa"/>
          </w:tcPr>
          <w:p>
            <w:r>
              <w:rPr>
                <w:b w:val="0"/>
                <w:sz w:val="18"/>
              </w:rPr>
              <w:t>Drop 2</w:t>
            </w:r>
          </w:p>
        </w:tc>
        <w:tc>
          <w:tcPr>
            <w:tcW w:w="1300" w:type="dxa"/>
          </w:tcPr>
          <w:p>
            <w:r>
              <w:rPr>
                <w:b w:val="0"/>
                <w:sz w:val="18"/>
              </w:rPr>
              <w:t>M11</w:t>
            </w:r>
          </w:p>
        </w:tc>
        <w:tc>
          <w:tcPr>
            <w:tcW w:w="5041" w:type="dxa"/>
          </w:tcPr>
          <w:p>
            <w:r>
              <w:rPr>
                <w:b w:val="0"/>
                <w:sz w:val="18"/>
              </w:rPr>
              <w:t>Seafarers; the NMC on live feeds; smart inspection with the inspector app; A2/A5/A7; GISIS and MOHRE exchanges; LCNC beta; a second port in staging.</w:t>
            </w:r>
          </w:p>
        </w:tc>
      </w:tr>
      <w:tr>
        <w:trPr>
          <w:cantSplit/>
        </w:trPr>
        <w:tc>
          <w:tcPr>
            <w:tcW w:w="2800" w:type="dxa"/>
          </w:tcPr>
          <w:p>
            <w:r>
              <w:rPr>
                <w:b w:val="0"/>
                <w:sz w:val="18"/>
              </w:rPr>
              <w:t>Drop 3</w:t>
            </w:r>
          </w:p>
        </w:tc>
        <w:tc>
          <w:tcPr>
            <w:tcW w:w="1300" w:type="dxa"/>
          </w:tcPr>
          <w:p>
            <w:r>
              <w:rPr>
                <w:b w:val="0"/>
                <w:sz w:val="18"/>
              </w:rPr>
              <w:t>M14</w:t>
            </w:r>
          </w:p>
        </w:tc>
        <w:tc>
          <w:tcPr>
            <w:tcW w:w="5041" w:type="dxa"/>
          </w:tcPr>
          <w:p>
            <w:r>
              <w:rPr>
                <w:b w:val="0"/>
                <w:sz w:val="18"/>
              </w:rPr>
              <w:t>Ports, facilities, revenue with the payment gateway, dashboards, customer app, LCNC GA, national rollout tooling, SLA hardening.</w:t>
            </w:r>
          </w:p>
        </w:tc>
      </w:tr>
      <w:tr>
        <w:trPr>
          <w:cantSplit/>
        </w:trPr>
        <w:tc>
          <w:tcPr>
            <w:tcW w:w="2800" w:type="dxa"/>
          </w:tcPr>
          <w:p>
            <w:r>
              <w:rPr>
                <w:b w:val="0"/>
                <w:sz w:val="18"/>
              </w:rPr>
              <w:t>Migration, UAT, Go-Live (D8, D9)</w:t>
            </w:r>
          </w:p>
        </w:tc>
        <w:tc>
          <w:tcPr>
            <w:tcW w:w="1300" w:type="dxa"/>
          </w:tcPr>
          <w:p>
            <w:r>
              <w:rPr>
                <w:b w:val="0"/>
                <w:sz w:val="18"/>
              </w:rPr>
              <w:t>M15 = T0</w:t>
            </w:r>
          </w:p>
        </w:tc>
        <w:tc>
          <w:tcPr>
            <w:tcW w:w="5041" w:type="dxa"/>
          </w:tcPr>
          <w:p>
            <w:r>
              <w:rPr>
                <w:b w:val="0"/>
                <w:sz w:val="18"/>
              </w:rPr>
              <w:t>Approved migration executed with full validation; operational-readiness review; go-live.</w:t>
            </w:r>
          </w:p>
        </w:tc>
      </w:tr>
      <w:tr>
        <w:trPr>
          <w:cantSplit/>
        </w:trPr>
        <w:tc>
          <w:tcPr>
            <w:tcW w:w="2800" w:type="dxa"/>
          </w:tcPr>
          <w:p>
            <w:r>
              <w:rPr>
                <w:b w:val="0"/>
                <w:sz w:val="18"/>
              </w:rPr>
              <w:t>Hypercare</w:t>
            </w:r>
          </w:p>
        </w:tc>
        <w:tc>
          <w:tcPr>
            <w:tcW w:w="1300" w:type="dxa"/>
          </w:tcPr>
          <w:p>
            <w:r>
              <w:rPr>
                <w:b w:val="0"/>
                <w:sz w:val="18"/>
              </w:rPr>
              <w:t>M16–M18</w:t>
            </w:r>
          </w:p>
        </w:tc>
        <w:tc>
          <w:tcPr>
            <w:tcW w:w="5041" w:type="dxa"/>
          </w:tcPr>
          <w:p>
            <w:r>
              <w:rPr>
                <w:b w:val="0"/>
                <w:sz w:val="18"/>
              </w:rPr>
              <w:t>Elevated support through stabilisation; handover into the AMC.</w:t>
            </w:r>
          </w:p>
        </w:tc>
      </w:tr>
      <w:tr>
        <w:trPr>
          <w:cantSplit/>
        </w:trPr>
        <w:tc>
          <w:tcPr>
            <w:tcW w:w="2800" w:type="dxa"/>
          </w:tcPr>
          <w:p>
            <w:r>
              <w:rPr>
                <w:b w:val="0"/>
                <w:sz w:val="18"/>
              </w:rPr>
              <w:t>KPI clocks</w:t>
            </w:r>
          </w:p>
        </w:tc>
        <w:tc>
          <w:tcPr>
            <w:tcW w:w="1300" w:type="dxa"/>
          </w:tcPr>
          <w:p>
            <w:r>
              <w:rPr>
                <w:b w:val="0"/>
                <w:sz w:val="18"/>
              </w:rPr>
              <w:t>from T0</w:t>
            </w:r>
          </w:p>
        </w:tc>
        <w:tc>
          <w:tcPr>
            <w:tcW w:w="5041" w:type="dxa"/>
          </w:tcPr>
          <w:p>
            <w:r>
              <w:rPr>
                <w:b w:val="0"/>
                <w:sz w:val="18"/>
              </w:rPr>
              <w:t>Prediction accuracy at +12 months; the six Smart Inspection KPIs at +18; 80% AI-assisted coverage at +24 — each instrumented before T0, not asserted after it.</w:t>
            </w:r>
          </w:p>
        </w:tc>
      </w:tr>
    </w:tbl>
    <w:p>
      <w:r>
        <w:t>Four clocks, one reconciliation: development runs fourteen months; go-live lands at the end of month fifteen; hypercare closes at month eighteen; the contractual delivery envelope is twenty-four months. The difference is deliberate headroom for national-rollout sequencing, not hidden work — and AMC Year 1 begins where hypercare ends.</w:t>
      </w:r>
    </w:p>
    <w:p>
      <w:pPr>
        <w:pStyle w:val="Heading1"/>
      </w:pPr>
      <w:bookmarkStart w:id="12007" w:name="_Toc12007"/>
      <w:r>
        <w:t>4.  Payment schedule</w:t>
      </w:r>
      <w:bookmarkEnd w:id="12007"/>
    </w:p>
    <w:p>
      <w:r>
        <w:t>After mobilisation, every payment follows an accepted, demonstrable milestone — and an advance bank guarantee against the mobilisation payment is offered as standard. The delivery price (total minus AMC) is USD 4,832,000; AMC Year 1 bills quarterly in arrears from its start at hypercare exit (end of month eighteen).</w:t>
      </w:r>
    </w:p>
    <w:tbl>
      <w:tblPr>
        <w:tblStyle w:val="TableGrid"/>
        <w:tblLook w:firstColumn="1" w:firstRow="1" w:lastColumn="0" w:lastRow="0" w:noHBand="0" w:noVBand="1" w:val="04A0"/>
        <w:tblW w:w="8341" w:type="dxa"/>
        <w:tblLayout w:type="fixed"/>
      </w:tblPr>
      <w:tblGrid>
        <w:gridCol w:w="4000"/>
        <w:gridCol w:w="1500"/>
        <w:gridCol w:w="1200"/>
        <w:gridCol w:w="1641"/>
      </w:tblGrid>
      <w:tr>
        <w:trPr>
          <w:cantSplit/>
          <w:tblHeader/>
        </w:trPr>
        <w:tc>
          <w:tcPr>
            <w:shd w:val="clear" w:color="auto" w:fill="0E7C86"/>
            <w:tcW w:w="4000" w:type="dxa"/>
          </w:tcPr>
          <w:p>
            <w:r>
              <w:rPr>
                <w:b/>
                <w:color w:val="FFFFFF"/>
                <w:sz w:val="18"/>
              </w:rPr>
              <w:t>Milestone</w:t>
            </w:r>
          </w:p>
        </w:tc>
        <w:tc>
          <w:tcPr>
            <w:shd w:val="clear" w:color="auto" w:fill="0E7C86"/>
            <w:tcW w:w="1500" w:type="dxa"/>
          </w:tcPr>
          <w:p>
            <w:r>
              <w:rPr>
                <w:b/>
                <w:color w:val="FFFFFF"/>
                <w:sz w:val="18"/>
              </w:rPr>
              <w:t>When</w:t>
            </w:r>
          </w:p>
        </w:tc>
        <w:tc>
          <w:tcPr>
            <w:shd w:val="clear" w:color="auto" w:fill="0E7C86"/>
            <w:tcW w:w="1200" w:type="dxa"/>
          </w:tcPr>
          <w:p>
            <w:pPr>
              <w:jc w:val="center"/>
            </w:pPr>
            <w:r>
              <w:rPr>
                <w:b/>
                <w:color w:val="FFFFFF"/>
                <w:sz w:val="18"/>
              </w:rPr>
              <w:t>Share</w:t>
            </w:r>
          </w:p>
        </w:tc>
        <w:tc>
          <w:tcPr>
            <w:shd w:val="clear" w:color="auto" w:fill="0E7C86"/>
            <w:tcW w:w="1641" w:type="dxa"/>
          </w:tcPr>
          <w:p>
            <w:pPr>
              <w:jc w:val="center"/>
            </w:pPr>
            <w:r>
              <w:rPr>
                <w:b/>
                <w:color w:val="FFFFFF"/>
                <w:sz w:val="18"/>
              </w:rPr>
              <w:t>USD</w:t>
            </w:r>
          </w:p>
        </w:tc>
      </w:tr>
      <w:tr>
        <w:trPr>
          <w:cantSplit/>
        </w:trPr>
        <w:tc>
          <w:tcPr>
            <w:tcW w:w="4000" w:type="dxa"/>
          </w:tcPr>
          <w:p>
            <w:r>
              <w:rPr>
                <w:b w:val="0"/>
                <w:sz w:val="18"/>
              </w:rPr>
              <w:t>Contract signature &amp; mobilisation</w:t>
            </w:r>
          </w:p>
        </w:tc>
        <w:tc>
          <w:tcPr>
            <w:tcW w:w="1500" w:type="dxa"/>
          </w:tcPr>
          <w:p>
            <w:r>
              <w:rPr>
                <w:b w:val="0"/>
                <w:sz w:val="18"/>
              </w:rPr>
              <w:t>M0</w:t>
            </w:r>
          </w:p>
        </w:tc>
        <w:tc>
          <w:tcPr>
            <w:tcW w:w="1200" w:type="dxa"/>
          </w:tcPr>
          <w:p>
            <w:pPr>
              <w:jc w:val="center"/>
            </w:pPr>
            <w:r>
              <w:rPr>
                <w:b w:val="0"/>
                <w:sz w:val="18"/>
              </w:rPr>
              <w:t>10%</w:t>
            </w:r>
          </w:p>
        </w:tc>
        <w:tc>
          <w:tcPr>
            <w:tcW w:w="1641" w:type="dxa"/>
          </w:tcPr>
          <w:p>
            <w:pPr>
              <w:jc w:val="center"/>
            </w:pPr>
            <w:r>
              <w:rPr>
                <w:b w:val="0"/>
                <w:sz w:val="18"/>
              </w:rPr>
              <w:t>483,200</w:t>
            </w:r>
          </w:p>
        </w:tc>
      </w:tr>
      <w:tr>
        <w:trPr>
          <w:cantSplit/>
        </w:trPr>
        <w:tc>
          <w:tcPr>
            <w:tcW w:w="4000" w:type="dxa"/>
          </w:tcPr>
          <w:p>
            <w:r>
              <w:rPr>
                <w:b w:val="0"/>
                <w:sz w:val="18"/>
              </w:rPr>
              <w:t>Architecture &amp; design baseline (D1)</w:t>
            </w:r>
          </w:p>
        </w:tc>
        <w:tc>
          <w:tcPr>
            <w:tcW w:w="1500" w:type="dxa"/>
          </w:tcPr>
          <w:p>
            <w:r>
              <w:rPr>
                <w:b w:val="0"/>
                <w:sz w:val="18"/>
              </w:rPr>
              <w:t>M5</w:t>
            </w:r>
          </w:p>
        </w:tc>
        <w:tc>
          <w:tcPr>
            <w:tcW w:w="1200" w:type="dxa"/>
          </w:tcPr>
          <w:p>
            <w:pPr>
              <w:jc w:val="center"/>
            </w:pPr>
            <w:r>
              <w:rPr>
                <w:b w:val="0"/>
                <w:sz w:val="18"/>
              </w:rPr>
              <w:t>10%</w:t>
            </w:r>
          </w:p>
        </w:tc>
        <w:tc>
          <w:tcPr>
            <w:tcW w:w="1641" w:type="dxa"/>
          </w:tcPr>
          <w:p>
            <w:pPr>
              <w:jc w:val="center"/>
            </w:pPr>
            <w:r>
              <w:rPr>
                <w:b w:val="0"/>
                <w:sz w:val="18"/>
              </w:rPr>
              <w:t>483,200</w:t>
            </w:r>
          </w:p>
        </w:tc>
      </w:tr>
      <w:tr>
        <w:trPr>
          <w:cantSplit/>
        </w:trPr>
        <w:tc>
          <w:tcPr>
            <w:tcW w:w="4000" w:type="dxa"/>
          </w:tcPr>
          <w:p>
            <w:r>
              <w:rPr>
                <w:b w:val="0"/>
                <w:sz w:val="18"/>
              </w:rPr>
              <w:t>Drop 1 accepted</w:t>
            </w:r>
          </w:p>
        </w:tc>
        <w:tc>
          <w:tcPr>
            <w:tcW w:w="1500" w:type="dxa"/>
          </w:tcPr>
          <w:p>
            <w:r>
              <w:rPr>
                <w:b w:val="0"/>
                <w:sz w:val="18"/>
              </w:rPr>
              <w:t>M7</w:t>
            </w:r>
          </w:p>
        </w:tc>
        <w:tc>
          <w:tcPr>
            <w:tcW w:w="1200" w:type="dxa"/>
          </w:tcPr>
          <w:p>
            <w:pPr>
              <w:jc w:val="center"/>
            </w:pPr>
            <w:r>
              <w:rPr>
                <w:b w:val="0"/>
                <w:sz w:val="18"/>
              </w:rPr>
              <w:t>15%</w:t>
            </w:r>
          </w:p>
        </w:tc>
        <w:tc>
          <w:tcPr>
            <w:tcW w:w="1641" w:type="dxa"/>
          </w:tcPr>
          <w:p>
            <w:pPr>
              <w:jc w:val="center"/>
            </w:pPr>
            <w:r>
              <w:rPr>
                <w:b w:val="0"/>
                <w:sz w:val="18"/>
              </w:rPr>
              <w:t>724,800</w:t>
            </w:r>
          </w:p>
        </w:tc>
      </w:tr>
      <w:tr>
        <w:trPr>
          <w:cantSplit/>
        </w:trPr>
        <w:tc>
          <w:tcPr>
            <w:tcW w:w="4000" w:type="dxa"/>
          </w:tcPr>
          <w:p>
            <w:r>
              <w:rPr>
                <w:b w:val="0"/>
                <w:sz w:val="18"/>
              </w:rPr>
              <w:t>Drop 2 accepted</w:t>
            </w:r>
          </w:p>
        </w:tc>
        <w:tc>
          <w:tcPr>
            <w:tcW w:w="1500" w:type="dxa"/>
          </w:tcPr>
          <w:p>
            <w:r>
              <w:rPr>
                <w:b w:val="0"/>
                <w:sz w:val="18"/>
              </w:rPr>
              <w:t>M11</w:t>
            </w:r>
          </w:p>
        </w:tc>
        <w:tc>
          <w:tcPr>
            <w:tcW w:w="1200" w:type="dxa"/>
          </w:tcPr>
          <w:p>
            <w:pPr>
              <w:jc w:val="center"/>
            </w:pPr>
            <w:r>
              <w:rPr>
                <w:b w:val="0"/>
                <w:sz w:val="18"/>
              </w:rPr>
              <w:t>15%</w:t>
            </w:r>
          </w:p>
        </w:tc>
        <w:tc>
          <w:tcPr>
            <w:tcW w:w="1641" w:type="dxa"/>
          </w:tcPr>
          <w:p>
            <w:pPr>
              <w:jc w:val="center"/>
            </w:pPr>
            <w:r>
              <w:rPr>
                <w:b w:val="0"/>
                <w:sz w:val="18"/>
              </w:rPr>
              <w:t>724,800</w:t>
            </w:r>
          </w:p>
        </w:tc>
      </w:tr>
      <w:tr>
        <w:trPr>
          <w:cantSplit/>
        </w:trPr>
        <w:tc>
          <w:tcPr>
            <w:tcW w:w="4000" w:type="dxa"/>
          </w:tcPr>
          <w:p>
            <w:r>
              <w:rPr>
                <w:b w:val="0"/>
                <w:sz w:val="18"/>
              </w:rPr>
              <w:t>Drop 3 accepted</w:t>
            </w:r>
          </w:p>
        </w:tc>
        <w:tc>
          <w:tcPr>
            <w:tcW w:w="1500" w:type="dxa"/>
          </w:tcPr>
          <w:p>
            <w:r>
              <w:rPr>
                <w:b w:val="0"/>
                <w:sz w:val="18"/>
              </w:rPr>
              <w:t>M14</w:t>
            </w:r>
          </w:p>
        </w:tc>
        <w:tc>
          <w:tcPr>
            <w:tcW w:w="1200" w:type="dxa"/>
          </w:tcPr>
          <w:p>
            <w:pPr>
              <w:jc w:val="center"/>
            </w:pPr>
            <w:r>
              <w:rPr>
                <w:b w:val="0"/>
                <w:sz w:val="18"/>
              </w:rPr>
              <w:t>15%</w:t>
            </w:r>
          </w:p>
        </w:tc>
        <w:tc>
          <w:tcPr>
            <w:tcW w:w="1641" w:type="dxa"/>
          </w:tcPr>
          <w:p>
            <w:pPr>
              <w:jc w:val="center"/>
            </w:pPr>
            <w:r>
              <w:rPr>
                <w:b w:val="0"/>
                <w:sz w:val="18"/>
              </w:rPr>
              <w:t>724,800</w:t>
            </w:r>
          </w:p>
        </w:tc>
      </w:tr>
      <w:tr>
        <w:trPr>
          <w:cantSplit/>
        </w:trPr>
        <w:tc>
          <w:tcPr>
            <w:tcW w:w="4000" w:type="dxa"/>
          </w:tcPr>
          <w:p>
            <w:r>
              <w:rPr>
                <w:b w:val="0"/>
                <w:sz w:val="18"/>
              </w:rPr>
              <w:t>Migration approved &amp; UAT complete</w:t>
            </w:r>
          </w:p>
        </w:tc>
        <w:tc>
          <w:tcPr>
            <w:tcW w:w="1500" w:type="dxa"/>
          </w:tcPr>
          <w:p>
            <w:r>
              <w:rPr>
                <w:b w:val="0"/>
                <w:sz w:val="18"/>
              </w:rPr>
              <w:t>M15</w:t>
            </w:r>
          </w:p>
        </w:tc>
        <w:tc>
          <w:tcPr>
            <w:tcW w:w="1200" w:type="dxa"/>
          </w:tcPr>
          <w:p>
            <w:pPr>
              <w:jc w:val="center"/>
            </w:pPr>
            <w:r>
              <w:rPr>
                <w:b w:val="0"/>
                <w:sz w:val="18"/>
              </w:rPr>
              <w:t>10%</w:t>
            </w:r>
          </w:p>
        </w:tc>
        <w:tc>
          <w:tcPr>
            <w:tcW w:w="1641" w:type="dxa"/>
          </w:tcPr>
          <w:p>
            <w:pPr>
              <w:jc w:val="center"/>
            </w:pPr>
            <w:r>
              <w:rPr>
                <w:b w:val="0"/>
                <w:sz w:val="18"/>
              </w:rPr>
              <w:t>483,200</w:t>
            </w:r>
          </w:p>
        </w:tc>
      </w:tr>
      <w:tr>
        <w:trPr>
          <w:cantSplit/>
        </w:trPr>
        <w:tc>
          <w:tcPr>
            <w:tcW w:w="4000" w:type="dxa"/>
          </w:tcPr>
          <w:p>
            <w:r>
              <w:rPr>
                <w:b w:val="0"/>
                <w:sz w:val="18"/>
              </w:rPr>
              <w:t>Go-Live (T0)</w:t>
            </w:r>
          </w:p>
        </w:tc>
        <w:tc>
          <w:tcPr>
            <w:tcW w:w="1500" w:type="dxa"/>
          </w:tcPr>
          <w:p>
            <w:r>
              <w:rPr>
                <w:b w:val="0"/>
                <w:sz w:val="18"/>
              </w:rPr>
              <w:t>end M15</w:t>
            </w:r>
          </w:p>
        </w:tc>
        <w:tc>
          <w:tcPr>
            <w:tcW w:w="1200" w:type="dxa"/>
          </w:tcPr>
          <w:p>
            <w:pPr>
              <w:jc w:val="center"/>
            </w:pPr>
            <w:r>
              <w:rPr>
                <w:b w:val="0"/>
                <w:sz w:val="18"/>
              </w:rPr>
              <w:t>15%</w:t>
            </w:r>
          </w:p>
        </w:tc>
        <w:tc>
          <w:tcPr>
            <w:tcW w:w="1641" w:type="dxa"/>
          </w:tcPr>
          <w:p>
            <w:pPr>
              <w:jc w:val="center"/>
            </w:pPr>
            <w:r>
              <w:rPr>
                <w:b w:val="0"/>
                <w:sz w:val="18"/>
              </w:rPr>
              <w:t>724,800</w:t>
            </w:r>
          </w:p>
        </w:tc>
      </w:tr>
      <w:tr>
        <w:trPr>
          <w:cantSplit/>
        </w:trPr>
        <w:tc>
          <w:tcPr>
            <w:tcW w:w="4000" w:type="dxa"/>
          </w:tcPr>
          <w:p>
            <w:r>
              <w:rPr>
                <w:b w:val="0"/>
                <w:sz w:val="18"/>
              </w:rPr>
              <w:t>Hypercare exit &amp; operational handover</w:t>
            </w:r>
          </w:p>
        </w:tc>
        <w:tc>
          <w:tcPr>
            <w:tcW w:w="1500" w:type="dxa"/>
          </w:tcPr>
          <w:p>
            <w:r>
              <w:rPr>
                <w:b w:val="0"/>
                <w:sz w:val="18"/>
              </w:rPr>
              <w:t>M18</w:t>
            </w:r>
          </w:p>
        </w:tc>
        <w:tc>
          <w:tcPr>
            <w:tcW w:w="1200" w:type="dxa"/>
          </w:tcPr>
          <w:p>
            <w:pPr>
              <w:jc w:val="center"/>
            </w:pPr>
            <w:r>
              <w:rPr>
                <w:b w:val="0"/>
                <w:sz w:val="18"/>
              </w:rPr>
              <w:t>10%</w:t>
            </w:r>
          </w:p>
        </w:tc>
        <w:tc>
          <w:tcPr>
            <w:tcW w:w="1641" w:type="dxa"/>
          </w:tcPr>
          <w:p>
            <w:pPr>
              <w:jc w:val="center"/>
            </w:pPr>
            <w:r>
              <w:rPr>
                <w:b w:val="0"/>
                <w:sz w:val="18"/>
              </w:rPr>
              <w:t>483,200</w:t>
            </w:r>
          </w:p>
        </w:tc>
      </w:tr>
      <w:tr>
        <w:trPr>
          <w:cantSplit/>
        </w:trPr>
        <w:tc>
          <w:tcPr>
            <w:tcW w:w="4000" w:type="dxa"/>
          </w:tcPr>
          <w:p>
            <w:r>
              <w:rPr>
                <w:b w:val="0"/>
                <w:sz w:val="18"/>
              </w:rPr>
              <w:t>AMC Year 1 — four quarterly instalments</w:t>
            </w:r>
          </w:p>
        </w:tc>
        <w:tc>
          <w:tcPr>
            <w:tcW w:w="1500" w:type="dxa"/>
          </w:tcPr>
          <w:p>
            <w:r>
              <w:rPr>
                <w:b w:val="0"/>
                <w:sz w:val="18"/>
              </w:rPr>
              <w:t>from M18</w:t>
            </w:r>
          </w:p>
        </w:tc>
        <w:tc>
          <w:tcPr>
            <w:tcW w:w="1200" w:type="dxa"/>
          </w:tcPr>
          <w:p>
            <w:pPr>
              <w:jc w:val="center"/>
            </w:pPr>
            <w:r>
              <w:rPr>
                <w:b w:val="0"/>
                <w:sz w:val="18"/>
              </w:rPr>
            </w:r>
          </w:p>
        </w:tc>
        <w:tc>
          <w:tcPr>
            <w:tcW w:w="1641" w:type="dxa"/>
          </w:tcPr>
          <w:p>
            <w:pPr>
              <w:jc w:val="center"/>
            </w:pPr>
            <w:r>
              <w:rPr>
                <w:b w:val="0"/>
                <w:sz w:val="18"/>
              </w:rPr>
              <w:t>4 × 142,000</w:t>
            </w:r>
          </w:p>
        </w:tc>
      </w:tr>
      <w:tr>
        <w:trPr>
          <w:cantSplit/>
        </w:trPr>
        <w:tc>
          <w:tcPr>
            <w:shd w:val="clear" w:color="auto" w:fill="E7F1F2"/>
            <w:tcW w:w="4000" w:type="dxa"/>
          </w:tcPr>
          <w:p>
            <w:r>
              <w:rPr>
                <w:b/>
                <w:sz w:val="18"/>
              </w:rPr>
              <w:t>Total</w:t>
            </w:r>
          </w:p>
        </w:tc>
        <w:tc>
          <w:tcPr>
            <w:shd w:val="clear" w:color="auto" w:fill="E7F1F2"/>
            <w:tcW w:w="1500" w:type="dxa"/>
          </w:tcPr>
          <w:p>
            <w:r>
              <w:rPr>
                <w:b/>
                <w:sz w:val="18"/>
              </w:rPr>
            </w:r>
          </w:p>
        </w:tc>
        <w:tc>
          <w:tcPr>
            <w:shd w:val="clear" w:color="auto" w:fill="E7F1F2"/>
            <w:tcW w:w="1200" w:type="dxa"/>
          </w:tcPr>
          <w:p>
            <w:pPr>
              <w:jc w:val="center"/>
            </w:pPr>
            <w:r>
              <w:rPr>
                <w:b/>
                <w:sz w:val="18"/>
              </w:rPr>
            </w:r>
          </w:p>
        </w:tc>
        <w:tc>
          <w:tcPr>
            <w:shd w:val="clear" w:color="auto" w:fill="E7F1F2"/>
            <w:tcW w:w="1641" w:type="dxa"/>
          </w:tcPr>
          <w:p>
            <w:pPr>
              <w:jc w:val="center"/>
            </w:pPr>
            <w:r>
              <w:rPr>
                <w:b/>
                <w:sz w:val="18"/>
              </w:rPr>
              <w:t>5,400,000</w:t>
            </w:r>
          </w:p>
        </w:tc>
      </w:tr>
    </w:tbl>
    <w:p>
      <w:r>
        <w:t>Licence terms: the platform licence is perpetual and is granted at contract signature; its fee is recovered rateably through the blended milestone schedule and vests fully at Drop 3 acceptance. Should the engagement end before that point, amounts already paid apply first to the licence line and the Client retains the platform as delivered to date. A source-code escrow arrangement is available at the Client’s option. Invoices are payable net 30 days; the 3% AMC escalation applies from Year 2, on each anniversary of the AMC start date.</w:t>
      </w:r>
    </w:p>
    <w:p>
      <w:pPr>
        <w:pStyle w:val="Heading1"/>
      </w:pPr>
      <w:bookmarkStart w:id="12008" w:name="_Toc12008"/>
      <w:r>
        <w:t>5.  Assumptions, exclusions and dependencies</w:t>
      </w:r>
      <w:bookmarkEnd w:id="12008"/>
    </w:p>
    <w:p>
      <w:pPr>
        <w:pStyle w:val="ListBullet"/>
      </w:pPr>
      <w:r>
        <w:t>Prices are in USD, exclusive of VAT and withholding taxes.</w:t>
      </w:r>
    </w:p>
    <w:p>
      <w:pPr>
        <w:pStyle w:val="ListBullet"/>
      </w:pPr>
      <w:r>
        <w:t>Azure subscription and cloud consumption are held by the Client; the model carries an option line should the Client prefer vendor-carried cloud.</w:t>
      </w:r>
    </w:p>
    <w:p>
      <w:pPr>
        <w:pStyle w:val="ListBullet"/>
      </w:pPr>
      <w:r>
        <w:t>Third-party onboarding and usage fees — UAE PASS, ICP, the payment gateway (the RFP names none; provider selection is confirmed at initiation), AIS/LRIT and global PSC data providers — are pass-through at cost.</w:t>
      </w:r>
    </w:p>
    <w:p>
      <w:pPr>
        <w:pStyle w:val="ListBullet"/>
      </w:pPr>
      <w:r>
        <w:t>AI model usage costs (inference) are pass-through; the AMC includes their monitoring, not their consumption.</w:t>
      </w:r>
    </w:p>
    <w:p>
      <w:pPr>
        <w:pStyle w:val="ListBullet"/>
      </w:pPr>
      <w:r>
        <w:t>The Client provides timely access to the systems and authorities the integrations depend on; every integration is stubbed in Drop 1 so build never waits, but live-feed dates gate Drop 2 content.</w:t>
      </w:r>
    </w:p>
    <w:p>
      <w:pPr>
        <w:pStyle w:val="ListBullet"/>
      </w:pPr>
      <w:r>
        <w:t>Effort estimates are indicative pre-detailed-design, as flagged throughout the Technical Approach Document; the fixed price is held by the parameterised model, where scope movement is absorbed by re-reconciliation, not renegotiation, within the stated envelope — movement beyond the envelope follows the change-control procedure agreed at contract.</w:t>
      </w:r>
    </w:p>
    <w:p>
      <w:pPr>
        <w:pStyle w:val="ListBullet"/>
      </w:pPr>
      <w:r>
        <w:t>The +18 and +24-month KPI commitments are instrumented before T0, inside the delivery price; their stewardship beyond AMC Year 1 assumes the AMC is extended — or an equivalent support arrangement is in place — through the KPI horizon.</w:t>
      </w:r>
    </w:p>
    <w:p>
      <w:pPr>
        <w:pStyle w:val="ListBullet"/>
      </w:pPr>
      <w:r>
        <w:t>All demonstration data in the evaluation environment is fictional; real infrastructure and public benchmarks are used where stated.</w:t>
      </w:r>
    </w:p>
    <w:p>
      <w:pPr>
        <w:pStyle w:val="Heading1"/>
      </w:pPr>
      <w:bookmarkStart w:id="12009" w:name="_Toc12009"/>
      <w:r>
        <w:t>6.  Why this offer is credible</w:t>
      </w:r>
      <w:bookmarkEnd w:id="12009"/>
    </w:p>
    <w:p>
      <w:pPr>
        <w:pStyle w:val="ListBullet"/>
      </w:pPr>
      <w:r>
        <w:t>It is inspectable before it is signed — a zero-install demo of the full platform, and two technical documents in which every screenshot is the running build and every countable claim was counted.</w:t>
      </w:r>
    </w:p>
    <w:p>
      <w:pPr>
        <w:pStyle w:val="ListBullet"/>
      </w:pPr>
      <w:r>
        <w:t>The estimate has an audit trail — 944 man-weeks decomposed to line items, reconciled table by table, with counted-once boundaries stated where estimates meet.</w:t>
      </w:r>
    </w:p>
    <w:p>
      <w:pPr>
        <w:pStyle w:val="ListBullet"/>
      </w:pPr>
      <w:r>
        <w:t>The AI is governed, not promised — seven agents already deciding under autonomy levels, thresholds, rate caps and an append-only decision register; the national directive is answered with an operating model, not a roadmap slide.</w:t>
      </w:r>
    </w:p>
    <w:p>
      <w:pPr>
        <w:pStyle w:val="ListBullet"/>
      </w:pPr>
      <w:r>
        <w:t>The plan is built backwards from the RFP’s own clocks — agents live at go-live, prediction accuracy at +12 months, inspection KPIs at +18, coverage at +24 — each with the instrumentation to prove it.</w:t>
      </w:r>
    </w:p>
    <w:p>
      <w:pPr>
        <w:pStyle w:val="ListBullet"/>
      </w:pPr>
      <w:r>
        <w:t>The commercial model is open — one workbook, every parameter editable, the construct re-reconciling to the fixed price as terms are negotiated.</w:t>
      </w:r>
    </w:p>
    <w:p>
      <w:pPr>
        <w:pStyle w:val="Heading1"/>
      </w:pPr>
      <w:bookmarkStart w:id="238746689" w:name="_Toc238746689"/>
      <w:r>
        <w:t>7.  Offer terms, validity and annexures</w:t>
      </w:r>
      <w:bookmarkEnd w:id="238746689"/>
    </w:p>
    <w:p>
      <w:r>
        <w:t>This proposal is issued by the System Integrator — legal entity, registered address and authorised signatory are completed on the issued copy — and is valid for 90 days from the date of issue. Prices are firm for an award within that window; beyond it they are reconfirmed through the same open commercial model rather than re-negotiated. The proposal and its annexures constitute the entire offer, are commercial-in-confidence, and are intended solely for the Client’s evaluation of this procurement. A single point of contact — name, title, e-mail and telephone — is named on the issued copy.</w:t>
      </w:r>
    </w:p>
    <w:tbl>
      <w:tblPr>
        <w:tblStyle w:val="TableGrid"/>
        <w:tblLook w:firstColumn="1" w:firstRow="1" w:lastColumn="0" w:lastRow="0" w:noHBand="0" w:noVBand="1" w:val="04A0"/>
        <w:tblW w:w="9360" w:type="dxa"/>
        <w:tblLayout w:type="fixed"/>
      </w:tblPr>
      <w:tblGrid>
        <w:gridCol w:w="900"/>
        <w:gridCol w:w="6060"/>
        <w:gridCol w:w="2400"/>
      </w:tblGrid>
      <w:tr>
        <w:trPr>
          <w:cantSplit/>
          <w:tblHeader/>
        </w:trPr>
        <w:tc>
          <w:tcPr>
            <w:shd w:val="clear" w:color="auto" w:fill="0E7C86"/>
            <w:tcW w:w="900" w:type="dxa"/>
          </w:tcPr>
          <w:p>
            <w:r>
              <w:rPr>
                <w:b/>
                <w:color w:val="FFFFFF"/>
                <w:sz w:val="18"/>
              </w:rPr>
              <w:t>Annexure</w:t>
            </w:r>
          </w:p>
        </w:tc>
        <w:tc>
          <w:tcPr>
            <w:shd w:val="clear" w:color="auto" w:fill="0E7C86"/>
            <w:tcW w:w="6060" w:type="dxa"/>
          </w:tcPr>
          <w:p>
            <w:r>
              <w:rPr>
                <w:b/>
                <w:color w:val="FFFFFF"/>
                <w:sz w:val="18"/>
              </w:rPr>
              <w:t>Document</w:t>
            </w:r>
          </w:p>
        </w:tc>
        <w:tc>
          <w:tcPr>
            <w:shd w:val="clear" w:color="auto" w:fill="0E7C86"/>
            <w:tcW w:w="2400" w:type="dxa"/>
          </w:tcPr>
          <w:p>
            <w:r>
              <w:rPr>
                <w:b/>
                <w:color w:val="FFFFFF"/>
                <w:sz w:val="18"/>
              </w:rPr>
              <w:t>Version · date</w:t>
            </w:r>
          </w:p>
        </w:tc>
      </w:tr>
      <w:tr>
        <w:trPr>
          <w:cantSplit/>
        </w:trPr>
        <w:tc>
          <w:tcPr>
            <w:tcW w:w="900" w:type="dxa"/>
          </w:tcPr>
          <w:p>
            <w:r>
              <w:rPr>
                <w:b w:val="0"/>
                <w:sz w:val="18"/>
              </w:rPr>
              <w:t>A</w:t>
            </w:r>
          </w:p>
        </w:tc>
        <w:tc>
          <w:tcPr>
            <w:tcW w:w="6060" w:type="dxa"/>
          </w:tcPr>
          <w:p>
            <w:r>
              <w:rPr>
                <w:b w:val="0"/>
                <w:sz w:val="18"/>
              </w:rPr>
              <w:t>Technical Approach Document — Unified Maritime Digital Services Platform</w:t>
            </w:r>
          </w:p>
        </w:tc>
        <w:tc>
          <w:tcPr>
            <w:tcW w:w="2400" w:type="dxa"/>
          </w:tcPr>
          <w:p>
            <w:r>
              <w:rPr>
                <w:b w:val="0"/>
                <w:sz w:val="18"/>
              </w:rPr>
              <w:t>V15 · August 2026</w:t>
            </w:r>
          </w:p>
        </w:tc>
      </w:tr>
      <w:tr>
        <w:trPr>
          <w:cantSplit/>
        </w:trPr>
        <w:tc>
          <w:tcPr>
            <w:tcW w:w="900" w:type="dxa"/>
          </w:tcPr>
          <w:p>
            <w:r>
              <w:rPr>
                <w:b w:val="0"/>
                <w:sz w:val="18"/>
              </w:rPr>
              <w:t>B</w:t>
            </w:r>
          </w:p>
        </w:tc>
        <w:tc>
          <w:tcPr>
            <w:tcW w:w="6060" w:type="dxa"/>
          </w:tcPr>
          <w:p>
            <w:r>
              <w:rPr>
                <w:b w:val="0"/>
                <w:sz w:val="18"/>
              </w:rPr>
              <w:t>Sagar Drishti — Technical Approach Document</w:t>
            </w:r>
          </w:p>
        </w:tc>
        <w:tc>
          <w:tcPr>
            <w:tcW w:w="2400" w:type="dxa"/>
          </w:tcPr>
          <w:p>
            <w:r>
              <w:rPr>
                <w:b w:val="0"/>
                <w:sz w:val="18"/>
              </w:rPr>
              <w:t>V1 · August 2026</w:t>
            </w:r>
          </w:p>
        </w:tc>
      </w:tr>
      <w:tr>
        <w:trPr>
          <w:cantSplit/>
        </w:trPr>
        <w:tc>
          <w:tcPr>
            <w:tcW w:w="900" w:type="dxa"/>
          </w:tcPr>
          <w:p>
            <w:r>
              <w:rPr>
                <w:b w:val="0"/>
                <w:sz w:val="18"/>
              </w:rPr>
              <w:t>C</w:t>
            </w:r>
          </w:p>
        </w:tc>
        <w:tc>
          <w:tcPr>
            <w:tcW w:w="6060" w:type="dxa"/>
          </w:tcPr>
          <w:p>
            <w:r>
              <w:rPr>
                <w:b w:val="0"/>
                <w:sz w:val="18"/>
              </w:rPr>
              <w:t>Commercial model workbook — CommercialModel-V1.xlsx</w:t>
            </w:r>
          </w:p>
        </w:tc>
        <w:tc>
          <w:tcPr>
            <w:tcW w:w="2400" w:type="dxa"/>
          </w:tcPr>
          <w:p>
            <w:r>
              <w:rPr>
                <w:b w:val="0"/>
                <w:sz w:val="18"/>
              </w:rPr>
              <w:t>V1 · August 2026</w:t>
            </w:r>
          </w:p>
        </w:tc>
      </w:tr>
      <w:tr>
        <w:trPr>
          <w:cantSplit/>
        </w:trPr>
        <w:tc>
          <w:tcPr>
            <w:tcW w:w="900" w:type="dxa"/>
          </w:tcPr>
          <w:p>
            <w:r>
              <w:rPr>
                <w:b w:val="0"/>
                <w:sz w:val="18"/>
              </w:rPr>
              <w:t>D</w:t>
            </w:r>
          </w:p>
        </w:tc>
        <w:tc>
          <w:tcPr>
            <w:tcW w:w="6060" w:type="dxa"/>
          </w:tcPr>
          <w:p>
            <w:r>
              <w:rPr>
                <w:b w:val="0"/>
                <w:sz w:val="18"/>
              </w:rPr>
              <w:t>Delta-programme sizing workbook — CostingModel-DeltaProgramme.xlsx (effort-only sizing basis; superseded commercially by this proposal)</w:t>
            </w:r>
          </w:p>
        </w:tc>
        <w:tc>
          <w:tcPr>
            <w:tcW w:w="2400" w:type="dxa"/>
          </w:tcPr>
          <w:p>
            <w:r>
              <w:rPr>
                <w:b w:val="0"/>
                <w:sz w:val="18"/>
              </w:rPr>
              <w:t>V1 · August 2026</w:t>
            </w:r>
          </w:p>
        </w:tc>
      </w:tr>
    </w:tbl>
    <w:p>
      <w:r>
        <w:t>Agreed and accepted:</w:t>
      </w:r>
    </w:p>
    <w:tbl>
      <w:tblPr>
        <w:tblStyle w:val="TableGrid"/>
        <w:tblLook w:firstColumn="1" w:firstRow="1" w:lastColumn="0" w:lastRow="0" w:noHBand="0" w:noVBand="1" w:val="04A0"/>
        <w:tblW w:w="9360" w:type="dxa"/>
        <w:tblLayout w:type="fixed"/>
      </w:tblPr>
      <w:tblGrid>
        <w:gridCol w:w="1560"/>
        <w:gridCol w:w="3900"/>
        <w:gridCol w:w="3900"/>
      </w:tblGrid>
      <w:tr>
        <w:trPr>
          <w:cantSplit/>
          <w:tblHeader/>
        </w:trPr>
        <w:tc>
          <w:tcPr>
            <w:shd w:val="clear" w:color="auto" w:fill="0E7C86"/>
            <w:tcW w:w="1560" w:type="dxa"/>
          </w:tcPr>
          <w:p>
            <w:r>
              <w:rPr>
                <w:b/>
                <w:color w:val="FFFFFF"/>
                <w:sz w:val="18"/>
              </w:rPr>
            </w:r>
          </w:p>
        </w:tc>
        <w:tc>
          <w:tcPr>
            <w:shd w:val="clear" w:color="auto" w:fill="0E7C86"/>
            <w:tcW w:w="3900" w:type="dxa"/>
          </w:tcPr>
          <w:p>
            <w:r>
              <w:rPr>
                <w:b/>
                <w:color w:val="FFFFFF"/>
                <w:sz w:val="18"/>
              </w:rPr>
              <w:t>For the System Integrator</w:t>
            </w:r>
          </w:p>
        </w:tc>
        <w:tc>
          <w:tcPr>
            <w:shd w:val="clear" w:color="auto" w:fill="0E7C86"/>
            <w:tcW w:w="3900" w:type="dxa"/>
          </w:tcPr>
          <w:p>
            <w:r>
              <w:rPr>
                <w:b/>
                <w:color w:val="FFFFFF"/>
                <w:sz w:val="18"/>
              </w:rPr>
              <w:t>For the Client</w:t>
            </w:r>
          </w:p>
        </w:tc>
      </w:tr>
      <w:tr>
        <w:trPr>
          <w:cantSplit/>
        </w:trPr>
        <w:tc>
          <w:tcPr>
            <w:tcW w:w="1560" w:type="dxa"/>
          </w:tcPr>
          <w:p>
            <w:r>
              <w:rPr>
                <w:b w:val="0"/>
                <w:sz w:val="18"/>
              </w:rPr>
              <w:t>Name</w:t>
            </w:r>
          </w:p>
        </w:tc>
        <w:tc>
          <w:tcPr>
            <w:tcW w:w="3900" w:type="dxa"/>
          </w:tcPr>
          <w:p>
            <w:r>
              <w:rPr>
                <w:b w:val="0"/>
                <w:sz w:val="18"/>
              </w:rPr>
            </w:r>
          </w:p>
        </w:tc>
        <w:tc>
          <w:tcPr>
            <w:tcW w:w="3900" w:type="dxa"/>
          </w:tcPr>
          <w:p>
            <w:r>
              <w:rPr>
                <w:b w:val="0"/>
                <w:sz w:val="18"/>
              </w:rPr>
            </w:r>
          </w:p>
        </w:tc>
      </w:tr>
      <w:tr>
        <w:trPr>
          <w:cantSplit/>
        </w:trPr>
        <w:tc>
          <w:tcPr>
            <w:tcW w:w="1560" w:type="dxa"/>
          </w:tcPr>
          <w:p>
            <w:r>
              <w:rPr>
                <w:b w:val="0"/>
                <w:sz w:val="18"/>
              </w:rPr>
              <w:t>Title</w:t>
            </w:r>
          </w:p>
        </w:tc>
        <w:tc>
          <w:tcPr>
            <w:tcW w:w="3900" w:type="dxa"/>
          </w:tcPr>
          <w:p>
            <w:r>
              <w:rPr>
                <w:b w:val="0"/>
                <w:sz w:val="18"/>
              </w:rPr>
            </w:r>
          </w:p>
        </w:tc>
        <w:tc>
          <w:tcPr>
            <w:tcW w:w="3900" w:type="dxa"/>
          </w:tcPr>
          <w:p>
            <w:r>
              <w:rPr>
                <w:b w:val="0"/>
                <w:sz w:val="18"/>
              </w:rPr>
            </w:r>
          </w:p>
        </w:tc>
      </w:tr>
      <w:tr>
        <w:trPr>
          <w:cantSplit/>
        </w:trPr>
        <w:tc>
          <w:tcPr>
            <w:tcW w:w="1560" w:type="dxa"/>
          </w:tcPr>
          <w:p>
            <w:r>
              <w:rPr>
                <w:b w:val="0"/>
                <w:sz w:val="18"/>
              </w:rPr>
              <w:t>Signature</w:t>
            </w:r>
          </w:p>
        </w:tc>
        <w:tc>
          <w:tcPr>
            <w:tcW w:w="3900" w:type="dxa"/>
          </w:tcPr>
          <w:p>
            <w:r>
              <w:rPr>
                <w:b w:val="0"/>
                <w:sz w:val="18"/>
              </w:rPr>
            </w:r>
          </w:p>
        </w:tc>
        <w:tc>
          <w:tcPr>
            <w:tcW w:w="3900" w:type="dxa"/>
          </w:tcPr>
          <w:p>
            <w:r>
              <w:rPr>
                <w:b w:val="0"/>
                <w:sz w:val="18"/>
              </w:rPr>
            </w:r>
          </w:p>
        </w:tc>
      </w:tr>
      <w:tr>
        <w:trPr>
          <w:cantSplit/>
        </w:trPr>
        <w:tc>
          <w:tcPr>
            <w:tcW w:w="1560" w:type="dxa"/>
          </w:tcPr>
          <w:p>
            <w:r>
              <w:rPr>
                <w:b w:val="0"/>
                <w:sz w:val="18"/>
              </w:rPr>
              <w:t>Date</w:t>
            </w:r>
          </w:p>
        </w:tc>
        <w:tc>
          <w:tcPr>
            <w:tcW w:w="3900" w:type="dxa"/>
          </w:tcPr>
          <w:p>
            <w:r>
              <w:rPr>
                <w:b w:val="0"/>
                <w:sz w:val="18"/>
              </w:rPr>
            </w:r>
          </w:p>
        </w:tc>
        <w:tc>
          <w:tcPr>
            <w:tcW w:w="3900" w:type="dxa"/>
          </w:tcPr>
          <w:p>
            <w:r>
              <w:rPr>
                <w:b w:val="0"/>
                <w:sz w:val="18"/>
              </w:rPr>
            </w:r>
          </w:p>
        </w:tc>
      </w:tr>
    </w:tbl>
    <w:sectPr w:rsidR="00AD076D" w:rsidSect="00034616">
      <w:headerReference w:type="even" r:id="rId87"/>
      <w:headerReference w:type="default" r:id="rId88"/>
      <w:footerReference w:type="even" r:id="rId89"/>
      <w:footerReference w:type="default" r:id="rId90"/>
      <w:headerReference w:type="first" r:id="rId91"/>
      <w:footerReference w:type="first" r:id="rId92"/>
      <w:pgSz w:w="11909" w:h="16834"/>
      <w:pgMar w:top="1368"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E89C3D" w14:textId="77777777" w:rsidR="00ED61E2" w:rsidRDefault="00ED61E2">
      <w:pPr>
        <w:spacing w:after="0" w:line="240" w:lineRule="auto"/>
      </w:pPr>
      <w:r>
        <w:separator/>
      </w:r>
    </w:p>
  </w:endnote>
  <w:endnote w:type="continuationSeparator" w:id="0">
    <w:p w14:paraId="71B2A007" w14:textId="77777777" w:rsidR="00ED61E2" w:rsidRDefault="00ED6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440110" w14:textId="77777777" w:rsidR="006B6BF1" w:rsidRDefault="006B6B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E4D81" w14:textId="77777777" w:rsidR="00E3067F" w:rsidRDefault="005010BD">
    <w:pPr>
      <w:pStyle w:val="Footer"/>
      <w:jc w:val="center"/>
    </w:pPr>
    <w:r>
      <w:rPr>
        <w:color w:val="52696F"/>
        <w:sz w:val="16"/>
      </w:rPr>
      <w:t xml:space="preserve">CONFIDENTIAL · Commercial Proposal v1.0   ·   Page </w:t>
    </w:r>
    <w:r>
      <w:rPr>
        <w:color w:val="52696F"/>
        <w:sz w:val="16"/>
      </w:rPr>
      <w:fldChar w:fldCharType="begin"/>
    </w:r>
    <w:r>
      <w:rPr>
        <w:color w:val="52696F"/>
        <w:sz w:val="16"/>
      </w:rPr>
      <w:instrText>PAGE</w:instrText>
    </w:r>
    <w:r>
      <w:rPr>
        <w:color w:val="52696F"/>
        <w:sz w:val="16"/>
      </w:rPr>
      <w:fldChar w:fldCharType="separate"/>
    </w:r>
    <w:r w:rsidR="00EA7088">
      <w:rPr>
        <w:noProof/>
        <w:color w:val="52696F"/>
        <w:sz w:val="16"/>
      </w:rPr>
      <w:t>1</w:t>
    </w:r>
    <w:r>
      <w:rPr>
        <w:color w:val="52696F"/>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8D7004" w14:textId="77777777" w:rsidR="006B6BF1" w:rsidRDefault="006B6B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397B5B" w14:textId="77777777" w:rsidR="00ED61E2" w:rsidRDefault="00ED61E2">
      <w:pPr>
        <w:spacing w:after="0" w:line="240" w:lineRule="auto"/>
      </w:pPr>
      <w:r>
        <w:separator/>
      </w:r>
    </w:p>
  </w:footnote>
  <w:footnote w:type="continuationSeparator" w:id="0">
    <w:p w14:paraId="15FB1C21" w14:textId="77777777" w:rsidR="00ED61E2" w:rsidRDefault="00ED6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1C02DF" w14:textId="77777777" w:rsidR="006B6BF1" w:rsidRDefault="006B6B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D31D1B" w14:textId="77777777" w:rsidR="00E3067F" w:rsidRDefault="005D3026">
    <w:pPr>
      <w:pStyle w:val="Header"/>
      <w:jc w:val="center"/>
    </w:pPr>
    <w:r>
      <w:rPr>
        <w:b/>
        <w:color w:val="B02E2E"/>
        <w:sz w:val="20"/>
      </w:rPr>
      <w:t>CONFIDENTIAL — Commercial Proposal · Unified Maritime Digital Services Platform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2998D5" w14:textId="77777777" w:rsidR="006B6BF1" w:rsidRDefault="006B6B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8903287">
    <w:abstractNumId w:val="8"/>
  </w:num>
  <w:num w:numId="2" w16cid:durableId="1071731996">
    <w:abstractNumId w:val="6"/>
  </w:num>
  <w:num w:numId="3" w16cid:durableId="428284033">
    <w:abstractNumId w:val="5"/>
  </w:num>
  <w:num w:numId="4" w16cid:durableId="602107957">
    <w:abstractNumId w:val="4"/>
  </w:num>
  <w:num w:numId="5" w16cid:durableId="201984491">
    <w:abstractNumId w:val="7"/>
  </w:num>
  <w:num w:numId="6" w16cid:durableId="1242760873">
    <w:abstractNumId w:val="3"/>
  </w:num>
  <w:num w:numId="7" w16cid:durableId="169222340">
    <w:abstractNumId w:val="2"/>
  </w:num>
  <w:num w:numId="8" w16cid:durableId="139077229">
    <w:abstractNumId w:val="1"/>
  </w:num>
  <w:num w:numId="9" w16cid:durableId="8291008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AE0"/>
    <w:rsid w:val="00013FDC"/>
    <w:rsid w:val="00027F65"/>
    <w:rsid w:val="000303C5"/>
    <w:rsid w:val="00030922"/>
    <w:rsid w:val="00034616"/>
    <w:rsid w:val="000501E0"/>
    <w:rsid w:val="0006063C"/>
    <w:rsid w:val="0008131F"/>
    <w:rsid w:val="000D2596"/>
    <w:rsid w:val="000F069F"/>
    <w:rsid w:val="00116832"/>
    <w:rsid w:val="0015074B"/>
    <w:rsid w:val="00152176"/>
    <w:rsid w:val="00195CCB"/>
    <w:rsid w:val="001A3831"/>
    <w:rsid w:val="002245AF"/>
    <w:rsid w:val="00251084"/>
    <w:rsid w:val="00252D14"/>
    <w:rsid w:val="0025777F"/>
    <w:rsid w:val="00264A10"/>
    <w:rsid w:val="002778EC"/>
    <w:rsid w:val="002851F0"/>
    <w:rsid w:val="00285C89"/>
    <w:rsid w:val="0029639D"/>
    <w:rsid w:val="002B3E27"/>
    <w:rsid w:val="002E7CE9"/>
    <w:rsid w:val="00326F90"/>
    <w:rsid w:val="00330D70"/>
    <w:rsid w:val="00341873"/>
    <w:rsid w:val="0037152E"/>
    <w:rsid w:val="00386E4F"/>
    <w:rsid w:val="00397539"/>
    <w:rsid w:val="003C2BDA"/>
    <w:rsid w:val="003D71AC"/>
    <w:rsid w:val="003E0E09"/>
    <w:rsid w:val="003E7E40"/>
    <w:rsid w:val="00420429"/>
    <w:rsid w:val="004344AE"/>
    <w:rsid w:val="004D3A7D"/>
    <w:rsid w:val="004D47BE"/>
    <w:rsid w:val="005010BD"/>
    <w:rsid w:val="005026EA"/>
    <w:rsid w:val="00512034"/>
    <w:rsid w:val="00562B24"/>
    <w:rsid w:val="005A286F"/>
    <w:rsid w:val="005C14B7"/>
    <w:rsid w:val="005D3026"/>
    <w:rsid w:val="005E7281"/>
    <w:rsid w:val="005F7199"/>
    <w:rsid w:val="00606E44"/>
    <w:rsid w:val="00613A05"/>
    <w:rsid w:val="006351E7"/>
    <w:rsid w:val="00643355"/>
    <w:rsid w:val="00644676"/>
    <w:rsid w:val="00645F9F"/>
    <w:rsid w:val="00671575"/>
    <w:rsid w:val="0067708E"/>
    <w:rsid w:val="006B6BF1"/>
    <w:rsid w:val="006F6258"/>
    <w:rsid w:val="00737FE5"/>
    <w:rsid w:val="00745539"/>
    <w:rsid w:val="00772B4C"/>
    <w:rsid w:val="00773E36"/>
    <w:rsid w:val="00795955"/>
    <w:rsid w:val="007D1392"/>
    <w:rsid w:val="007E02E6"/>
    <w:rsid w:val="00805284"/>
    <w:rsid w:val="008150DA"/>
    <w:rsid w:val="008A1291"/>
    <w:rsid w:val="008A7D79"/>
    <w:rsid w:val="008B1945"/>
    <w:rsid w:val="008B439D"/>
    <w:rsid w:val="008B52D3"/>
    <w:rsid w:val="008B6957"/>
    <w:rsid w:val="008C754D"/>
    <w:rsid w:val="009131D4"/>
    <w:rsid w:val="009511F0"/>
    <w:rsid w:val="00960D04"/>
    <w:rsid w:val="00971434"/>
    <w:rsid w:val="009A0A57"/>
    <w:rsid w:val="009B5A00"/>
    <w:rsid w:val="009E6010"/>
    <w:rsid w:val="00A71289"/>
    <w:rsid w:val="00A80285"/>
    <w:rsid w:val="00AA1D8D"/>
    <w:rsid w:val="00AA7353"/>
    <w:rsid w:val="00AA7D3E"/>
    <w:rsid w:val="00AD076D"/>
    <w:rsid w:val="00B1016E"/>
    <w:rsid w:val="00B120AB"/>
    <w:rsid w:val="00B13DA6"/>
    <w:rsid w:val="00B44D6A"/>
    <w:rsid w:val="00B45704"/>
    <w:rsid w:val="00B47730"/>
    <w:rsid w:val="00B64FA6"/>
    <w:rsid w:val="00BC7875"/>
    <w:rsid w:val="00C5508B"/>
    <w:rsid w:val="00C712DD"/>
    <w:rsid w:val="00CA5AD4"/>
    <w:rsid w:val="00CB0664"/>
    <w:rsid w:val="00D0021F"/>
    <w:rsid w:val="00D00E2C"/>
    <w:rsid w:val="00D225E5"/>
    <w:rsid w:val="00D27ECE"/>
    <w:rsid w:val="00D72405"/>
    <w:rsid w:val="00E3067F"/>
    <w:rsid w:val="00E30DA8"/>
    <w:rsid w:val="00E4117E"/>
    <w:rsid w:val="00E6533B"/>
    <w:rsid w:val="00E742C3"/>
    <w:rsid w:val="00E863FD"/>
    <w:rsid w:val="00EA7088"/>
    <w:rsid w:val="00EB0719"/>
    <w:rsid w:val="00EC7678"/>
    <w:rsid w:val="00ED60DC"/>
    <w:rsid w:val="00ED61E2"/>
    <w:rsid w:val="00FA2307"/>
    <w:rsid w:val="00FC693F"/>
    <w:rsid w:val="00FF310A"/>
    <w:rsid w:val="00FF31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FDB2A"/>
  <w14:defaultImageDpi w14:val="300"/>
  <w15:docId w15:val="{5758926D-5CA0-49AD-BB57-32107A830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2262E"/>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E7C86"/>
      <w:sz w:val="32"/>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52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E7C86"/>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2262E"/>
      <w:sz w:val="25"/>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40" w:after="280" w:line="240" w:lineRule="auto"/>
    </w:pPr>
    <w:rPr>
      <w:b/>
      <w:bCs/>
      <w:i/>
      <w:color w:val="52696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A7088"/>
    <w:pPr>
      <w:spacing w:after="100"/>
    </w:pPr>
  </w:style>
  <w:style w:type="paragraph" w:styleId="TOC2">
    <w:name w:val="toc 2"/>
    <w:basedOn w:val="Normal"/>
    <w:next w:val="Normal"/>
    <w:autoRedefine/>
    <w:uiPriority w:val="39"/>
    <w:unhideWhenUsed/>
    <w:rsid w:val="00EA7088"/>
    <w:pPr>
      <w:spacing w:after="100"/>
      <w:ind w:left="210"/>
    </w:pPr>
  </w:style>
  <w:style w:type="character" w:styleId="Hyperlink">
    <w:name w:val="Hyperlink"/>
    <w:basedOn w:val="DefaultParagraphFont"/>
    <w:uiPriority w:val="99"/>
    <w:unhideWhenUsed/>
    <w:rsid w:val="00EA70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9"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footer" Target="footer2.xml"/><Relationship Id="rId93" Type="http://schemas.openxmlformats.org/officeDocument/2006/relationships/fontTable" Target="fontTable.xml"/><Relationship Id="rId3" Type="http://schemas.openxmlformats.org/officeDocument/2006/relationships/styles" Target="styles.xml"/><Relationship Id="rId88" Type="http://schemas.openxmlformats.org/officeDocument/2006/relationships/header" Target="header2.xml"/><Relationship Id="rId9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94" Type="http://schemas.openxmlformats.org/officeDocument/2006/relationships/theme" Target="theme/theme1.xml"/><Relationship Id="rId4" Type="http://schemas.openxmlformats.org/officeDocument/2006/relationships/settings" Target="settings.xml"/><Relationship Id="rId7" Type="http://schemas.openxmlformats.org/officeDocument/2006/relationships/endnotes" Target="endnotes.xml"/><Relationship Id="rId92" Type="http://schemas.openxmlformats.org/officeDocument/2006/relationships/footer" Target="footer3.xml"/><Relationship Id="rId2" Type="http://schemas.openxmlformats.org/officeDocument/2006/relationships/numbering" Target="numbering.xml"/><Relationship Id="rId8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EF294A-84F1-414A-B999-0B550D6EDF2F}">
  <we:reference id="d51ccb01-85e7-42ab-885b-de05c07799f3" version="1.0.0.1" store="EXCatalog" storeType="EXCatalog"/>
  <we:alternateReferences>
    <we:reference id="WA200010453" version="1.0.0.1" store="en-GB" storeType="OMEX"/>
  </we:alternateReferences>
  <we:properties>
    <we:property name="claude.fileId" value="&quot;c6e8b164-d69e-477e-aed2-edb2a3a3f898&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009435AC-7EBC-9245-8CDB-1A862F958AEF}">
  <we:reference id="11d7cf85-ae5a-43b8-bc58-1e1a151cce24" version="1.0.0.1" store="EXCatalog" storeType="EXCatalog"/>
  <we:alternateReferences>
    <we:reference id="WA200010725" version="1.0.0.1" store="en-GB" storeType="OMEX"/>
  </we:alternateReferences>
  <we:properties>
    <we:property name="claude.fileId" value="&quot;09c9b3fe-446c-49e8-8852-6a6da033b06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6</Pages>
  <Words>2604</Word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Sharma</dc:creator>
  <cp:keywords/>
  <cp:lastModifiedBy>Ashish Sharma</cp:lastModifiedBy>
  <cp:revision>142</cp:revision>
  <cp:lastPrinted>2026-08-27T15:18:00Z</cp:lastPrinted>
  <dcterms:created xsi:type="dcterms:W3CDTF">2026-08-28T09:00:00Z</dcterms:created>
  <dcterms:modified xsi:type="dcterms:W3CDTF">2026-08-28T12:00:00Z</dcterms:modified>
  <cp:category/>
  <dc:title>Commercial Proposal — Unified Maritime Digital Services Platform</dc:title>
</cp:coreProperties>
</file>