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qemu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= ATmega328P là mục khớp. §7 TC-SM-06 nhận cả hai đường. Đi cùng TGT-19 v1.2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isa/avr8.yaml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thêm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fallback: qemu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qemu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= ATmega328P là mục khớp. §7 TC-SM-06 nhận cả hai đường. Đi cùng TGT-19 v1.2 (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isa/avr8.yaml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thêm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fallback: qemu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</w:t>
      </w:r>
      <w:r>
        <w:rPr>
          <w:rFonts w:ascii="Consolas" w:cs="Consolas" w:eastAsia="Consolas" w:hAnsi="Consolas"/>
          <w:sz w:val="22"/>
          <w:szCs w:val="22"/>
        </w:rPr>
        <w:t xml:space="preserve">I2CPeripheral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/</w:t>
      </w:r>
      <w:r>
        <w:rPr>
          <w:rFonts w:ascii="Consolas" w:cs="Consolas" w:eastAsia="Consolas" w:hAnsi="Consolas"/>
          <w:sz w:val="22"/>
          <w:szCs w:val="22"/>
        </w:rPr>
        <w:t xml:space="preserve">SPIPeripheral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</w:t>
      </w:r>
      <w:r>
        <w:rPr>
          <w:rFonts w:ascii="Consolas" w:cs="Consolas" w:eastAsia="Consolas" w:hAnsi="Consolas"/>
          <w:sz w:val="22"/>
          <w:szCs w:val="22"/>
        </w:rPr>
        <w:t xml:space="preserve">provisional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</w:t>
      </w:r>
      <w:r>
        <w:rPr>
          <w:rFonts w:ascii="Consolas" w:cs="Consolas" w:eastAsia="Consolas" w:hAnsi="Consolas"/>
          <w:sz w:val="22"/>
          <w:szCs w:val="22"/>
        </w:rPr>
        <w:t xml:space="preserve">captured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(uart.log, gpio.csv, vars.csv, plant.csv) và bảng expect ↔ kết quả; kịch bản dùng lại nguyên vẹn cho HIL (target.observe với kind uart/gpio/probe; </w:t>
      </w:r>
      <w:r>
        <w:rPr>
          <w:rFonts w:ascii="Consolas" w:cs="Consolas" w:eastAsia="Consolas" w:hAnsi="Consolas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probe đọc symbol; </w:t>
      </w:r>
      <w:r>
        <w:rPr>
          <w:rFonts w:ascii="Consolas" w:cs="Consolas" w:eastAsia="Consolas" w:hAnsi="Consolas"/>
          <w:sz w:val="22"/>
          <w:szCs w:val="22"/>
        </w:rPr>
        <w:t xml:space="preserve">plant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qemu-system-avr -M 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theo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fallback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2026-09-24T10:56:21.782Z</dcterms:created>
  <dcterms:modified xsi:type="dcterms:W3CDTF">2026-09-24T10:56:21.782Z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