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40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Ba danh sách trong autonomy.yaml: `trusted_sources` (tên miền), `trusted_packages` (gói công cụ), `lab_boards` (board id). Mỗi thay đổi danh sách là hành động R4 theo cổng riêng: người ký bằng lệnh `eide policy sign` (ghi băm nội dung + user + thời điểm vào decision_log và tệp `.eide/policy.sig`); PolicyGate từ chối nạp danh sách có băm không khớp chữ ký. Đánh dấu board lab (board.mark_lab) yêu cầu người xác nhận hai điều: không có cơ cấu chấp hành nguy hiểm và nguồn có giới hạn dòng.</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45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2026-09-05T23:00:56.088Z</dcterms:created>
  <dcterms:modified xsi:type="dcterms:W3CDTF">2026-09-05T23:00:56.089Z</dcterms:modified>
</cp:coreProperties>
</file>

<file path=docProps/custom.xml><?xml version="1.0" encoding="utf-8"?>
<Properties xmlns="http://schemas.openxmlformats.org/officeDocument/2006/custom-properties" xmlns:vt="http://schemas.openxmlformats.org/officeDocument/2006/docPropsVTypes"/>
</file>