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HỌC VIỆN CÔNG NGHỆ BƯU CHÍNH VIỄN THÔNG · ĐỀ ÁN TỐT NGHIỆP THẠC SĨ KỸ THUẬT ĐIỆN TỬ · EIDE v1.2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sz w:val="36"/>
          <w:szCs w:val="36"/>
        </w:rPr>
        <w:t xml:space="preserve">ĐẶC TẢ GÓI .HKP, REGISTRY VÀ MẪU DỰ ÁN THAM CHIẾU (PKG)</w:t>
      </w:r>
    </w:p>
    <w:p>
      <w:pPr>
        <w:spacing w:after="240"/>
        <w:jc w:val="center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Cấu trúc gói .hkp, schema manifest/badges, ký và kiểm chữ ký, index registry, quy trình publish/pull qua Git, gói mẫu dự án tham chiếu (K5′) và gói công cụ (tool.promote), kiểm license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00"/>
      </w:tblGrid>
      <w:tr>
        <w:trPr>
          <w:tblHeader/>
        </w:trP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Thuộc tính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Giá trị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Mã tài liệu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EIDE-PKG-22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Phiên bản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1.0 — phát hành cùng bộ hồ sơ v1.2 (bổ sung theo Rà soát đủ điều kiện phát triển)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Ngày lập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05/09/2026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Người lập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Vũ Trí Công — học viên cao học (hỗ trợ soạn thảo: Claude)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Người hướng dẫn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TS. Nguyễn Trung Hiếu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Khuôn khổ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Đề án tốt nghiệp Thạc sĩ ngành Kỹ thuật Điện tử — Học viện Công nghệ Bưu chính Viễn thông (PTIT)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Sản phẩm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EIDE (Embedded IDE) — trước đây Hardware Knowledge Workbench (HKW); Knowledge Plane bằng Python; kho mã core dùng chung với EAA-U; bản đầu chạy trên một PC có Internet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Tài liệu trước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EIDE-SRS-02 FR-REG, EIDE-KAD-07 K5′, EIDE-SEC-25 §4, EIDE-CDS-12 tập 5 (registry.*)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Dùng khi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Hiện thực eide.registry; vận hành registry lớp/tổ chức (M4)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Bộ hồ sơ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Nền: EIDE-PDA-00 · URD-01 · SRS-02 · SAD-03 · SDD-04 · STP-05 · BPD-06 · KAD-07 · APD-08 · DPS-09. Bổ sung v1.2: CXD-10 · MEM-11 · CDS-12 (6 tập) · UXD-13 · DDD-14 · API-15 · PRS-16 · POL-17 · TGT-19 · SIM-20 · BEN-21 · PKG-22 · GPI-23 · SEC-25 · DEP-26 · CON-28. Excel: Danh mục năng lực v1.2 · Use case chi tiết v1.2 (UCD-24) · Kế hoạch backlog (PLN-27) · Rà soát đủ điều kiện phát triển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700"/>
        <w:gridCol w:w="2100"/>
        <w:gridCol w:w="4000"/>
      </w:tblGrid>
      <w:tr>
        <w:trPr>
          <w:tblHeader/>
        </w:trP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Phiên bản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Ngày</w:t>
            </w:r>
          </w:p>
        </w:tc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Người sửa</w:t>
            </w:r>
          </w:p>
        </w:tc>
        <w:tc>
          <w:tcPr>
            <w:tcW w:type="dxa" w:w="4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Nội dung thay đổi</w:t>
            </w:r>
          </w:p>
        </w:tc>
      </w:tr>
      <w:t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1.0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05/09/2026</w:t>
            </w:r>
          </w:p>
        </w:tc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Vũ Trí Công</w:t>
            </w:r>
          </w:p>
        </w:tc>
        <w:tc>
          <w:tcPr>
            <w:tcW w:type="dxa" w:w="4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Phát hành lần đầu — bổ sung lĩnh vực L25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1. Cấu trúc gói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&lt;id&gt;-&lt;version&gt;.hkp  (zip)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├── manifest.json            # bắt buộc (schema §2)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├── passport.yaml            # fact + con trỏ nguồn (uri, sha256, locator) — KHÔNG chứa PDF/tài liệu hãng (CR-03)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├── sources.json             # danh sách Source {id, uri, sha256, kind, tier, license}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├── skills/*.md              # K5 (≤ 600 token/skill, front-matter applies_to)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├── bench/                   # tasks.yaml + results/*.json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├── badges.json              # verified_on_board[], bench[]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├── template/                # chỉ kind=template: bom.csv, board.yaml, sim/{platform.repl, plant.yaml, scenarios/}, firmware/ (mã mẫu có eide:fact), README.md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├── tools/                   # chỉ kind=tool: tool.py, spec.json, test_tool.py (tool.promote)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└── SIGNATURE                # minisign/sigstore trên sha256 của mọi tệp (manifest.files[])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2. Schema manifest.json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{ "type": "object", "required": ["id", "version", "kind", "license", "files", "created_at", "author"], "additionalProperties": false, "properties": {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"id": {"type": "string", "pattern": "^[a-z0-9_.-]+$"},  "version": {"type": "string", "pattern": "^\\d+\\.\\d+\\.\\d+$"},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"kind": {"type": "string", "enum": ["passport-chip", "passport-board", "isa", "skill", "template", "tool", "bundle"]},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"title": {"type": "string"}, "description": {"type": "string"}, "license": {"type": "string"}, "author": {"type": "string"}, "org": {"type": "string"},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"created_at": {"type": "string", "format": "date-time"}, "eide_min_version": {"type": "string"},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"depends": {"type": "array", "items": {"type": "string", "pattern": "^[a-z0-9_.-]+@[~^]?\\d+\\.\\d+(\\.\\d+)?$"}},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"parts": {"type": "array", "items": {"type": "string"}}, "isa": {"type": "array", "items": {"type": "string"}},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"files": {"type": "array", "items": {"type": "object", "required": ["path", "sha256", "bytes"], "properties": {"path": {"type": "string"}, "sha256": {"type": "string"}, "bytes": {"type": "integer"}}}},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"facts": {"type": "object", "properties": {"count": {"type": "integer"}, "gold": {"type": "integer"}, "silver": {"type": "integer"}}},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"contains_project_knowledge": {"type": "boolean", "const": false},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"signature": {"type": "object", "properties": {"scheme": {"type": "string", "enum": ["minisign", "sigstore"]}, "key_id": {"type": "string"}}} } }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3. Ký, kiểm, license</w:t>
      </w:r>
    </w:p>
    <w:p>
      <w:pPr>
        <w:spacing w:after="120" w:line="360"/>
        <w:ind w:firstLine="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registry.pack tính sha256 mọi tệp → manifest.files; registry.publish ký `sha256(manifest.json)` bằng minisign (khóa Pack owner) hoặc sigstore keyless [21]; registry.pull kiểm chữ ký với khóa công khai trong `registry/keys/` (trust-on-first-use cho registry lớp; danh sách khóa ký bởi quản trị), so sha256 từng tệp, từ chối gói có license không thuộc allowed_licenses hoặc `contains_project_knowledge=true`, quét passport.yaml không chứa nội dung tài liệu (heuristic: không có đoạn &gt; 200 ký tự từ nguồn PDF). Fact nạp vào L-A (gói chính hãng/ký bởi quản trị) hoặc L-B (cộng đồng), tier kế thừa gói, status reviewed/verified theo badge.</w:t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4. Registry và quy trình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registry/ (kho Git nội bộ, HTTPS hoặc SSH)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├── index.json                 # {packages[]: {id, versions[]: {version, kind, sha256, badges, published_at, author}}} — sinh bởi CI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├── packages/&lt;id&gt;/&lt;id&gt;-&lt;ver&gt;.hkp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├── keys/*.pub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└── README.md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publish (nội bộ): registry.pack → policy G5 → ký → git push nhánh pub/&lt;id&gt;-&lt;ver&gt; → CI kiểm chữ ký/license/schema → merge → index.json cập nhật → ghi tác giả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publish (công khai): như trên nhưng G5 luôn ASK + rà pháp lý license tài liệu hãng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pull: GET index.json (cache 1 h) → chọn phiên bản theo pin (^1.2) → tải .hkp → kiểm → nạp → ghi constraints.yaml pins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seed: registry.seed → gói kind passport-chip, badge unverified, author "seed:cmsis-svd" — 640 chip M0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5. Gói mẫu dự án tham chiếu (K5′) và gói công cụ</w:t>
      </w:r>
    </w:p>
    <w:p>
      <w:pPr>
        <w:spacing w:after="120" w:line="360"/>
        <w:ind w:firstLine="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Template (`kind=template`, ví dụ `eide.ref.balancing-robot@1.2.0`): depends tới hộ chiếu chip/part; `template/bom.csv` (ref, MPN, value, qty); `board.yaml` (net, pin, bus, địa chỉ — dạng BoardPassport); `sim/` (platform, plant.yaml với tham số có nguồn và cờ provisional, kịch bản); `firmware/` mã mẫu đã chạy (mọi hằng số có eide:fact trỏ fact của gói); `README.md` mục tiêu và Feature gợi ý; badges verified_on_board bắt buộc để hiện ở Z-03. Gói công cụ (`kind=tool`, từ tool.promote): tool.py + spec.json (effects) + test; khi pull, đăng ký như năng lực chính thức trong namespace ghi ở spec sau khi Pack owner duyệt.</w:t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6. Kiểm thử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400"/>
        <w:gridCol w:w="3700"/>
        <w:gridCol w:w="1200"/>
      </w:tblGrid>
      <w:tr>
        <w:trPr>
          <w:tblHeader/>
        </w:trP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TC</w:t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Mục tiêu</w:t>
            </w:r>
          </w:p>
        </w:tc>
        <w:tc>
          <w:tcPr>
            <w:tcW w:type="dxa" w:w="3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Kỳ vọng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Mức</w:t>
            </w:r>
          </w:p>
        </w:tc>
      </w:tr>
      <w:t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TC-PK-01</w:t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Manifest và chữ ký</w:t>
            </w:r>
          </w:p>
        </w:tc>
        <w:tc>
          <w:tcPr>
            <w:tcW w:type="dxa" w:w="3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Gói hợp lệ pull được; sửa 1 byte → verify thất bại; thiếu license → từ chối (TC-41)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L1</w:t>
            </w:r>
          </w:p>
        </w:tc>
      </w:tr>
      <w:t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TC-PK-02</w:t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Không chứa tài liệu hãng</w:t>
            </w:r>
          </w:p>
        </w:tc>
        <w:tc>
          <w:tcPr>
            <w:tcW w:type="dxa" w:w="3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passport.yaml chứa đoạn văn 300 ký tự từ PDF → registry.pack từ chối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L1</w:t>
            </w:r>
          </w:p>
        </w:tc>
      </w:tr>
      <w:t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TC-PK-03</w:t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Template</w:t>
            </w:r>
          </w:p>
        </w:tc>
        <w:tc>
          <w:tcPr>
            <w:tcW w:type="dxa" w:w="3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Pull eide.ref.balancing-robot → project.create từ mẫu → sim chạy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L2</w:t>
            </w:r>
          </w:p>
        </w:tc>
      </w:tr>
      <w:t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TC-PK-04</w:t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Gói công cụ</w:t>
            </w:r>
          </w:p>
        </w:tc>
        <w:tc>
          <w:tcPr>
            <w:tcW w:type="dxa" w:w="3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tool.promote → gói kind=tool → pull ở dự án khác → năng lực gọi được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L2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Tài liệu tham khảo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[1] V. T. Công, "EIDE-PDA-00 — Phân tích thiết kế sản phẩm EIDE v1.1 (trước đây HKW-PDA-00),"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[2] V. T. Công, "Embedded AIDD Agent (EAA) — bộ hồ sơ v1.0 và mã nguồn," GitHub mobiluckvn/Agent, 2026. [Online]. Available: https://github.com/mobiluckvn/Agent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[3] V. T. Công, "Phân tích thiết kế Agent — Kiến trúc agent đa mô hình cho lập trình nhúng (EAA-U) v0.1,"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[4] ISO/IEC/IEEE 29148:2018, "Systems and software engineering — Requirements engineering," 2018.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[5] ISO/IEC/IEEE 42010:2022, "Software, systems and enterprise — Architecture description," 2022.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[6] IEEE Std 1016-2009, "IEEE Standard for Information Technology — Systems Design — Software Design Descriptions," 2009.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[7] ISO/IEC/IEEE 29119-3:2021, "Software testing — Part 3: Test documentation," 2021.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[8] Arm, "CMSIS-SVD: System View Description," Open-CMSIS-Pack. [Online]. Available: https://open-cmsis-pack.github.io/svd-spec/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[9] Microchip Technology, "Microchip Packs Repository (Device Family Packs, ATDF)." [Online]. Available: https://packs.download.microchip.com/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[10] Zephyr Project, "Devicetree bindings," Zephyr Documentation. [Online]. Available: https://docs.zephyrproject.org/latest/build/dts/bindings.html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[11] IBM, "Docling — document conversion toolkit," GitHub. [Online]. Available: https://github.com/docling-project/docling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[12] KiCad, "kicad-cli — command line interface," KiCad 8 Documentation. [Online]. Available: https://docs.kicad.org/8.0/en/cli/cli.html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[13] Anthropic, "Model Context Protocol — specification," 2025–2026. [Online]. Available: https://modelcontextprotocol.io/specification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[14] Adancurusul, "embedded-debugger-mcp," GitHub, 2026. [Online]. Available: https://github.com/adancurusul/embedded-debugger-mcp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[15] Espressif Systems, "ESP-IDF Tools Local MCP Server," Developer Portal, Apr. 2026. [Online]. Available: https://developer.espressif.com/blog/2026/04/esp-idf-tools-mcp-server/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[16] Nordic Semiconductor, "AI-assisted development the Nordic way," Nordic DevZone Blog, Jun. 2026. [Online]. Available: https://devzone.nordicsemi.com/nordic/nordic-blog/b/blog/posts/bringing-ai-assisted-development-to-nrf-connect-sdk-and-nrf-cloud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[17] "Skilled AI Agents for Embedded and IoT Systems Development," arXiv:2603.19583, Mar. 2026. [Online]. Available: https://arxiv.org/html/2603.19583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[18] Anthropic, "Effective harnesses for long-running agents," Anthropic Engineering. [Online]. Available: https://www.anthropic.com/engineering/effective-harnesses-for-long-running-agents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[19] Logic, "Structured outputs: JSON Schema, OpenAI, Claude, Gemini," 2026. [Online]. Available: https://logic.inc/resources/structured-outputs-guide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[20] Antmicro, "Renode — open source simulation framework." [Online]. Available: https://renode.io/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[21] Sigstore, "Sigstore — signing and provenance for software artifacts." [Online]. Available: https://www.sigstore.dev/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[22] Embedder, "Embedder | Enterprise AI Platform for Embedded Software," 2026. [Online]. Available: https://embedder.com/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[23] sigrok, "sigrok-cli and libsigrokdecode." [Online]. Available: https://sigrok.org/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[24] JSON Schema, "JSON Schema Specification 2020-12." [Online]. Available: https://json-schema.org/specification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[25] V. T. Công, "EIDE — Danh mục năng lực đầy đủ v1.1 (EIDE_Danh_muc_Nang_luc.xlsx): 228 năng lực, 26 nhóm,"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[26] V. T. Công, "EIDE-APD-08 — Chính sách tự chủ của tác tử và cổng người thích ứng v1.1,"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[27] V. T. Công, "EIDE-DPS-09 — Chính sách hội thoại và suy luận ý định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[28] V. T. Công, "EIDE — Use case chi tiết (EIDE_Use_Case_Chi_Tiet.xlsx): 45 use case, 3 mức tự chủ, kịch bản hội thoại,"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[29] Anthropic, "Building Effective AI Agents," Anthropic Engineering. [Online]. Available: https://www.anthropic.com/engineering/building-effective-agents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[30] R. Parasuraman, T. B. Sheridan, and C. D. Wickens, "A model for types and levels of human interaction with automation," IEEE Trans. Syst., Man, Cybern. A, vol. 30, no. 3, pp. 286–297, 2000.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[31] Mermaid, "Mermaid — diagramming and charting tool." [Online]. Available: https://mermaid.js.org/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[32] PlantUML, "PlantUML language reference guide." [Online]. Available: https://plantuml.com/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[33] Graphviz, "DOT language." [Online]. Available: https://graphviz.org/doc/info/lang.html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[34] Terrastruct, "D2 — declarative diagramming language." [Online]. Available: https://d2lang.com/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[35] WaveDrom, "WaveDrom — digital timing diagram everywhere." [Online]. Available: https://wavedrom.com/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[36] S. Brown, "The C4 model for visualising software architecture." [Online]. Available: https://c4model.com/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[37] D. Edge et al., "From Local to Global: A Graph RAG Approach to Query-Focused Summarization," arXiv:2404.16130, 2024.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[38] D. Nardi et al., "Architecture Decision Records (ADR)," adr.github.io. [Online]. Available: https://adr.github.io/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[39] libusb / pyserial / probe-rs, "Device enumeration and probe discovery APIs." [Online]. Available: https://probe.rs/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[40] Anthropic, "Effective context engineering for AI agents," Anthropic Engineering, 2025. [Online]. Available: https://www.anthropic.com/engineering/effective-context-engineering-for-ai-agents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[41] Anthropic, "Prompt caching," Claude Developer Platform documentation. [Online]. Available: https://docs.claude.com/en/docs/build-with-claude/prompt-caching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[42] Google, "Context caching," Gemini API documentation. [Online]. Available: https://ai.google.dev/gemini-api/docs/caching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[43] OpenAI, "Prompt caching," OpenAI Platform documentation. [Online]. Available: https://platform.openai.com/docs/guides/prompt-caching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[44] T. R. Sumers, S. Yao, K. Narasimhan, and T. L. Griffiths, "Cognitive Architectures for Language Agents (CoALA)," arXiv:2309.02427, 2023.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[45] C. Packer et al., "MemGPT: Towards LLMs as Operating Systems," arXiv:2310.08560, 2023.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[46] J. S. Park et al., "Generative Agents: Interactive Simulacra of Human Behavior," in Proc. UIST, 2023.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[47] N. F. Liu et al., "Lost in the Middle: How Language Models Use Long Contexts," Trans. ACL, vol. 12, 2024.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[48] P. Lewis et al., "Retrieval-Augmented Generation for Knowledge-Intensive NLP Tasks," in Proc. NeurIPS, 2020.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[49] OpenRPC, "OpenRPC Specification 1.3." [Online]. Available: https://spec.open-rpc.org/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[50] JSON-RPC Working Group, "JSON-RPC 2.0 Specification," 2010. [Online]. Available: https://www.jsonrpc.org/specification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[51] OWASP, "OWASP Top 10 for Large Language Model Applications," 2025. [Online]. Available: https://owasp.org/www-project-top-10-for-large-language-model-applications/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[52] buserror, "simavr — a lean AVR simulator," GitHub. [Online]. Available: https://github.com/buserror/simavr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[53] QEMU Project, "QEMU system emulation targets (Arm, RISC-V, Xtensa)." [Online]. Available: https://www.qemu.org/docs/master/system/targets.html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[54] J. Nielsen, "10 Usability Heuristics for User Interface Design," Nielsen Norman Group, 1994 (cập nhật 2024).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[55] Apple, "Human Interface Guidelines — macOS," Apple Developer. [Online]. Available: https://developer.apple.com/design/human-interface-guidelines/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[56] W3C, "Web Content Accessibility Guidelines (WCAG) 2.2," W3C Recommendation, 2023.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[57] V. T. Công, "EIDE-CXD-10 — Kiến trúc ngữ cảnh cho tác tử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[58] V. T. Công, "EIDE-MEM-11 — Kiến trúc bộ nhớ tác tử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[59] V. T. Công, "EIDE-CDS-12 — Đặc tả chi tiết năng lực (6 tập)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[60] V. T. Công, "EIDE-UXD-13 — Đặc tả UI/UX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[61] V. T. Công, "EIDE-DDD-14 — Từ điển dữ liệu, DDL và di trú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[62] V. T. Công, "EIDE-API-15 — Đặc tả giao diện lập trình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[63] V. T. Công, "EIDE-PRS-16 — Prompt, vai trò LLM và skill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[64] V. T. Công, "EIDE-POL-17 — Quy tắc chính sách tự chủ máy đọc được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[65] V. T. Công, "EIDE-TGT-19 — ISA profile, toolchain, adapter target và discovery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[66] V. T. Công, "EIDE-SIM-20 — Thiết kế mô phỏng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[67] V. T. Công, "EIDE-Rà soát đủ điều kiện phát triển (EIDE_Ra_soat_Du_dieu_kien_Phat_trien.xlsx),"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[68] Anthropic, "Claude Code documentation — memory (CLAUDE.md), slash commands, hooks, settings," Claude Docs, 2026. [Online]. Available: https://docs.claude.com/en/docs/claude-code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color w:val="595959"/>
        <w:sz w:val="20"/>
        <w:szCs w:val="20"/>
      </w:rPr>
      <w:t xml:space="preserve">EIDE — Bộ hồ sơ thiết kế v1.2 · Trang </w:t>
    </w:r>
    <w:r>
      <w:rPr>
        <w:rFonts w:ascii="Times New Roman" w:cs="Times New Roman" w:eastAsia="Times New Roman" w:hAnsi="Times New Roman"/>
        <w:color w:val="595959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imes New Roman" w:cs="Times New Roman" w:eastAsia="Times New Roman" w:hAnsi="Times New Roman"/>
        <w:i/>
        <w:iCs/>
        <w:color w:val="595959"/>
        <w:sz w:val="20"/>
        <w:szCs w:val="20"/>
      </w:rPr>
      <w:t xml:space="preserve">EIDE-PKG-22 · Đặc tả gói và registry · v1.0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567" w:hanging="283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6"/>
        <w:szCs w:val="26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Times New Roman" w:cs="Times New Roman" w:eastAsia="Times New Roman" w:hAnsi="Times New Roman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Times New Roman" w:cs="Times New Roman" w:eastAsia="Times New Roman" w:hAnsi="Times New Roman"/>
      <w:b/>
      <w:bCs/>
      <w:color w:val="1F3864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Times New Roman" w:cs="Times New Roman" w:eastAsia="Times New Roman" w:hAnsi="Times New Roman"/>
      <w:b/>
      <w:bCs/>
      <w:i/>
      <w:iCs/>
      <w:color w:val="1F3864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ĐẶC TẢ GÓI .HKP, REGISTRY VÀ MẪU DỰ ÁN THAM CHIẾU (PKG)</dc:title>
  <dc:creator>Vũ Trí Công</dc:creator>
  <cp:lastModifiedBy>Un-named</cp:lastModifiedBy>
  <cp:revision>1</cp:revision>
  <dcterms:created xsi:type="dcterms:W3CDTF">2026-09-07T03:46:34.696Z</dcterms:created>
  <dcterms:modified xsi:type="dcterms:W3CDTF">2026-09-07T03:46:34.696Z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