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 (bổ sung kiến trúc Agent Pack Phase 5)</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Pack (Phase 5): plugin RIÊNG, mô hình BYOK — key trong Keychain, agent hành động qua Editor API, mọi ghi qua DiffGate</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agent vào lõi; MOBILUCK host proxy/model; dùng agent framework ngoài (LangChain…)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BYOK: không chi phí hạ tầng, không chịu billing, giữ cam kết dữ-liệu-không-qua-MOBILUCK (NFR-AGT-03). Editor API làm bộ tool có sẵn → agent thao tác file GB qua chỉ mục thay vì context (lợi thế cấu trúc). Framework ngoài bị loại vì kéo runtime nặng + đổi API nhanh; adapter mỏng tự viết chuẩn Anthropic/OpenAI-compatible đủ dùng. Hệ quả: Keychain là ngoại lệ duy nhất của ADR-09; danh sách model là dữ liệu cấu hình; orchestrator chạy XPC; ranh giới: không embedding server/vector DB/hosting, không định vị coding assistant.</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render DOT/Mermaid; cầu chọn-đồng-bộ node ↔ range văn bản qua API selection; export PNG/SVG</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r>
        <w:br w:type="page"/>
      </w:r>
    </w:p>
    <w:p>
      <w:pPr>
        <w:pStyle w:val="Heading1"/>
        <w:spacing w:after="160" w:before="300"/>
      </w:pPr>
      <w:r>
        <w:rPr>
          <w:rFonts w:ascii="Calibri" w:cs="Calibri" w:eastAsia="Calibri" w:hAnsi="Calibri"/>
          <w:b/>
          <w:bCs/>
          <w:color w:val="A34309"/>
          <w:sz w:val="32"/>
          <w:szCs w:val="32"/>
        </w:rPr>
        <w:t xml:space="preserve">10. Kiến trúc mở rộng: Agent Pack (Phase 5)</w:t>
      </w:r>
    </w:p>
    <w:p>
      <w:pPr>
        <w:spacing w:after="120" w:line="276"/>
      </w:pPr>
      <w:r>
        <w:rPr>
          <w:rFonts w:ascii="Calibri" w:cs="Calibri" w:eastAsia="Calibri" w:hAnsi="Calibri"/>
          <w:sz w:val="22"/>
          <w:szCs w:val="22"/>
        </w:rPr>
        <w:t xml:space="preserve">Đáp ứng SRS Phụ lục E (FR-AGT-1001…1010, NFR-AGT-01…04). Quyết định nền tảng: ADR-12 — Agent Pack là plugin riêng theo mô hình BYOK; agent là MỘT CLIENT MỚI của Editor API Facade, không có đường đọc/ghi riêng nào vào buffer.</w:t>
      </w:r>
    </w:p>
    <w:p>
      <w:pPr>
        <w:spacing w:after="60" w:before="120"/>
        <w:jc w:val="center"/>
      </w:pPr>
      <w:r>
        <w:drawing>
          <wp:inline distT="0" distB="0" distL="0" distR="0">
            <wp:extent cx="5762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6 — Vòng lặp agent: yêu cầu NL → orchestrator (XPC) → provider BYOK; tool call quay về Editor API; mọi ghi qua ba lớp phanh</w:t>
      </w:r>
    </w:p>
    <w:p>
      <w:pPr>
        <w:pStyle w:val="Heading2"/>
        <w:spacing w:after="120" w:before="240"/>
      </w:pPr>
      <w:r>
        <w:rPr>
          <w:rFonts w:ascii="Calibri" w:cs="Calibri" w:eastAsia="Calibri" w:hAnsi="Calibri"/>
          <w:b/>
          <w:bCs/>
          <w:color w:val="A34309"/>
          <w:sz w:val="26"/>
          <w:szCs w:val="26"/>
        </w:rPr>
        <w:t xml:space="preserve">10.1.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KeychainStore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API key qua Security framework; file cấu hình chỉ giữ tham chiếu (provider id + account); API không bao giờ trả key ra tầng log/export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 NFR-AGT-01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ProviderAdapter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Adapter mỏng chuẩn Anthropic API + OpenAI-compatible + Gemini + Ollama; streaming SSE; danh sách model đọc từ file cấu hình cập nhật được</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FR-AGT-1001/1002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AgentOrchestrator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lặp hội thoại + tool-calling; giới hạn bước/phiên; đếm token; dừng khi vượt ngân sách; crash chỉ chết service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FR-AGT-1004/1008, NFR-AGT-04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ToolBridge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bộ tool từ Editor API (search, csv, sql, jsonl, graph, document-đọc); mọi tool ghi chuyển hướng bắt buộc sang DiffGate; kiểm quyền qua Permission Broker trước mỗi call</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DiffGate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Gom mọi đề xuất ghi thành changeset; render bằng khuôn preview dry-run của Replace in Files; áp dụng = applyEdits một bước undo; auto-approve trong ngưỡng cấu 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SessionCheckpoint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 tài liệu liên quan trước phiên (tái dùng SnapshotStore); "Hoàn tác cả phiên" phát lại trạng thái checkpoint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CostMeter + AuditLog</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vào/ra realtime, chi phí ước tính theo bảng giá cấu hình; audit JSONL mọi tool call (tham số đã che key); export được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ReplayCompiler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tool call của phiên thành công → sinh script JavaScriptCore chạy lại không cần LLM; lưu vào menu Scripts, chạy được batch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AgentPanel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phải: ngữ cảnh đính kèm, streaming, log tool call, thẻ diff, đồng hồ chi phí</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r>
    </w:tbl>
    <w:p>
      <w:pPr>
        <w:pStyle w:val="Heading2"/>
        <w:spacing w:after="120" w:before="240"/>
      </w:pPr>
      <w:r>
        <w:rPr>
          <w:rFonts w:ascii="Calibri" w:cs="Calibri" w:eastAsia="Calibri" w:hAnsi="Calibri"/>
          <w:b/>
          <w:bCs/>
          <w:color w:val="A34309"/>
          <w:sz w:val="26"/>
          <w:szCs w:val="26"/>
        </w:rPr>
        <w:t xml:space="preserve">10.2. Bất biến kiến trúc của Pack</w:t>
      </w:r>
    </w:p>
    <w:p>
      <w:pPr>
        <w:pStyle w:val="ListParagraph"/>
        <w:numPr>
          <w:ilvl w:val="0"/>
          <w:numId w:val="2"/>
        </w:numPr>
        <w:spacing w:after="60" w:line="264"/>
      </w:pPr>
      <w:r>
        <w:rPr>
          <w:rFonts w:ascii="Calibri" w:cs="Calibri" w:eastAsia="Calibri" w:hAnsi="Calibri"/>
          <w:sz w:val="22"/>
          <w:szCs w:val="22"/>
        </w:rPr>
        <w:t xml:space="preserve">Key không bao giờ chạm đĩa ngoài Keychain: test tự động quét settings/export/log/crash-dump là bước chặn phát hành Pack (NFR-AGT-01, TC-AGT-01).</w:t>
      </w:r>
    </w:p>
    <w:p>
      <w:pPr>
        <w:pStyle w:val="ListParagraph"/>
        <w:numPr>
          <w:ilvl w:val="0"/>
          <w:numId w:val="2"/>
        </w:numPr>
        <w:spacing w:after="60" w:line="264"/>
      </w:pPr>
      <w:r>
        <w:rPr>
          <w:rFonts w:ascii="Calibri" w:cs="Calibri" w:eastAsia="Calibri" w:hAnsi="Calibri"/>
          <w:sz w:val="22"/>
          <w:szCs w:val="22"/>
        </w:rPr>
        <w:t xml:space="preserve">Không đường tắt vào buffer: agent chỉ thấy thế giới qua Editor API — nhờ đó mọi cơ chế an toàn (undo, atomic save, LFM, quyền) áp dụng tự động; với file GB, tool trả kết quả đã lọc, payload gửi provider có trần cấu hình được.</w:t>
      </w:r>
    </w:p>
    <w:p>
      <w:pPr>
        <w:pStyle w:val="ListParagraph"/>
        <w:numPr>
          <w:ilvl w:val="0"/>
          <w:numId w:val="2"/>
        </w:numPr>
        <w:spacing w:after="60" w:line="264"/>
      </w:pPr>
      <w:r>
        <w:rPr>
          <w:rFonts w:ascii="Calibri" w:cs="Calibri" w:eastAsia="Calibri" w:hAnsi="Calibri"/>
          <w:sz w:val="22"/>
          <w:szCs w:val="22"/>
        </w:rPr>
        <w:t xml:space="preserve">Egress duy nhất là endpoint provider người dùng chọn; chế độ Ollama/local hoạt động không kết nối ngoài (NFR-AGT-03); zero-cost khi tắt cùng khuôn NFR-KNW-01.</w:t>
      </w:r>
    </w:p>
    <w:p>
      <w:pPr>
        <w:pStyle w:val="ListParagraph"/>
        <w:numPr>
          <w:ilvl w:val="0"/>
          <w:numId w:val="2"/>
        </w:numPr>
        <w:spacing w:after="60" w:line="264"/>
      </w:pPr>
      <w:r>
        <w:rPr>
          <w:rFonts w:ascii="Calibri" w:cs="Calibri" w:eastAsia="Calibri" w:hAnsi="Calibri"/>
          <w:sz w:val="22"/>
          <w:szCs w:val="22"/>
        </w:rPr>
        <w:t xml:space="preserve">Không phá ranh giới ADR-11: Knowledge Pack vẫn không gọi LLM; Agent Pack gọi LLM nhưng không chứa embedding server/vector DB/hosting.</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image" Target="media/2c64690973298616dd6887b637e471b491d8309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2026-08-20T09:47:26.756Z</dcterms:created>
  <dcterms:modified xsi:type="dcterms:W3CDTF">2026-08-20T09:47:26.757Z</dcterms:modified>
</cp:coreProperties>
</file>

<file path=docProps/custom.xml><?xml version="1.0" encoding="utf-8"?>
<Properties xmlns="http://schemas.openxmlformats.org/officeDocument/2006/custom-properties" xmlns:vt="http://schemas.openxmlformats.org/officeDocument/2006/docPropsVTypes"/>
</file>