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2.0 (mở rộng Knowledge Pack: GraphQueryEngine/GraphAlgos/RetrievalLab)</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 .greport.md (frontmatter + fenced block query/chart); điều phối QueryWorkbench (phiên read-only) và ChartRenderer; cache kết quả block theo hash(query + mtime/kích thước nguồn) — chỉ chạy lại block có nguồn đổi (NFR-RPT-01)</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FR-RPT-001/003/004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Preview trên khuôn WKWebView của Markdown (FR-FMT-506); xuất HTML tự chứa (SVG inline + CSS nội tuyến), PDF qua NSPrintOperation với page-break hints — đóng khoảng trống FR-DOC-313, và Markdown thuần; theme chart preset + custom JSON</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BatchReporter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Lặp danh sách tham số (CSV/JSON) → gọi ReportEngine từng bộ; dùng chung khuôn báo cáo thành công/lỗi từng file của RecipeEngine; chạy từ UI và CLI geditor --report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MiningEngine (GEditorCore)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cổ điển TỰ CÀI ĐẶT C++/Swift, không dependency ML: z-score/IQR/MAD + Mahalanobis (anomaly); k-means++ O(n·k·i·d) và DBSCAN với grid index O(n log n); Apriori hash-tree có cắt tỉa; decomposition MA + Holt-Winters (add/mult) + baseline naive; Pearson/Spearman một lượt quét (Welford); n-gram/TF-IDF với tokenizer âm tiết Việt. Đọc cột qua buffer columnar từ chỉ mục CSVEngine/DuckDB — không nhân bản file; chạy GCD concurrentPerform theo chunk; seed cố định (NFR-MIN-02); cooperative cancellation ≤ 200 ms; bộ nhớ ≤ 2× cột tham gia (NFR-MIN-01)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MiningAssistant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Sheet tham số theo phương pháp với GỢI Ý TỰ ĐỘNG vẽ tại chỗ: elbow WCSS (chọn k), k-distance plot (chọn eps), ACF (chu kỳ mùa vụ), skewness (khuyên MAD thay z-score); preview số dòng khớp realtime khi kéo ngưỡng; kết quả đổ về 3 đích: Mark engine (đánh dấu ngược file gốc), tab mới (nhãn/điểm/bảng luật), Quick Charts (scatter cụm, heatmap, dự báo + dải tin cậy); mọi output kèm khối 'Phương pháp' tự sinh (NFR-MIN-04)</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```mining (.greport.md)</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 gọi MiningEngine qua spec YAML (method, cols, params, seed) — khai phá vào báo cáo tái lập được, cache theo hash như block query; khối Phương pháp tự chèn dưới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 + FR-RPT-001</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GraphQueryEngine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openCypher tập con → AST → SQL DuckDB trên bảng node/edge dựng bởi TripleTableAdapter; SQL sinh luôn hiển thị (khuôn Pivot); giới hạn hop cứng + ước lượng chi phí trước khi chạy (cảnh báo pattern nổ tổ hợp); kết quả bind ngược tô sáng Graph Preview qua id node/cạnh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 NFR-KNW-03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GraphAlgos</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BFS/Dijkstra, connected components, PageRank, Louvain — tự cài đặt C++ trên adjacency CSR dựng một lần từ edge list (cache theo hash nguồn, tái dùng giữa các lần chạy); chuẩn MiningEngine: tất định, cooperative cancellation, khối Phương pháp; đầu ra bảng + thuộc tính render (size/màu) cho Preview</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 NFR-KNW-03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GraphAuthoring + RefactorEngine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preview (thêm/sửa/xóa node-cạnh) → text edits qua applyEdits giữ format hiện hành, 1 undo/thao tác; refactor (rename toàn cục, merge có khử cạnh trùng, split, extract subgraph) sinh changeset duyệt qua khuôn diff của Replace in Files — buffer là nguồn sự thật duy nhất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FR-KNW-915/916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SchemaValidator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YAML (loại node, cạnh hợp lệ theo cặp loại, thuộc tính bắt buộc/kiểu) → bộ luật; validate streaming toàn đồ thị, lỗi ánh xạ về dòng định nghĩa; template schema mẫu đóng gói cùng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RetrievalLab</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inverted index ghi cạnh corpus (file mở, vô hiệu theo mtime), tokenizer Việt dùng chung MiningEngine; EvalRunner: golden set → recall@k/MRR/nDCG (đối chứng được, sai số ≤1e-9); ExternalScoreImporter: nhập điểm pipeline ngoài để so sánh — app không tính vector; ContextPackager: seed entity → subgraph k-hop (GraphAlgos) + chunks liên quan → JSONL theo spec phụ lục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FR-KNW-918…921, NFR-KNW-04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pStyle w:val="ListParagraph"/>
        <w:numPr>
          <w:ilvl w:val="0"/>
          <w:numId w:val="2"/>
        </w:numPr>
        <w:spacing w:after="60" w:line="264"/>
      </w:pPr>
      <w:r>
        <w:rPr>
          <w:rFonts w:ascii="Calibri" w:cs="Calibri" w:eastAsia="Calibri" w:hAnsi="Calibri"/>
          <w:sz w:val="22"/>
          <w:szCs w:val="22"/>
        </w:rPr>
        <w:t xml:space="preserve">Mở rộng Graph/RAG (FR-KNW-913…921) giữ nguyên ranh giới: truy vấn Graph dịch sang SQL (không nhúng graph DB); BM25 là thuật toán cổ điển tự cài đặt (không embedding, không vector index); điểm vector chỉ NHẬP từ ngoài để so sánh. Toàn bộ theo chuẩn MiningEngine: tất định, hủy được, giải thích được.</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2026-08-20T14:35:14.957Z</dcterms:created>
  <dcterms:modified xsi:type="dcterms:W3CDTF">2026-08-20T14:35:14.957Z</dcterms:modified>
</cp:coreProperties>
</file>

<file path=docProps/custom.xml><?xml version="1.0" encoding="utf-8"?>
<Properties xmlns="http://schemas.openxmlformats.org/officeDocument/2006/custom-properties" xmlns:vt="http://schemas.openxmlformats.org/officeDocument/2006/docPropsVTypes"/>
</file>