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Times New Roman" w:cs="Times New Roman" w:eastAsia="Times New Roman" w:hAnsi="Times New Roman"/>
          <w:b/>
          <w:bCs/>
          <w:color w:val="1F3864"/>
          <w:sz w:val="28"/>
          <w:szCs w:val="28"/>
        </w:rPr>
        <w:t xml:space="preserve">HỌC VIỆN CÔNG NGHỆ BƯU CHÍNH VIỄN THÔNG · ĐỀ ÁN TỐT NGHIỆP THẠC SĨ KỸ THUẬT ĐIỆN TỬ · EIDE v1.2</w:t>
      </w:r>
    </w:p>
    <w:p>
      <w:pPr>
        <w:spacing w:after="80"/>
        <w:jc w:val="center"/>
      </w:pPr>
      <w:r>
        <w:rPr>
          <w:rFonts w:ascii="Times New Roman" w:cs="Times New Roman" w:eastAsia="Times New Roman" w:hAnsi="Times New Roman"/>
          <w:b/>
          <w:bCs/>
          <w:sz w:val="36"/>
          <w:szCs w:val="36"/>
        </w:rPr>
        <w:t xml:space="preserve">ĐẶC TẢ CHI TIẾT NĂNG LỰC (CDS) — TẬP 5: QUẢN TRỊ</w:t>
      </w:r>
    </w:p>
    <w:p>
      <w:pPr>
        <w:spacing w:after="240"/>
        <w:jc w:val="center"/>
      </w:pPr>
      <w:r>
        <w:rPr>
          <w:rFonts w:ascii="Times New Roman" w:cs="Times New Roman" w:eastAsia="Times New Roman" w:hAnsi="Times New Roman"/>
          <w:i/>
          <w:iCs/>
          <w:sz w:val="22"/>
          <w:szCs w:val="22"/>
        </w:rPr>
        <w:t xml:space="preserve">Chính sách tự chủ, registry, báo cáo. 16 năng lực trong 3 nhóm; mỗi năng lực có hợp đồng 13 trường, JSON Schema vào/ra, các bước, lỗi, hoàn tác, ví dụ gọi và test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rPr>
          <w:tblHeader/>
        </w:trPr>
        <w:tc>
          <w:tcPr>
            <w:tcW w:type="dxa" w:w="2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Thuộc tính</w:t>
            </w:r>
          </w:p>
        </w:tc>
        <w:tc>
          <w:tcPr>
            <w:tcW w:type="dxa" w:w="6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Giá trị</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Mã tài liệu</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EIDE-CDS-12.5</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Phiên bản</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1.0 — phát hành cùng bộ hồ sơ v1.2 (bổ sung theo Rà soát đủ điều kiện phát triển)</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Ngày lập</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05/09/2026</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Người lập</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Vũ Trí Công — học viên cao học (hỗ trợ soạn thảo: Claude)</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Người hướng dẫn</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TS. Nguyễn Trung Hiếu</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Khuôn khổ</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Đề án tốt nghiệp Thạc sĩ ngành Kỹ thuật Điện tử — Học viện Công nghệ Bưu chính Viễn thông (PTIT)</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Sản phẩm</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 (Embedded IDE) — trước đây Hardware Knowledge Workbench (HKW); Knowledge Plane bằng Python; kho mã core dùng chung với EAA-U; bản đầu chạy trên một PC có Internet</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Tài liệu trước</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Danh mục năng lực v1.2 (238), EIDE-SRS-02 §3B, EIDE-SDD-04 §4.0, EIDE-POL-17, EIDE-CXD-10, EIDE-MEM-11, EIDE-PRS-16</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Tệp kèm</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capabilities/&lt;ns&gt;.yaml (khai báo nạp vào Capability Registry) cho các nhóm: policy, registry, report</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Dùng khi</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Hiện thực từng năng lực; sinh test hợp đồng; sinh tool MCP; viết UI gọi năng lực</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Bộ hồ sơ</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Nền: EIDE-PDA-00 · URD-01 · SRS-02 · SAD-03 · SDD-04 · STP-05 · BPD-06 · KAD-07 · APD-08 · DPS-09. Bổ sung v1.2: CXD-10 · MEM-11 · CDS-12 (6 tập) · UXD-13 · DDD-14 · API-15 · PRS-16 · POL-17 · TGT-19 · SIM-20 · BEN-21 · PKG-22 · GPI-23 · SEC-25 · DEP-26 · CON-28. Excel: Danh mục năng lực v1.2 · Use case chi tiết v1.2 (UCD-24) · Kế hoạch backlog (PLN-27) · Rà soát đủ điều kiện phát triển</w:t>
            </w:r>
          </w:p>
        </w:tc>
      </w:tr>
    </w:tbl>
    <w:p>
      <w:pPr>
        <w:spacing w:after="60"/>
      </w:pPr>
      <w:r>
        <w:rPr>
          <w:rFonts w:ascii="Times New Roman" w:cs="Times New Roman" w:eastAsia="Times New Roman" w:hAnsi="Times New Roman"/>
          <w:sz w:val="26"/>
          <w:szCs w:val="26"/>
        </w:rPr>
        <w:t xml:space="preserve"/>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100"/>
        <w:gridCol w:w="4000"/>
      </w:tblGrid>
      <w:tr>
        <w:trPr>
          <w:tblHeader/>
        </w:trPr>
        <w:tc>
          <w:tcPr>
            <w:tcW w:type="dxa" w:w="1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Phiên bản</w:t>
            </w:r>
          </w:p>
        </w:tc>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Ngày</w:t>
            </w:r>
          </w:p>
        </w:tc>
        <w:tc>
          <w:tcPr>
            <w:tcW w:type="dxa" w:w="2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Người sửa</w:t>
            </w:r>
          </w:p>
        </w:tc>
        <w:tc>
          <w:tcPr>
            <w:tcW w:type="dxa" w:w="4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 thay đổi</w:t>
            </w:r>
          </w:p>
        </w:tc>
      </w:tr>
      <w:tr>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1.0</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05/09/2026</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Phát hành lần đầu — bổ sung lĩnh vực L03/L11; sinh từ cds_data_*.py + caps.py</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1. Cách đọc tập này</w:t>
      </w:r>
    </w:p>
    <w:p>
      <w:pPr>
        <w:spacing w:after="120" w:line="360"/>
        <w:ind w:firstLine="0"/>
        <w:jc w:val="both"/>
      </w:pPr>
      <w:r>
        <w:rPr>
          <w:rFonts w:ascii="Times New Roman" w:cs="Times New Roman" w:eastAsia="Times New Roman" w:hAnsi="Times New Roman"/>
          <w:sz w:val="26"/>
          <w:szCs w:val="26"/>
        </w:rPr>
        <w:t xml:space="preserve">Mỗi năng lực là một mục gồm: bảng hợp đồng (lớp rủi ro, mức tự chủ, grounding, điều kiện hỏi, hoàn tác, mốc, ví dụ gọi, test), JSON Schema tham số vào và kết quả ra theo mẫu số chung (object/string/number/integer/boolean/array/enum; sâu ≤ 3; không anyOf/$ref) [19], các bước thực hiện (thuật toán ở mức lập trình được, có tham chiếu tới tài liệu nền: CXD-10 ngữ cảnh, MEM-11 bộ nhớ, POL-17 chính sách, PRS-16 prompt, SEC-25 sandbox, TGT-19 phần cứng, SIM-20 mô phỏng), và mã lỗi (API-15 §6). Khai báo YAML tương ứng nằm trong `capabilities/&lt;ns&gt;.yaml` và là thứ Capability Registry nạp; tài liệu này là bản đọc cho người của cùng dữ liệu. Router luôn thực hiện các bước chung trước khi vào năng lực: kiểm input_schema → grounding → policy.decide → thực thi → ledger → đăng ký hoàn tác (SDD-04 §4.0), nên các bước dưới đây không lặp lại phần chung. Quy ước mức: T1 AI làm trọn; T1* tự làm khi chính sách có bằng chứng; T2 AI làm — người duyệt; T3 người làm.</w:t>
      </w:r>
    </w:p>
    <w:p>
      <w:pPr>
        <w:pStyle w:val="Heading1"/>
        <w:spacing w:after="160" w:before="360" w:line="360"/>
      </w:pPr>
      <w:r>
        <w:rPr>
          <w:rFonts w:ascii="Times New Roman" w:cs="Times New Roman" w:eastAsia="Times New Roman" w:hAnsi="Times New Roman"/>
          <w:b/>
          <w:bCs/>
          <w:color w:val="1F3864"/>
          <w:sz w:val="28"/>
          <w:szCs w:val="28"/>
        </w:rPr>
        <w:t xml:space="preserve">2. Tổng quan tập</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400"/>
        <w:gridCol w:w="3300"/>
        <w:gridCol w:w="900"/>
        <w:gridCol w:w="900"/>
        <w:gridCol w:w="2800"/>
      </w:tblGrid>
      <w:tr>
        <w:trPr>
          <w:tblHeader/>
        </w:trPr>
        <w:tc>
          <w:tcPr>
            <w:tcW w:type="dxa" w:w="14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Nhóm</w:t>
            </w:r>
          </w:p>
        </w:tc>
        <w:tc>
          <w:tcPr>
            <w:tcW w:type="dxa" w:w="3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Tên</w:t>
            </w:r>
          </w:p>
        </w:tc>
        <w:tc>
          <w:tcPr>
            <w:tcW w:type="dxa" w:w="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Số</w:t>
            </w:r>
          </w:p>
        </w:tc>
        <w:tc>
          <w:tcPr>
            <w:tcW w:type="dxa" w:w="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T1/T1*/T2/T3</w:t>
            </w:r>
          </w:p>
        </w:tc>
        <w:tc>
          <w:tcPr>
            <w:tcW w:type="dxa" w:w="28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Mốc</w:t>
            </w:r>
          </w:p>
        </w:tc>
      </w:tr>
      <w:tr>
        <w:tc>
          <w:tcPr>
            <w:tcW w:type="dxa" w:w="1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policy</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Chính sách tự chủ</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7</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3/0/3/1</w:t>
            </w:r>
          </w:p>
        </w:tc>
        <w:tc>
          <w:tcPr>
            <w:tcW w:type="dxa" w:w="2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M2</w:t>
            </w:r>
          </w:p>
        </w:tc>
      </w:tr>
      <w:tr>
        <w:tc>
          <w:tcPr>
            <w:tcW w:type="dxa" w:w="1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registry</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Registry và gói</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5</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4/1/0/0</w:t>
            </w:r>
          </w:p>
        </w:tc>
        <w:tc>
          <w:tcPr>
            <w:tcW w:type="dxa" w:w="2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M4, M0</w:t>
            </w:r>
          </w:p>
        </w:tc>
      </w:tr>
      <w:tr>
        <w:tc>
          <w:tcPr>
            <w:tcW w:type="dxa" w:w="1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report</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Báo cáo</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4</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4/0/0/0</w:t>
            </w:r>
          </w:p>
        </w:tc>
        <w:tc>
          <w:tcPr>
            <w:tcW w:type="dxa" w:w="2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M4, M2</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3. POLICY — Chính sách tự chủ</w:t>
      </w:r>
    </w:p>
    <w:p>
      <w:pPr>
        <w:pStyle w:val="Heading3"/>
        <w:spacing w:after="100" w:before="200" w:line="360"/>
      </w:pPr>
      <w:r>
        <w:rPr>
          <w:rFonts w:ascii="Times New Roman" w:cs="Times New Roman" w:eastAsia="Times New Roman" w:hAnsi="Times New Roman"/>
          <w:b/>
          <w:bCs/>
          <w:i/>
          <w:iCs/>
          <w:color w:val="1F3864"/>
          <w:sz w:val="26"/>
          <w:szCs w:val="26"/>
        </w:rPr>
        <w:t xml:space="preserve">POLICY-01 · policy.decide — Hàm quyết định theo cổng: APPROVE/ASK/REJECT có lý do</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APD §4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policy.decide {"action":{"cap":"search.fetch","gate":"G-SRC","risk":"R1","features":{}}}</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TC-51 40 tình huống</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"action":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"ctx":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"action"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"decision":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"decision"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POL-17 §1 bốn tầng; rules.yaml; DecisionLog</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POLICY-02 · policy.permit — Quyền theo phiên cho thao tác R3/R4</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Luôn (R4)</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policy.permit {"op":"flash","target":"robot-ctrl","by":"cong"}</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TC-03</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"op":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"target":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"by":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"ttl_s":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"op",</w:t>
      </w:r>
    </w:p>
    <w:p>
      <w:pPr>
        <w:spacing w:after="0" w:line="240"/>
        <w:ind w:left="567"/>
      </w:pPr>
      <w:r>
        <w:rPr>
          <w:rFonts w:ascii="Consolas" w:cs="Consolas" w:eastAsia="Consolas" w:hAnsi="Consolas"/>
          <w:sz w:val="19"/>
          <w:szCs w:val="19"/>
        </w:rPr>
        <w:t xml:space="preserve">  "by"</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"permission_id":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"expires_at":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"permission_id",</w:t>
      </w:r>
    </w:p>
    <w:p>
      <w:pPr>
        <w:spacing w:after="0" w:line="240"/>
        <w:ind w:left="567"/>
      </w:pPr>
      <w:r>
        <w:rPr>
          <w:rFonts w:ascii="Consolas" w:cs="Consolas" w:eastAsia="Consolas" w:hAnsi="Consolas"/>
          <w:sz w:val="19"/>
          <w:szCs w:val="19"/>
        </w:rPr>
        <w:t xml:space="preserve">  "expires_at"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Chỉ by=human; ghi Permission M2; hết hạn khi đóng phiên</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 nếu by≠human.</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POLICY-03 · policy.undo_window — Theo dõi việc đã tự làm còn trong cửa sổ hoàn tác</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APD §5</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policy.undo_window {}</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Sau 24 h merge không còn trong danh sách</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"items"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UndoService.list; hết hạn → expire</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POLICY-04 · policy.escalate — Leo thang lên người qua hàng đợi/chat/thông báo</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APD §5</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policy.escalate {"reason":"fail_retries","ref":"cr_9"}</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TC-54</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"reason":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"ref":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"level":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"queue",</w:t>
      </w:r>
    </w:p>
    <w:p>
      <w:pPr>
        <w:spacing w:after="0" w:line="240"/>
        <w:ind w:left="567"/>
      </w:pPr>
      <w:r>
        <w:rPr>
          <w:rFonts w:ascii="Consolas" w:cs="Consolas" w:eastAsia="Consolas" w:hAnsi="Consolas"/>
          <w:sz w:val="19"/>
          <w:szCs w:val="19"/>
        </w:rPr>
        <w:t xml:space="preserve">    "chat",</w:t>
      </w:r>
    </w:p>
    <w:p>
      <w:pPr>
        <w:spacing w:after="0" w:line="240"/>
        <w:ind w:left="567"/>
      </w:pPr>
      <w:r>
        <w:rPr>
          <w:rFonts w:ascii="Consolas" w:cs="Consolas" w:eastAsia="Consolas" w:hAnsi="Consolas"/>
          <w:sz w:val="19"/>
          <w:szCs w:val="19"/>
        </w:rPr>
        <w:t xml:space="preserve">    "notify"</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"reason",</w:t>
      </w:r>
    </w:p>
    <w:p>
      <w:pPr>
        <w:spacing w:after="0" w:line="240"/>
        <w:ind w:left="567"/>
      </w:pPr>
      <w:r>
        <w:rPr>
          <w:rFonts w:ascii="Consolas" w:cs="Consolas" w:eastAsia="Consolas" w:hAnsi="Consolas"/>
          <w:sz w:val="19"/>
          <w:szCs w:val="19"/>
        </w:rPr>
        <w:t xml:space="preserve">  "ref"</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"notified":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"notified"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POL-17 §6 kênh theo mức; ghi ledger</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POLICY-05 · policy.emergency_stop — Hạ về A0, hủy thao tác phần cứng đang chờ</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T3</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APD §5</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policy.emergency_stop {}</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TC-53</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"stopped":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"cancelled":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"stopped",</w:t>
      </w:r>
    </w:p>
    <w:p>
      <w:pPr>
        <w:spacing w:after="0" w:line="240"/>
        <w:ind w:left="567"/>
      </w:pPr>
      <w:r>
        <w:rPr>
          <w:rFonts w:ascii="Consolas" w:cs="Consolas" w:eastAsia="Consolas" w:hAnsi="Consolas"/>
          <w:sz w:val="19"/>
          <w:szCs w:val="19"/>
        </w:rPr>
        <w:t xml:space="preserve">  "cancelled"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session.stopped=true; A0; hủy EXECUTING risk ≥ R3; &lt; 1 s</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POLICY-06 · policy.learn_thresholds — Tổng hợp quyết định của người → đề xuất ngưỡng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Luôn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APD §6</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policy.learn_thresholds {"days":30}</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TC-55</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"days":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"proposals":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"proposals"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POL-17 §7 thống kê → đề xuất; không áp dụng</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POLICY-07 · policy.set_autonomy — Đặt mức tự chủ dự án/board</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Nới lỏng</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restore_config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APD §2</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policy.set_autonomy {"level":"A2","board":"robot-ctrl","by":"cong"}</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TC-56</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"level":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"A0",</w:t>
      </w:r>
    </w:p>
    <w:p>
      <w:pPr>
        <w:spacing w:after="0" w:line="240"/>
        <w:ind w:left="567"/>
      </w:pPr>
      <w:r>
        <w:rPr>
          <w:rFonts w:ascii="Consolas" w:cs="Consolas" w:eastAsia="Consolas" w:hAnsi="Consolas"/>
          <w:sz w:val="19"/>
          <w:szCs w:val="19"/>
        </w:rPr>
        <w:t xml:space="preserve">    "A1",</w:t>
      </w:r>
    </w:p>
    <w:p>
      <w:pPr>
        <w:spacing w:after="0" w:line="240"/>
        <w:ind w:left="567"/>
      </w:pPr>
      <w:r>
        <w:rPr>
          <w:rFonts w:ascii="Consolas" w:cs="Consolas" w:eastAsia="Consolas" w:hAnsi="Consolas"/>
          <w:sz w:val="19"/>
          <w:szCs w:val="19"/>
        </w:rPr>
        <w:t xml:space="preserve">    "A2",</w:t>
      </w:r>
    </w:p>
    <w:p>
      <w:pPr>
        <w:spacing w:after="0" w:line="240"/>
        <w:ind w:left="567"/>
      </w:pPr>
      <w:r>
        <w:rPr>
          <w:rFonts w:ascii="Consolas" w:cs="Consolas" w:eastAsia="Consolas" w:hAnsi="Consolas"/>
          <w:sz w:val="19"/>
          <w:szCs w:val="19"/>
        </w:rPr>
        <w:t xml:space="preserve">    "A3",</w:t>
      </w:r>
    </w:p>
    <w:p>
      <w:pPr>
        <w:spacing w:after="0" w:line="240"/>
        <w:ind w:left="567"/>
      </w:pPr>
      <w:r>
        <w:rPr>
          <w:rFonts w:ascii="Consolas" w:cs="Consolas" w:eastAsia="Consolas" w:hAnsi="Consolas"/>
          <w:sz w:val="19"/>
          <w:szCs w:val="19"/>
        </w:rPr>
        <w:t xml:space="preserve">    "A4"</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"board":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"by":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"level",</w:t>
      </w:r>
    </w:p>
    <w:p>
      <w:pPr>
        <w:spacing w:after="0" w:line="240"/>
        <w:ind w:left="567"/>
      </w:pPr>
      <w:r>
        <w:rPr>
          <w:rFonts w:ascii="Consolas" w:cs="Consolas" w:eastAsia="Consolas" w:hAnsi="Consolas"/>
          <w:sz w:val="19"/>
          <w:szCs w:val="19"/>
        </w:rPr>
        <w:t xml:space="preserve">  "by"</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"effective":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"effective"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Nới lỏng (tăng mức) là R4 → ASK trừ by=human; siết → tức thì; ghi autonomy.yaml + ký; event.autonomy.changed</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4. REGISTRY — Registry và gói</w:t>
      </w:r>
    </w:p>
    <w:p>
      <w:pPr>
        <w:pStyle w:val="Heading3"/>
        <w:spacing w:after="100" w:before="200" w:line="360"/>
      </w:pPr>
      <w:r>
        <w:rPr>
          <w:rFonts w:ascii="Times New Roman" w:cs="Times New Roman" w:eastAsia="Times New Roman" w:hAnsi="Times New Roman"/>
          <w:b/>
          <w:bCs/>
          <w:i/>
          <w:iCs/>
          <w:color w:val="1F3864"/>
          <w:sz w:val="26"/>
          <w:szCs w:val="26"/>
        </w:rPr>
        <w:t xml:space="preserve">REGISTRY-01 · registry.search — Tìm gói theo id/mpn/từ khóa</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M4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UC-G03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registry.search {"q":"bme280"}</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Tìm thấy passport + skill</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"q":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"q"</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"packages":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"packages"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 search.registry mở rộng kind any</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REGISTRY-02 · registry.pull — Kiểm chữ ký; nạp gói vào store; ghim</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Chữ ký hợp lệ</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Chưa kiểm định + dự án nhạy cảm</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supersede_facts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M4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UC-G03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registry.pull {"id":"st.stm32f411ce@1.2.0"}</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TC-43</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"description": "id@ver"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"pinned":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"facts":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"pinned",</w:t>
      </w:r>
    </w:p>
    <w:p>
      <w:pPr>
        <w:spacing w:after="0" w:line="240"/>
        <w:ind w:left="567"/>
      </w:pPr>
      <w:r>
        <w:rPr>
          <w:rFonts w:ascii="Consolas" w:cs="Consolas" w:eastAsia="Consolas" w:hAnsi="Consolas"/>
          <w:sz w:val="19"/>
          <w:szCs w:val="19"/>
        </w:rPr>
        <w:t xml:space="preserve">  "facts"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Tải .hkp; kiểm chữ ký (PKG-22); license; nạp fact vào L-A/L-B; ghim</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E8001; E4004; E6001.</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REGISTRY-03 · registry.pack — Đóng gói .hkp (fact + con trỏ nguồn, skill, bench, badge); kiểm license</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Thiếu license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M4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UC-G02</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registry.pack {"id":"st.stm32f411ce@1.2.0","include":["passport","skills"]}</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TC-41</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"include":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"passport",</w:t>
      </w:r>
    </w:p>
    <w:p>
      <w:pPr>
        <w:spacing w:after="0" w:line="240"/>
        <w:ind w:left="567"/>
      </w:pPr>
      <w:r>
        <w:rPr>
          <w:rFonts w:ascii="Consolas" w:cs="Consolas" w:eastAsia="Consolas" w:hAnsi="Consolas"/>
          <w:sz w:val="19"/>
          <w:szCs w:val="19"/>
        </w:rPr>
        <w:t xml:space="preserve">     "skills",</w:t>
      </w:r>
    </w:p>
    <w:p>
      <w:pPr>
        <w:spacing w:after="0" w:line="240"/>
        <w:ind w:left="567"/>
      </w:pPr>
      <w:r>
        <w:rPr>
          <w:rFonts w:ascii="Consolas" w:cs="Consolas" w:eastAsia="Consolas" w:hAnsi="Consolas"/>
          <w:sz w:val="19"/>
          <w:szCs w:val="19"/>
        </w:rPr>
        <w:t xml:space="preserve">     "bench",</w:t>
      </w:r>
    </w:p>
    <w:p>
      <w:pPr>
        <w:spacing w:after="0" w:line="240"/>
        <w:ind w:left="567"/>
      </w:pPr>
      <w:r>
        <w:rPr>
          <w:rFonts w:ascii="Consolas" w:cs="Consolas" w:eastAsia="Consolas" w:hAnsi="Consolas"/>
          <w:sz w:val="19"/>
          <w:szCs w:val="19"/>
        </w:rPr>
        <w:t xml:space="preserve">     "badges",</w:t>
      </w:r>
    </w:p>
    <w:p>
      <w:pPr>
        <w:spacing w:after="0" w:line="240"/>
        <w:ind w:left="567"/>
      </w:pPr>
      <w:r>
        <w:rPr>
          <w:rFonts w:ascii="Consolas" w:cs="Consolas" w:eastAsia="Consolas" w:hAnsi="Consolas"/>
          <w:sz w:val="19"/>
          <w:szCs w:val="19"/>
        </w:rPr>
        <w:t xml:space="preserve">     "template"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"manifest":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w:t>
      </w:r>
    </w:p>
    <w:p>
      <w:pPr>
        <w:spacing w:after="0" w:line="240"/>
        <w:ind w:left="567"/>
      </w:pPr>
      <w:r>
        <w:rPr>
          <w:rFonts w:ascii="Consolas" w:cs="Consolas" w:eastAsia="Consolas" w:hAnsi="Consolas"/>
          <w:sz w:val="19"/>
          <w:szCs w:val="19"/>
        </w:rPr>
        <w:t xml:space="preserve">  "manifest"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Gom fact + con trỏ nguồn (không PDF), skill, bench, badge; kiểm license và không chứa K3/K6 dự án; manifest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E8001.</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REGISTRY-04 · registry.publish — Ký và phát hành (nội bộ tự động; công khai hỏi)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R2/R4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Công khai; chứa K3/K6</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M4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UC-G02</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registry.publish {"pkg":"dist/st.stm32f411ce-1.2.0.hkp","scope":"internal"}</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S38/S39</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"pkg":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"scope":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"internal",</w:t>
      </w:r>
    </w:p>
    <w:p>
      <w:pPr>
        <w:spacing w:after="0" w:line="240"/>
        <w:ind w:left="567"/>
      </w:pPr>
      <w:r>
        <w:rPr>
          <w:rFonts w:ascii="Consolas" w:cs="Consolas" w:eastAsia="Consolas" w:hAnsi="Consolas"/>
          <w:sz w:val="19"/>
          <w:szCs w:val="19"/>
        </w:rPr>
        <w:t xml:space="preserve">    "public"</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"pkg",</w:t>
      </w:r>
    </w:p>
    <w:p>
      <w:pPr>
        <w:spacing w:after="0" w:line="240"/>
        <w:ind w:left="567"/>
      </w:pPr>
      <w:r>
        <w:rPr>
          <w:rFonts w:ascii="Consolas" w:cs="Consolas" w:eastAsia="Consolas" w:hAnsi="Consolas"/>
          <w:sz w:val="19"/>
          <w:szCs w:val="19"/>
        </w:rPr>
        <w:t xml:space="preserve">  "scope"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"published":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"url":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"published"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policy(G5): internal + auto_verified + bench ≥ min → APPROVE; public → ASK; ký; git push registry; ghi tác giả</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 E4004.</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REGISTRY-05 · registry.seed — Gieo hạt từ CMSIS-SVD / Microchip packs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 có</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registry.seed {"dir":"/tmp/cmsis-svd-data","kinds":["svd"]}</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TC-42</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"dir":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"kinds":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"svd",</w:t>
      </w:r>
    </w:p>
    <w:p>
      <w:pPr>
        <w:spacing w:after="0" w:line="240"/>
        <w:ind w:left="567"/>
      </w:pPr>
      <w:r>
        <w:rPr>
          <w:rFonts w:ascii="Consolas" w:cs="Consolas" w:eastAsia="Consolas" w:hAnsi="Consolas"/>
          <w:sz w:val="19"/>
          <w:szCs w:val="19"/>
        </w:rPr>
        <w:t xml:space="preserve">     "atdf"</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"dir"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"report":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"n_ok, n_fail, per_vendor"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"report"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Duyệt thư mục cmsis-svd-data/packs; extract theo loại; pack unverified; round-robin theo hãng (M0 seed)</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5. REPORT — Báo cáo</w:t>
      </w:r>
    </w:p>
    <w:p>
      <w:pPr>
        <w:pStyle w:val="Heading3"/>
        <w:spacing w:after="100" w:before="200" w:line="360"/>
      </w:pPr>
      <w:r>
        <w:rPr>
          <w:rFonts w:ascii="Times New Roman" w:cs="Times New Roman" w:eastAsia="Times New Roman" w:hAnsi="Times New Roman"/>
          <w:b/>
          <w:bCs/>
          <w:i/>
          <w:iCs/>
          <w:color w:val="1F3864"/>
          <w:sz w:val="26"/>
          <w:szCs w:val="26"/>
        </w:rPr>
        <w:t xml:space="preserve">REPORT-01 · report.progress — Báo cáo tiến độ/ngày: việc tự làm, chờ người, chi phí</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APD §5</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report.progress {"period":"day"}</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Số liệu khớp ledger</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"period":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"day",</w:t>
      </w:r>
    </w:p>
    <w:p>
      <w:pPr>
        <w:spacing w:after="0" w:line="240"/>
        <w:ind w:left="567"/>
      </w:pPr>
      <w:r>
        <w:rPr>
          <w:rFonts w:ascii="Consolas" w:cs="Consolas" w:eastAsia="Consolas" w:hAnsi="Consolas"/>
          <w:sz w:val="19"/>
          <w:szCs w:val="19"/>
        </w:rPr>
        <w:t xml:space="preserve">    "week"</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"md":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"md"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Từ ledger/decision_log/undo: việc tự làm, chờ người, hoàn tác được, chi phí, lỗi; ≤ 40 dòng</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REPORT-02 · report.export — docx/pdf/md có mục Nguồn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M4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UC-G04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report.export {"type":"docx","scope":"project"}</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docx mở được, có mục Nguồn</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"type":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"docx",</w:t>
      </w:r>
    </w:p>
    <w:p>
      <w:pPr>
        <w:spacing w:after="0" w:line="240"/>
        <w:ind w:left="567"/>
      </w:pPr>
      <w:r>
        <w:rPr>
          <w:rFonts w:ascii="Consolas" w:cs="Consolas" w:eastAsia="Consolas" w:hAnsi="Consolas"/>
          <w:sz w:val="19"/>
          <w:szCs w:val="19"/>
        </w:rPr>
        <w:t xml:space="preserve">    "pdf",</w:t>
      </w:r>
    </w:p>
    <w:p>
      <w:pPr>
        <w:spacing w:after="0" w:line="240"/>
        <w:ind w:left="567"/>
      </w:pPr>
      <w:r>
        <w:rPr>
          <w:rFonts w:ascii="Consolas" w:cs="Consolas" w:eastAsia="Consolas" w:hAnsi="Consolas"/>
          <w:sz w:val="19"/>
          <w:szCs w:val="19"/>
        </w:rPr>
        <w:t xml:space="preserve">    "md"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"scope":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"type",</w:t>
      </w:r>
    </w:p>
    <w:p>
      <w:pPr>
        <w:spacing w:after="0" w:line="240"/>
        <w:ind w:left="567"/>
      </w:pPr>
      <w:r>
        <w:rPr>
          <w:rFonts w:ascii="Consolas" w:cs="Consolas" w:eastAsia="Consolas" w:hAnsi="Consolas"/>
          <w:sz w:val="19"/>
          <w:szCs w:val="19"/>
        </w:rPr>
        <w:t xml:space="preserve">  "scope"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doc.generate với mẫu báo cáo (nó trả Markdown và mục Nguồn tự động); chuyển sang định dạng yêu cầu — đây là chỗ DUY NHẤT dựng docx/pdf (DEV-070)</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 E4001 thiếu node/docx.</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REPORT-03 · report.human_ai_matrix — Ma trận Người–AI từ ledger</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M4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UC-G04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report.human_ai_matrix {}</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Tổng khớp thống kê</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"range":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Từ decision_log/capability_run: pha × AI × người × tri thức → xlsx</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REPORT-04 · report.explain — Giải thích một quyết định/mã (rationale có trích dẫn)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UR-HT-03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report.explain {"id":"d_12"}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Có mã quy tắc và fact id</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"description": "decision|commit|fact|plan"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"text":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"text"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Truy ledger theo id; writer viết ≤ 150 từ có trích dẫn rule/fact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Tài liệu tham khảo</w:t>
      </w:r>
    </w:p>
    <w:p>
      <w:pPr>
        <w:spacing w:after="100" w:line="276"/>
        <w:ind w:left="567" w:hanging="567"/>
        <w:jc w:val="left"/>
      </w:pPr>
      <w:r>
        <w:rPr>
          <w:rFonts w:ascii="Times New Roman" w:cs="Times New Roman" w:eastAsia="Times New Roman" w:hAnsi="Times New Roman"/>
          <w:sz w:val="24"/>
          <w:szCs w:val="24"/>
        </w:rPr>
        <w:t xml:space="preserve">[1] V. T. Công, "EIDE-PDA-00 — Phân tích thiết kế sản phẩm EIDE v1.1 (trước đây HKW-PDA-00)," 05/09/2026.</w:t>
      </w:r>
    </w:p>
    <w:p>
      <w:pPr>
        <w:spacing w:after="100" w:line="276"/>
        <w:ind w:left="567" w:hanging="567"/>
        <w:jc w:val="left"/>
      </w:pPr>
      <w:r>
        <w:rPr>
          <w:rFonts w:ascii="Times New Roman" w:cs="Times New Roman" w:eastAsia="Times New Roman" w:hAnsi="Times New Roman"/>
          <w:sz w:val="24"/>
          <w:szCs w:val="24"/>
        </w:rPr>
        <w:t xml:space="preserve">[2] V. T. Công, "Embedded AIDD Agent (EAA) — bộ hồ sơ v1.0 và mã nguồn," GitHub mobiluckvn/Agent, 2026. [Online]. Available: https://github.com/mobiluckvn/Agent</w:t>
      </w:r>
    </w:p>
    <w:p>
      <w:pPr>
        <w:spacing w:after="100" w:line="276"/>
        <w:ind w:left="567" w:hanging="567"/>
        <w:jc w:val="left"/>
      </w:pPr>
      <w:r>
        <w:rPr>
          <w:rFonts w:ascii="Times New Roman" w:cs="Times New Roman" w:eastAsia="Times New Roman" w:hAnsi="Times New Roman"/>
          <w:sz w:val="24"/>
          <w:szCs w:val="24"/>
        </w:rPr>
        <w:t xml:space="preserve">[3] V. T. Công, "Phân tích thiết kế Agent — Kiến trúc agent đa mô hình cho lập trình nhúng (EAA-U) v0.1," 05/09/2026.</w:t>
      </w:r>
    </w:p>
    <w:p>
      <w:pPr>
        <w:spacing w:after="100" w:line="276"/>
        <w:ind w:left="567" w:hanging="567"/>
        <w:jc w:val="left"/>
      </w:pPr>
      <w:r>
        <w:rPr>
          <w:rFonts w:ascii="Times New Roman" w:cs="Times New Roman" w:eastAsia="Times New Roman" w:hAnsi="Times New Roman"/>
          <w:sz w:val="24"/>
          <w:szCs w:val="24"/>
        </w:rPr>
        <w:t xml:space="preserve">[4] ISO/IEC/IEEE 29148:2018, "Systems and software engineering — Requirements engineering," 2018.</w:t>
      </w:r>
    </w:p>
    <w:p>
      <w:pPr>
        <w:spacing w:after="100" w:line="276"/>
        <w:ind w:left="567" w:hanging="567"/>
        <w:jc w:val="left"/>
      </w:pPr>
      <w:r>
        <w:rPr>
          <w:rFonts w:ascii="Times New Roman" w:cs="Times New Roman" w:eastAsia="Times New Roman" w:hAnsi="Times New Roman"/>
          <w:sz w:val="24"/>
          <w:szCs w:val="24"/>
        </w:rPr>
        <w:t xml:space="preserve">[5] ISO/IEC/IEEE 42010:2022, "Software, systems and enterprise — Architecture description," 2022.</w:t>
      </w:r>
    </w:p>
    <w:p>
      <w:pPr>
        <w:spacing w:after="100" w:line="276"/>
        <w:ind w:left="567" w:hanging="567"/>
        <w:jc w:val="left"/>
      </w:pPr>
      <w:r>
        <w:rPr>
          <w:rFonts w:ascii="Times New Roman" w:cs="Times New Roman" w:eastAsia="Times New Roman" w:hAnsi="Times New Roman"/>
          <w:sz w:val="24"/>
          <w:szCs w:val="24"/>
        </w:rPr>
        <w:t xml:space="preserve">[6] IEEE Std 1016-2009, "IEEE Standard for Information Technology — Systems Design — Software Design Descriptions," 2009.</w:t>
      </w:r>
    </w:p>
    <w:p>
      <w:pPr>
        <w:spacing w:after="100" w:line="276"/>
        <w:ind w:left="567" w:hanging="567"/>
        <w:jc w:val="left"/>
      </w:pPr>
      <w:r>
        <w:rPr>
          <w:rFonts w:ascii="Times New Roman" w:cs="Times New Roman" w:eastAsia="Times New Roman" w:hAnsi="Times New Roman"/>
          <w:sz w:val="24"/>
          <w:szCs w:val="24"/>
        </w:rPr>
        <w:t xml:space="preserve">[7] ISO/IEC/IEEE 29119-3:2021, "Software testing — Part 3: Test documentation," 2021.</w:t>
      </w:r>
    </w:p>
    <w:p>
      <w:pPr>
        <w:spacing w:after="100" w:line="276"/>
        <w:ind w:left="567" w:hanging="567"/>
        <w:jc w:val="left"/>
      </w:pPr>
      <w:r>
        <w:rPr>
          <w:rFonts w:ascii="Times New Roman" w:cs="Times New Roman" w:eastAsia="Times New Roman" w:hAnsi="Times New Roman"/>
          <w:sz w:val="24"/>
          <w:szCs w:val="24"/>
        </w:rPr>
        <w:t xml:space="preserve">[8] Arm, "CMSIS-SVD: System View Description," Open-CMSIS-Pack. [Online]. Available: https://open-cmsis-pack.github.io/svd-spec/</w:t>
      </w:r>
    </w:p>
    <w:p>
      <w:pPr>
        <w:spacing w:after="100" w:line="276"/>
        <w:ind w:left="567" w:hanging="567"/>
        <w:jc w:val="left"/>
      </w:pPr>
      <w:r>
        <w:rPr>
          <w:rFonts w:ascii="Times New Roman" w:cs="Times New Roman" w:eastAsia="Times New Roman" w:hAnsi="Times New Roman"/>
          <w:sz w:val="24"/>
          <w:szCs w:val="24"/>
        </w:rPr>
        <w:t xml:space="preserve">[9] Microchip Technology, "Microchip Packs Repository (Device Family Packs, ATDF)." [Online]. Available: https://packs.download.microchip.com/</w:t>
      </w:r>
    </w:p>
    <w:p>
      <w:pPr>
        <w:spacing w:after="100" w:line="276"/>
        <w:ind w:left="567" w:hanging="567"/>
        <w:jc w:val="left"/>
      </w:pPr>
      <w:r>
        <w:rPr>
          <w:rFonts w:ascii="Times New Roman" w:cs="Times New Roman" w:eastAsia="Times New Roman" w:hAnsi="Times New Roman"/>
          <w:sz w:val="24"/>
          <w:szCs w:val="24"/>
        </w:rPr>
        <w:t xml:space="preserve">[10] Zephyr Project, "Devicetree bindings," Zephyr Documentation. [Online]. Available: https://docs.zephyrproject.org/latest/build/dts/bindings.html</w:t>
      </w:r>
    </w:p>
    <w:p>
      <w:pPr>
        <w:spacing w:after="100" w:line="276"/>
        <w:ind w:left="567" w:hanging="567"/>
        <w:jc w:val="left"/>
      </w:pPr>
      <w:r>
        <w:rPr>
          <w:rFonts w:ascii="Times New Roman" w:cs="Times New Roman" w:eastAsia="Times New Roman" w:hAnsi="Times New Roman"/>
          <w:sz w:val="24"/>
          <w:szCs w:val="24"/>
        </w:rPr>
        <w:t xml:space="preserve">[11] IBM, "Docling — document conversion toolkit," GitHub. [Online]. Available: https://github.com/docling-project/docling</w:t>
      </w:r>
    </w:p>
    <w:p>
      <w:pPr>
        <w:spacing w:after="100" w:line="276"/>
        <w:ind w:left="567" w:hanging="567"/>
        <w:jc w:val="left"/>
      </w:pPr>
      <w:r>
        <w:rPr>
          <w:rFonts w:ascii="Times New Roman" w:cs="Times New Roman" w:eastAsia="Times New Roman" w:hAnsi="Times New Roman"/>
          <w:sz w:val="24"/>
          <w:szCs w:val="24"/>
        </w:rPr>
        <w:t xml:space="preserve">[12] KiCad, "kicad-cli — command line interface," KiCad 8 Documentation. [Online]. Available: https://docs.kicad.org/8.0/en/cli/cli.html</w:t>
      </w:r>
    </w:p>
    <w:p>
      <w:pPr>
        <w:spacing w:after="100" w:line="276"/>
        <w:ind w:left="567" w:hanging="567"/>
        <w:jc w:val="left"/>
      </w:pPr>
      <w:r>
        <w:rPr>
          <w:rFonts w:ascii="Times New Roman" w:cs="Times New Roman" w:eastAsia="Times New Roman" w:hAnsi="Times New Roman"/>
          <w:sz w:val="24"/>
          <w:szCs w:val="24"/>
        </w:rPr>
        <w:t xml:space="preserve">[13] Anthropic, "Model Context Protocol — specification," 2025–2026. [Online]. Available: https://modelcontextprotocol.io/specification</w:t>
      </w:r>
    </w:p>
    <w:p>
      <w:pPr>
        <w:spacing w:after="100" w:line="276"/>
        <w:ind w:left="567" w:hanging="567"/>
        <w:jc w:val="left"/>
      </w:pPr>
      <w:r>
        <w:rPr>
          <w:rFonts w:ascii="Times New Roman" w:cs="Times New Roman" w:eastAsia="Times New Roman" w:hAnsi="Times New Roman"/>
          <w:sz w:val="24"/>
          <w:szCs w:val="24"/>
        </w:rPr>
        <w:t xml:space="preserve">[14] Adancurusul, "embedded-debugger-mcp," GitHub, 2026. [Online]. Available: https://github.com/adancurusul/embedded-debugger-mcp</w:t>
      </w:r>
    </w:p>
    <w:p>
      <w:pPr>
        <w:spacing w:after="100" w:line="276"/>
        <w:ind w:left="567" w:hanging="567"/>
        <w:jc w:val="left"/>
      </w:pPr>
      <w:r>
        <w:rPr>
          <w:rFonts w:ascii="Times New Roman" w:cs="Times New Roman" w:eastAsia="Times New Roman" w:hAnsi="Times New Roman"/>
          <w:sz w:val="24"/>
          <w:szCs w:val="24"/>
        </w:rPr>
        <w:t xml:space="preserve">[15] Espressif Systems, "ESP-IDF Tools Local MCP Server," Developer Portal, Apr. 2026. [Online]. Available: https://developer.espressif.com/blog/2026/04/esp-idf-tools-mcp-server/</w:t>
      </w:r>
    </w:p>
    <w:p>
      <w:pPr>
        <w:spacing w:after="100" w:line="276"/>
        <w:ind w:left="567" w:hanging="567"/>
        <w:jc w:val="left"/>
      </w:pPr>
      <w:r>
        <w:rPr>
          <w:rFonts w:ascii="Times New Roman" w:cs="Times New Roman" w:eastAsia="Times New Roman" w:hAnsi="Times New Roman"/>
          <w:sz w:val="24"/>
          <w:szCs w:val="24"/>
        </w:rPr>
        <w:t xml:space="preserve">[16] Nordic Semiconductor, "AI-assisted development the Nordic way," Nordic DevZone Blog, Jun. 2026. [Online]. Available: https://devzone.nordicsemi.com/nordic/nordic-blog/b/blog/posts/bringing-ai-assisted-development-to-nrf-connect-sdk-and-nrf-cloud</w:t>
      </w:r>
    </w:p>
    <w:p>
      <w:pPr>
        <w:spacing w:after="100" w:line="276"/>
        <w:ind w:left="567" w:hanging="567"/>
        <w:jc w:val="left"/>
      </w:pPr>
      <w:r>
        <w:rPr>
          <w:rFonts w:ascii="Times New Roman" w:cs="Times New Roman" w:eastAsia="Times New Roman" w:hAnsi="Times New Roman"/>
          <w:sz w:val="24"/>
          <w:szCs w:val="24"/>
        </w:rPr>
        <w:t xml:space="preserve">[17] "Skilled AI Agents for Embedded and IoT Systems Development," arXiv:2603.19583, Mar. 2026. [Online]. Available: https://arxiv.org/html/2603.19583</w:t>
      </w:r>
    </w:p>
    <w:p>
      <w:pPr>
        <w:spacing w:after="100" w:line="276"/>
        <w:ind w:left="567" w:hanging="567"/>
        <w:jc w:val="left"/>
      </w:pPr>
      <w:r>
        <w:rPr>
          <w:rFonts w:ascii="Times New Roman" w:cs="Times New Roman" w:eastAsia="Times New Roman" w:hAnsi="Times New Roman"/>
          <w:sz w:val="24"/>
          <w:szCs w:val="24"/>
        </w:rPr>
        <w:t xml:space="preserve">[18] Anthropic, "Effective harnesses for long-running agents," Anthropic Engineering. [Online]. Available: https://www.anthropic.com/engineering/effective-harnesses-for-long-running-agents</w:t>
      </w:r>
    </w:p>
    <w:p>
      <w:pPr>
        <w:spacing w:after="100" w:line="276"/>
        <w:ind w:left="567" w:hanging="567"/>
        <w:jc w:val="left"/>
      </w:pPr>
      <w:r>
        <w:rPr>
          <w:rFonts w:ascii="Times New Roman" w:cs="Times New Roman" w:eastAsia="Times New Roman" w:hAnsi="Times New Roman"/>
          <w:sz w:val="24"/>
          <w:szCs w:val="24"/>
        </w:rPr>
        <w:t xml:space="preserve">[19] Logic, "Structured outputs: JSON Schema, OpenAI, Claude, Gemini," 2026. [Online]. Available: https://logic.inc/resources/structured-outputs-guide</w:t>
      </w:r>
    </w:p>
    <w:p>
      <w:pPr>
        <w:spacing w:after="100" w:line="276"/>
        <w:ind w:left="567" w:hanging="567"/>
        <w:jc w:val="left"/>
      </w:pPr>
      <w:r>
        <w:rPr>
          <w:rFonts w:ascii="Times New Roman" w:cs="Times New Roman" w:eastAsia="Times New Roman" w:hAnsi="Times New Roman"/>
          <w:sz w:val="24"/>
          <w:szCs w:val="24"/>
        </w:rPr>
        <w:t xml:space="preserve">[20] Antmicro, "Renode — open source simulation framework." [Online]. Available: https://renode.io/</w:t>
      </w:r>
    </w:p>
    <w:p>
      <w:pPr>
        <w:spacing w:after="100" w:line="276"/>
        <w:ind w:left="567" w:hanging="567"/>
        <w:jc w:val="left"/>
      </w:pPr>
      <w:r>
        <w:rPr>
          <w:rFonts w:ascii="Times New Roman" w:cs="Times New Roman" w:eastAsia="Times New Roman" w:hAnsi="Times New Roman"/>
          <w:sz w:val="24"/>
          <w:szCs w:val="24"/>
        </w:rPr>
        <w:t xml:space="preserve">[21] Sigstore, "Sigstore — signing and provenance for software artifacts." [Online]. Available: https://www.sigstore.dev/</w:t>
      </w:r>
    </w:p>
    <w:p>
      <w:pPr>
        <w:spacing w:after="100" w:line="276"/>
        <w:ind w:left="567" w:hanging="567"/>
        <w:jc w:val="left"/>
      </w:pPr>
      <w:r>
        <w:rPr>
          <w:rFonts w:ascii="Times New Roman" w:cs="Times New Roman" w:eastAsia="Times New Roman" w:hAnsi="Times New Roman"/>
          <w:sz w:val="24"/>
          <w:szCs w:val="24"/>
        </w:rPr>
        <w:t xml:space="preserve">[22] Embedder, "Embedder | Enterprise AI Platform for Embedded Software," 2026. [Online]. Available: https://embedder.com/</w:t>
      </w:r>
    </w:p>
    <w:p>
      <w:pPr>
        <w:spacing w:after="100" w:line="276"/>
        <w:ind w:left="567" w:hanging="567"/>
        <w:jc w:val="left"/>
      </w:pPr>
      <w:r>
        <w:rPr>
          <w:rFonts w:ascii="Times New Roman" w:cs="Times New Roman" w:eastAsia="Times New Roman" w:hAnsi="Times New Roman"/>
          <w:sz w:val="24"/>
          <w:szCs w:val="24"/>
        </w:rPr>
        <w:t xml:space="preserve">[23] sigrok, "sigrok-cli and libsigrokdecode." [Online]. Available: https://sigrok.org/</w:t>
      </w:r>
    </w:p>
    <w:p>
      <w:pPr>
        <w:spacing w:after="100" w:line="276"/>
        <w:ind w:left="567" w:hanging="567"/>
        <w:jc w:val="left"/>
      </w:pPr>
      <w:r>
        <w:rPr>
          <w:rFonts w:ascii="Times New Roman" w:cs="Times New Roman" w:eastAsia="Times New Roman" w:hAnsi="Times New Roman"/>
          <w:sz w:val="24"/>
          <w:szCs w:val="24"/>
        </w:rPr>
        <w:t xml:space="preserve">[24] JSON Schema, "JSON Schema Specification 2020-12." [Online]. Available: https://json-schema.org/specification</w:t>
      </w:r>
    </w:p>
    <w:p>
      <w:pPr>
        <w:spacing w:after="100" w:line="276"/>
        <w:ind w:left="567" w:hanging="567"/>
        <w:jc w:val="left"/>
      </w:pPr>
      <w:r>
        <w:rPr>
          <w:rFonts w:ascii="Times New Roman" w:cs="Times New Roman" w:eastAsia="Times New Roman" w:hAnsi="Times New Roman"/>
          <w:sz w:val="24"/>
          <w:szCs w:val="24"/>
        </w:rPr>
        <w:t xml:space="preserve">[25] V. T. Công, "EIDE — Danh mục năng lực đầy đủ v1.1 (EIDE_Danh_muc_Nang_luc.xlsx): 228 năng lực, 26 nhóm," 05/09/2026.</w:t>
      </w:r>
    </w:p>
    <w:p>
      <w:pPr>
        <w:spacing w:after="100" w:line="276"/>
        <w:ind w:left="567" w:hanging="567"/>
        <w:jc w:val="left"/>
      </w:pPr>
      <w:r>
        <w:rPr>
          <w:rFonts w:ascii="Times New Roman" w:cs="Times New Roman" w:eastAsia="Times New Roman" w:hAnsi="Times New Roman"/>
          <w:sz w:val="24"/>
          <w:szCs w:val="24"/>
        </w:rPr>
        <w:t xml:space="preserve">[26] V. T. Công, "EIDE-APD-08 — Chính sách tự chủ của tác tử và cổng người thích ứng v1.1," 05/09/2026.</w:t>
      </w:r>
    </w:p>
    <w:p>
      <w:pPr>
        <w:spacing w:after="100" w:line="276"/>
        <w:ind w:left="567" w:hanging="567"/>
        <w:jc w:val="left"/>
      </w:pPr>
      <w:r>
        <w:rPr>
          <w:rFonts w:ascii="Times New Roman" w:cs="Times New Roman" w:eastAsia="Times New Roman" w:hAnsi="Times New Roman"/>
          <w:sz w:val="24"/>
          <w:szCs w:val="24"/>
        </w:rPr>
        <w:t xml:space="preserve">[27] V. T. Công, "EIDE-DPS-09 — Chính sách hội thoại và suy luận ý định v1.0," 05/09/2026.</w:t>
      </w:r>
    </w:p>
    <w:p>
      <w:pPr>
        <w:spacing w:after="100" w:line="276"/>
        <w:ind w:left="567" w:hanging="567"/>
        <w:jc w:val="left"/>
      </w:pPr>
      <w:r>
        <w:rPr>
          <w:rFonts w:ascii="Times New Roman" w:cs="Times New Roman" w:eastAsia="Times New Roman" w:hAnsi="Times New Roman"/>
          <w:sz w:val="24"/>
          <w:szCs w:val="24"/>
        </w:rPr>
        <w:t xml:space="preserve">[28] V. T. Công, "EIDE — Use case chi tiết (EIDE_Use_Case_Chi_Tiet.xlsx): 45 use case, 3 mức tự chủ, kịch bản hội thoại," 05/09/2026.</w:t>
      </w:r>
    </w:p>
    <w:p>
      <w:pPr>
        <w:spacing w:after="100" w:line="276"/>
        <w:ind w:left="567" w:hanging="567"/>
        <w:jc w:val="left"/>
      </w:pPr>
      <w:r>
        <w:rPr>
          <w:rFonts w:ascii="Times New Roman" w:cs="Times New Roman" w:eastAsia="Times New Roman" w:hAnsi="Times New Roman"/>
          <w:sz w:val="24"/>
          <w:szCs w:val="24"/>
        </w:rPr>
        <w:t xml:space="preserve">[29] Anthropic, "Building Effective AI Agents," Anthropic Engineering. [Online]. Available: https://www.anthropic.com/engineering/building-effective-agents</w:t>
      </w:r>
    </w:p>
    <w:p>
      <w:pPr>
        <w:spacing w:after="100" w:line="276"/>
        <w:ind w:left="567" w:hanging="567"/>
        <w:jc w:val="left"/>
      </w:pPr>
      <w:r>
        <w:rPr>
          <w:rFonts w:ascii="Times New Roman" w:cs="Times New Roman" w:eastAsia="Times New Roman" w:hAnsi="Times New Roman"/>
          <w:sz w:val="24"/>
          <w:szCs w:val="24"/>
        </w:rPr>
        <w:t xml:space="preserve">[30] R. Parasuraman, T. B. Sheridan, and C. D. Wickens, "A model for types and levels of human interaction with automation," IEEE Trans. Syst., Man, Cybern. A, vol. 30, no. 3, pp. 286–297, 2000.</w:t>
      </w:r>
    </w:p>
    <w:p>
      <w:pPr>
        <w:spacing w:after="100" w:line="276"/>
        <w:ind w:left="567" w:hanging="567"/>
        <w:jc w:val="left"/>
      </w:pPr>
      <w:r>
        <w:rPr>
          <w:rFonts w:ascii="Times New Roman" w:cs="Times New Roman" w:eastAsia="Times New Roman" w:hAnsi="Times New Roman"/>
          <w:sz w:val="24"/>
          <w:szCs w:val="24"/>
        </w:rPr>
        <w:t xml:space="preserve">[31] Mermaid, "Mermaid — diagramming and charting tool." [Online]. Available: https://mermaid.js.org/</w:t>
      </w:r>
    </w:p>
    <w:p>
      <w:pPr>
        <w:spacing w:after="100" w:line="276"/>
        <w:ind w:left="567" w:hanging="567"/>
        <w:jc w:val="left"/>
      </w:pPr>
      <w:r>
        <w:rPr>
          <w:rFonts w:ascii="Times New Roman" w:cs="Times New Roman" w:eastAsia="Times New Roman" w:hAnsi="Times New Roman"/>
          <w:sz w:val="24"/>
          <w:szCs w:val="24"/>
        </w:rPr>
        <w:t xml:space="preserve">[32] PlantUML, "PlantUML language reference guide." [Online]. Available: https://plantuml.com/</w:t>
      </w:r>
    </w:p>
    <w:p>
      <w:pPr>
        <w:spacing w:after="100" w:line="276"/>
        <w:ind w:left="567" w:hanging="567"/>
        <w:jc w:val="left"/>
      </w:pPr>
      <w:r>
        <w:rPr>
          <w:rFonts w:ascii="Times New Roman" w:cs="Times New Roman" w:eastAsia="Times New Roman" w:hAnsi="Times New Roman"/>
          <w:sz w:val="24"/>
          <w:szCs w:val="24"/>
        </w:rPr>
        <w:t xml:space="preserve">[33] Graphviz, "DOT language." [Online]. Available: https://graphviz.org/doc/info/lang.html</w:t>
      </w:r>
    </w:p>
    <w:p>
      <w:pPr>
        <w:spacing w:after="100" w:line="276"/>
        <w:ind w:left="567" w:hanging="567"/>
        <w:jc w:val="left"/>
      </w:pPr>
      <w:r>
        <w:rPr>
          <w:rFonts w:ascii="Times New Roman" w:cs="Times New Roman" w:eastAsia="Times New Roman" w:hAnsi="Times New Roman"/>
          <w:sz w:val="24"/>
          <w:szCs w:val="24"/>
        </w:rPr>
        <w:t xml:space="preserve">[34] Terrastruct, "D2 — declarative diagramming language." [Online]. Available: https://d2lang.com/</w:t>
      </w:r>
    </w:p>
    <w:p>
      <w:pPr>
        <w:spacing w:after="100" w:line="276"/>
        <w:ind w:left="567" w:hanging="567"/>
        <w:jc w:val="left"/>
      </w:pPr>
      <w:r>
        <w:rPr>
          <w:rFonts w:ascii="Times New Roman" w:cs="Times New Roman" w:eastAsia="Times New Roman" w:hAnsi="Times New Roman"/>
          <w:sz w:val="24"/>
          <w:szCs w:val="24"/>
        </w:rPr>
        <w:t xml:space="preserve">[35] WaveDrom, "WaveDrom — digital timing diagram everywhere." [Online]. Available: https://wavedrom.com/</w:t>
      </w:r>
    </w:p>
    <w:p>
      <w:pPr>
        <w:spacing w:after="100" w:line="276"/>
        <w:ind w:left="567" w:hanging="567"/>
        <w:jc w:val="left"/>
      </w:pPr>
      <w:r>
        <w:rPr>
          <w:rFonts w:ascii="Times New Roman" w:cs="Times New Roman" w:eastAsia="Times New Roman" w:hAnsi="Times New Roman"/>
          <w:sz w:val="24"/>
          <w:szCs w:val="24"/>
        </w:rPr>
        <w:t xml:space="preserve">[36] S. Brown, "The C4 model for visualising software architecture." [Online]. Available: https://c4model.com/</w:t>
      </w:r>
    </w:p>
    <w:p>
      <w:pPr>
        <w:spacing w:after="100" w:line="276"/>
        <w:ind w:left="567" w:hanging="567"/>
        <w:jc w:val="left"/>
      </w:pPr>
      <w:r>
        <w:rPr>
          <w:rFonts w:ascii="Times New Roman" w:cs="Times New Roman" w:eastAsia="Times New Roman" w:hAnsi="Times New Roman"/>
          <w:sz w:val="24"/>
          <w:szCs w:val="24"/>
        </w:rPr>
        <w:t xml:space="preserve">[37] D. Edge et al., "From Local to Global: A Graph RAG Approach to Query-Focused Summarization," arXiv:2404.16130, 2024.</w:t>
      </w:r>
    </w:p>
    <w:p>
      <w:pPr>
        <w:spacing w:after="100" w:line="276"/>
        <w:ind w:left="567" w:hanging="567"/>
        <w:jc w:val="left"/>
      </w:pPr>
      <w:r>
        <w:rPr>
          <w:rFonts w:ascii="Times New Roman" w:cs="Times New Roman" w:eastAsia="Times New Roman" w:hAnsi="Times New Roman"/>
          <w:sz w:val="24"/>
          <w:szCs w:val="24"/>
        </w:rPr>
        <w:t xml:space="preserve">[38] D. Nardi et al., "Architecture Decision Records (ADR)," adr.github.io. [Online]. Available: https://adr.github.io/</w:t>
      </w:r>
    </w:p>
    <w:p>
      <w:pPr>
        <w:spacing w:after="100" w:line="276"/>
        <w:ind w:left="567" w:hanging="567"/>
        <w:jc w:val="left"/>
      </w:pPr>
      <w:r>
        <w:rPr>
          <w:rFonts w:ascii="Times New Roman" w:cs="Times New Roman" w:eastAsia="Times New Roman" w:hAnsi="Times New Roman"/>
          <w:sz w:val="24"/>
          <w:szCs w:val="24"/>
        </w:rPr>
        <w:t xml:space="preserve">[39] libusb / pyserial / probe-rs, "Device enumeration and probe discovery APIs." [Online]. Available: https://probe.rs/</w:t>
      </w:r>
    </w:p>
    <w:p>
      <w:pPr>
        <w:spacing w:after="100" w:line="276"/>
        <w:ind w:left="567" w:hanging="567"/>
        <w:jc w:val="left"/>
      </w:pPr>
      <w:r>
        <w:rPr>
          <w:rFonts w:ascii="Times New Roman" w:cs="Times New Roman" w:eastAsia="Times New Roman" w:hAnsi="Times New Roman"/>
          <w:sz w:val="24"/>
          <w:szCs w:val="24"/>
        </w:rPr>
        <w:t xml:space="preserve">[40] Anthropic, "Effective context engineering for AI agents," Anthropic Engineering, 2025. [Online]. Available: https://www.anthropic.com/engineering/effective-context-engineering-for-ai-agents</w:t>
      </w:r>
    </w:p>
    <w:p>
      <w:pPr>
        <w:spacing w:after="100" w:line="276"/>
        <w:ind w:left="567" w:hanging="567"/>
        <w:jc w:val="left"/>
      </w:pPr>
      <w:r>
        <w:rPr>
          <w:rFonts w:ascii="Times New Roman" w:cs="Times New Roman" w:eastAsia="Times New Roman" w:hAnsi="Times New Roman"/>
          <w:sz w:val="24"/>
          <w:szCs w:val="24"/>
        </w:rPr>
        <w:t xml:space="preserve">[41] Anthropic, "Prompt caching," Claude Developer Platform documentation. [Online]. Available: https://docs.claude.com/en/docs/build-with-claude/prompt-caching</w:t>
      </w:r>
    </w:p>
    <w:p>
      <w:pPr>
        <w:spacing w:after="100" w:line="276"/>
        <w:ind w:left="567" w:hanging="567"/>
        <w:jc w:val="left"/>
      </w:pPr>
      <w:r>
        <w:rPr>
          <w:rFonts w:ascii="Times New Roman" w:cs="Times New Roman" w:eastAsia="Times New Roman" w:hAnsi="Times New Roman"/>
          <w:sz w:val="24"/>
          <w:szCs w:val="24"/>
        </w:rPr>
        <w:t xml:space="preserve">[42] Google, "Context caching," Gemini API documentation. [Online]. Available: https://ai.google.dev/gemini-api/docs/caching</w:t>
      </w:r>
    </w:p>
    <w:p>
      <w:pPr>
        <w:spacing w:after="100" w:line="276"/>
        <w:ind w:left="567" w:hanging="567"/>
        <w:jc w:val="left"/>
      </w:pPr>
      <w:r>
        <w:rPr>
          <w:rFonts w:ascii="Times New Roman" w:cs="Times New Roman" w:eastAsia="Times New Roman" w:hAnsi="Times New Roman"/>
          <w:sz w:val="24"/>
          <w:szCs w:val="24"/>
        </w:rPr>
        <w:t xml:space="preserve">[43] OpenAI, "Prompt caching," OpenAI Platform documentation. [Online]. Available: https://platform.openai.com/docs/guides/prompt-caching</w:t>
      </w:r>
    </w:p>
    <w:p>
      <w:pPr>
        <w:spacing w:after="100" w:line="276"/>
        <w:ind w:left="567" w:hanging="567"/>
        <w:jc w:val="left"/>
      </w:pPr>
      <w:r>
        <w:rPr>
          <w:rFonts w:ascii="Times New Roman" w:cs="Times New Roman" w:eastAsia="Times New Roman" w:hAnsi="Times New Roman"/>
          <w:sz w:val="24"/>
          <w:szCs w:val="24"/>
        </w:rPr>
        <w:t xml:space="preserve">[44] T. R. Sumers, S. Yao, K. Narasimhan, and T. L. Griffiths, "Cognitive Architectures for Language Agents (CoALA)," arXiv:2309.02427, 2023.</w:t>
      </w:r>
    </w:p>
    <w:p>
      <w:pPr>
        <w:spacing w:after="100" w:line="276"/>
        <w:ind w:left="567" w:hanging="567"/>
        <w:jc w:val="left"/>
      </w:pPr>
      <w:r>
        <w:rPr>
          <w:rFonts w:ascii="Times New Roman" w:cs="Times New Roman" w:eastAsia="Times New Roman" w:hAnsi="Times New Roman"/>
          <w:sz w:val="24"/>
          <w:szCs w:val="24"/>
        </w:rPr>
        <w:t xml:space="preserve">[45] C. Packer et al., "MemGPT: Towards LLMs as Operating Systems," arXiv:2310.08560, 2023.</w:t>
      </w:r>
    </w:p>
    <w:p>
      <w:pPr>
        <w:spacing w:after="100" w:line="276"/>
        <w:ind w:left="567" w:hanging="567"/>
        <w:jc w:val="left"/>
      </w:pPr>
      <w:r>
        <w:rPr>
          <w:rFonts w:ascii="Times New Roman" w:cs="Times New Roman" w:eastAsia="Times New Roman" w:hAnsi="Times New Roman"/>
          <w:sz w:val="24"/>
          <w:szCs w:val="24"/>
        </w:rPr>
        <w:t xml:space="preserve">[46] J. S. Park et al., "Generative Agents: Interactive Simulacra of Human Behavior," in Proc. UIST, 2023.</w:t>
      </w:r>
    </w:p>
    <w:p>
      <w:pPr>
        <w:spacing w:after="100" w:line="276"/>
        <w:ind w:left="567" w:hanging="567"/>
        <w:jc w:val="left"/>
      </w:pPr>
      <w:r>
        <w:rPr>
          <w:rFonts w:ascii="Times New Roman" w:cs="Times New Roman" w:eastAsia="Times New Roman" w:hAnsi="Times New Roman"/>
          <w:sz w:val="24"/>
          <w:szCs w:val="24"/>
        </w:rPr>
        <w:t xml:space="preserve">[47] N. F. Liu et al., "Lost in the Middle: How Language Models Use Long Contexts," Trans. ACL, vol. 12, 2024.</w:t>
      </w:r>
    </w:p>
    <w:p>
      <w:pPr>
        <w:spacing w:after="100" w:line="276"/>
        <w:ind w:left="567" w:hanging="567"/>
        <w:jc w:val="left"/>
      </w:pPr>
      <w:r>
        <w:rPr>
          <w:rFonts w:ascii="Times New Roman" w:cs="Times New Roman" w:eastAsia="Times New Roman" w:hAnsi="Times New Roman"/>
          <w:sz w:val="24"/>
          <w:szCs w:val="24"/>
        </w:rPr>
        <w:t xml:space="preserve">[48] P. Lewis et al., "Retrieval-Augmented Generation for Knowledge-Intensive NLP Tasks," in Proc. NeurIPS, 2020.</w:t>
      </w:r>
    </w:p>
    <w:p>
      <w:pPr>
        <w:spacing w:after="100" w:line="276"/>
        <w:ind w:left="567" w:hanging="567"/>
        <w:jc w:val="left"/>
      </w:pPr>
      <w:r>
        <w:rPr>
          <w:rFonts w:ascii="Times New Roman" w:cs="Times New Roman" w:eastAsia="Times New Roman" w:hAnsi="Times New Roman"/>
          <w:sz w:val="24"/>
          <w:szCs w:val="24"/>
        </w:rPr>
        <w:t xml:space="preserve">[49] OpenRPC, "OpenRPC Specification 1.3." [Online]. Available: https://spec.open-rpc.org/</w:t>
      </w:r>
    </w:p>
    <w:p>
      <w:pPr>
        <w:spacing w:after="100" w:line="276"/>
        <w:ind w:left="567" w:hanging="567"/>
        <w:jc w:val="left"/>
      </w:pPr>
      <w:r>
        <w:rPr>
          <w:rFonts w:ascii="Times New Roman" w:cs="Times New Roman" w:eastAsia="Times New Roman" w:hAnsi="Times New Roman"/>
          <w:sz w:val="24"/>
          <w:szCs w:val="24"/>
        </w:rPr>
        <w:t xml:space="preserve">[50] JSON-RPC Working Group, "JSON-RPC 2.0 Specification," 2010. [Online]. Available: https://www.jsonrpc.org/specification</w:t>
      </w:r>
    </w:p>
    <w:p>
      <w:pPr>
        <w:spacing w:after="100" w:line="276"/>
        <w:ind w:left="567" w:hanging="567"/>
        <w:jc w:val="left"/>
      </w:pPr>
      <w:r>
        <w:rPr>
          <w:rFonts w:ascii="Times New Roman" w:cs="Times New Roman" w:eastAsia="Times New Roman" w:hAnsi="Times New Roman"/>
          <w:sz w:val="24"/>
          <w:szCs w:val="24"/>
        </w:rPr>
        <w:t xml:space="preserve">[51] OWASP, "OWASP Top 10 for Large Language Model Applications," 2025. [Online]. Available: https://owasp.org/www-project-top-10-for-large-language-model-applications/</w:t>
      </w:r>
    </w:p>
    <w:p>
      <w:pPr>
        <w:spacing w:after="100" w:line="276"/>
        <w:ind w:left="567" w:hanging="567"/>
        <w:jc w:val="left"/>
      </w:pPr>
      <w:r>
        <w:rPr>
          <w:rFonts w:ascii="Times New Roman" w:cs="Times New Roman" w:eastAsia="Times New Roman" w:hAnsi="Times New Roman"/>
          <w:sz w:val="24"/>
          <w:szCs w:val="24"/>
        </w:rPr>
        <w:t xml:space="preserve">[52] buserror, "simavr — a lean AVR simulator," GitHub. [Online]. Available: https://github.com/buserror/simavr</w:t>
      </w:r>
    </w:p>
    <w:p>
      <w:pPr>
        <w:spacing w:after="100" w:line="276"/>
        <w:ind w:left="567" w:hanging="567"/>
        <w:jc w:val="left"/>
      </w:pPr>
      <w:r>
        <w:rPr>
          <w:rFonts w:ascii="Times New Roman" w:cs="Times New Roman" w:eastAsia="Times New Roman" w:hAnsi="Times New Roman"/>
          <w:sz w:val="24"/>
          <w:szCs w:val="24"/>
        </w:rPr>
        <w:t xml:space="preserve">[53] QEMU Project, "QEMU system emulation targets (Arm, RISC-V, Xtensa)." [Online]. Available: https://www.qemu.org/docs/master/system/targets.html</w:t>
      </w:r>
    </w:p>
    <w:p>
      <w:pPr>
        <w:spacing w:after="100" w:line="276"/>
        <w:ind w:left="567" w:hanging="567"/>
        <w:jc w:val="left"/>
      </w:pPr>
      <w:r>
        <w:rPr>
          <w:rFonts w:ascii="Times New Roman" w:cs="Times New Roman" w:eastAsia="Times New Roman" w:hAnsi="Times New Roman"/>
          <w:sz w:val="24"/>
          <w:szCs w:val="24"/>
        </w:rPr>
        <w:t xml:space="preserve">[54] J. Nielsen, "10 Usability Heuristics for User Interface Design," Nielsen Norman Group, 1994 (cập nhật 2024).</w:t>
      </w:r>
    </w:p>
    <w:p>
      <w:pPr>
        <w:spacing w:after="100" w:line="276"/>
        <w:ind w:left="567" w:hanging="567"/>
        <w:jc w:val="left"/>
      </w:pPr>
      <w:r>
        <w:rPr>
          <w:rFonts w:ascii="Times New Roman" w:cs="Times New Roman" w:eastAsia="Times New Roman" w:hAnsi="Times New Roman"/>
          <w:sz w:val="24"/>
          <w:szCs w:val="24"/>
        </w:rPr>
        <w:t xml:space="preserve">[55] Apple, "Human Interface Guidelines — macOS," Apple Developer. [Online]. Available: https://developer.apple.com/design/human-interface-guidelines/</w:t>
      </w:r>
    </w:p>
    <w:p>
      <w:pPr>
        <w:spacing w:after="100" w:line="276"/>
        <w:ind w:left="567" w:hanging="567"/>
        <w:jc w:val="left"/>
      </w:pPr>
      <w:r>
        <w:rPr>
          <w:rFonts w:ascii="Times New Roman" w:cs="Times New Roman" w:eastAsia="Times New Roman" w:hAnsi="Times New Roman"/>
          <w:sz w:val="24"/>
          <w:szCs w:val="24"/>
        </w:rPr>
        <w:t xml:space="preserve">[56] W3C, "Web Content Accessibility Guidelines (WCAG) 2.2," W3C Recommendation, 2023.</w:t>
      </w:r>
    </w:p>
    <w:p>
      <w:pPr>
        <w:spacing w:after="100" w:line="276"/>
        <w:ind w:left="567" w:hanging="567"/>
        <w:jc w:val="left"/>
      </w:pPr>
      <w:r>
        <w:rPr>
          <w:rFonts w:ascii="Times New Roman" w:cs="Times New Roman" w:eastAsia="Times New Roman" w:hAnsi="Times New Roman"/>
          <w:sz w:val="24"/>
          <w:szCs w:val="24"/>
        </w:rPr>
        <w:t xml:space="preserve">[57] V. T. Công, "EIDE-CXD-10 — Kiến trúc ngữ cảnh cho tác tử v1.0," 05/09/2026.</w:t>
      </w:r>
    </w:p>
    <w:p>
      <w:pPr>
        <w:spacing w:after="100" w:line="276"/>
        <w:ind w:left="567" w:hanging="567"/>
        <w:jc w:val="left"/>
      </w:pPr>
      <w:r>
        <w:rPr>
          <w:rFonts w:ascii="Times New Roman" w:cs="Times New Roman" w:eastAsia="Times New Roman" w:hAnsi="Times New Roman"/>
          <w:sz w:val="24"/>
          <w:szCs w:val="24"/>
        </w:rPr>
        <w:t xml:space="preserve">[58] V. T. Công, "EIDE-MEM-11 — Kiến trúc bộ nhớ tác tử v1.0," 05/09/2026.</w:t>
      </w:r>
    </w:p>
    <w:p>
      <w:pPr>
        <w:spacing w:after="100" w:line="276"/>
        <w:ind w:left="567" w:hanging="567"/>
        <w:jc w:val="left"/>
      </w:pPr>
      <w:r>
        <w:rPr>
          <w:rFonts w:ascii="Times New Roman" w:cs="Times New Roman" w:eastAsia="Times New Roman" w:hAnsi="Times New Roman"/>
          <w:sz w:val="24"/>
          <w:szCs w:val="24"/>
        </w:rPr>
        <w:t xml:space="preserve">[59] V. T. Công, "EIDE-CDS-12 — Đặc tả chi tiết năng lực (6 tập) v1.0," 05/09/2026.</w:t>
      </w:r>
    </w:p>
    <w:p>
      <w:pPr>
        <w:spacing w:after="100" w:line="276"/>
        <w:ind w:left="567" w:hanging="567"/>
        <w:jc w:val="left"/>
      </w:pPr>
      <w:r>
        <w:rPr>
          <w:rFonts w:ascii="Times New Roman" w:cs="Times New Roman" w:eastAsia="Times New Roman" w:hAnsi="Times New Roman"/>
          <w:sz w:val="24"/>
          <w:szCs w:val="24"/>
        </w:rPr>
        <w:t xml:space="preserve">[60] V. T. Công, "EIDE-UXD-13 — Đặc tả UI/UX v1.0," 05/09/2026.</w:t>
      </w:r>
    </w:p>
    <w:p>
      <w:pPr>
        <w:spacing w:after="100" w:line="276"/>
        <w:ind w:left="567" w:hanging="567"/>
        <w:jc w:val="left"/>
      </w:pPr>
      <w:r>
        <w:rPr>
          <w:rFonts w:ascii="Times New Roman" w:cs="Times New Roman" w:eastAsia="Times New Roman" w:hAnsi="Times New Roman"/>
          <w:sz w:val="24"/>
          <w:szCs w:val="24"/>
        </w:rPr>
        <w:t xml:space="preserve">[61] V. T. Công, "EIDE-DDD-14 — Từ điển dữ liệu, DDL và di trú v1.0," 05/09/2026.</w:t>
      </w:r>
    </w:p>
    <w:p>
      <w:pPr>
        <w:spacing w:after="100" w:line="276"/>
        <w:ind w:left="567" w:hanging="567"/>
        <w:jc w:val="left"/>
      </w:pPr>
      <w:r>
        <w:rPr>
          <w:rFonts w:ascii="Times New Roman" w:cs="Times New Roman" w:eastAsia="Times New Roman" w:hAnsi="Times New Roman"/>
          <w:sz w:val="24"/>
          <w:szCs w:val="24"/>
        </w:rPr>
        <w:t xml:space="preserve">[62] V. T. Công, "EIDE-API-15 — Đặc tả giao diện lập trình v1.0," 05/09/2026.</w:t>
      </w:r>
    </w:p>
    <w:p>
      <w:pPr>
        <w:spacing w:after="100" w:line="276"/>
        <w:ind w:left="567" w:hanging="567"/>
        <w:jc w:val="left"/>
      </w:pPr>
      <w:r>
        <w:rPr>
          <w:rFonts w:ascii="Times New Roman" w:cs="Times New Roman" w:eastAsia="Times New Roman" w:hAnsi="Times New Roman"/>
          <w:sz w:val="24"/>
          <w:szCs w:val="24"/>
        </w:rPr>
        <w:t xml:space="preserve">[63] V. T. Công, "EIDE-PRS-16 — Prompt, vai trò LLM và skill v1.0," 05/09/2026.</w:t>
      </w:r>
    </w:p>
    <w:p>
      <w:pPr>
        <w:spacing w:after="100" w:line="276"/>
        <w:ind w:left="567" w:hanging="567"/>
        <w:jc w:val="left"/>
      </w:pPr>
      <w:r>
        <w:rPr>
          <w:rFonts w:ascii="Times New Roman" w:cs="Times New Roman" w:eastAsia="Times New Roman" w:hAnsi="Times New Roman"/>
          <w:sz w:val="24"/>
          <w:szCs w:val="24"/>
        </w:rPr>
        <w:t xml:space="preserve">[64] V. T. Công, "EIDE-POL-17 — Quy tắc chính sách tự chủ máy đọc được v1.0," 05/09/2026.</w:t>
      </w:r>
    </w:p>
    <w:p>
      <w:pPr>
        <w:spacing w:after="100" w:line="276"/>
        <w:ind w:left="567" w:hanging="567"/>
        <w:jc w:val="left"/>
      </w:pPr>
      <w:r>
        <w:rPr>
          <w:rFonts w:ascii="Times New Roman" w:cs="Times New Roman" w:eastAsia="Times New Roman" w:hAnsi="Times New Roman"/>
          <w:sz w:val="24"/>
          <w:szCs w:val="24"/>
        </w:rPr>
        <w:t xml:space="preserve">[65] V. T. Công, "EIDE-TGT-19 — ISA profile, toolchain, adapter target và discovery v1.0," 05/09/2026.</w:t>
      </w:r>
    </w:p>
    <w:p>
      <w:pPr>
        <w:spacing w:after="100" w:line="276"/>
        <w:ind w:left="567" w:hanging="567"/>
        <w:jc w:val="left"/>
      </w:pPr>
      <w:r>
        <w:rPr>
          <w:rFonts w:ascii="Times New Roman" w:cs="Times New Roman" w:eastAsia="Times New Roman" w:hAnsi="Times New Roman"/>
          <w:sz w:val="24"/>
          <w:szCs w:val="24"/>
        </w:rPr>
        <w:t xml:space="preserve">[66] V. T. Công, "EIDE-SIM-20 — Thiết kế mô phỏng v1.0," 05/09/2026.</w:t>
      </w:r>
    </w:p>
    <w:p>
      <w:pPr>
        <w:spacing w:after="100" w:line="276"/>
        <w:ind w:left="567" w:hanging="567"/>
        <w:jc w:val="left"/>
      </w:pPr>
      <w:r>
        <w:rPr>
          <w:rFonts w:ascii="Times New Roman" w:cs="Times New Roman" w:eastAsia="Times New Roman" w:hAnsi="Times New Roman"/>
          <w:sz w:val="24"/>
          <w:szCs w:val="24"/>
        </w:rPr>
        <w:t xml:space="preserve">[67] V. T. Công, "EIDE-Rà soát đủ điều kiện phát triển (EIDE_Ra_soat_Du_dieu_kien_Phat_trien.xlsx)," 05/09/2026.</w:t>
      </w:r>
    </w:p>
    <w:p>
      <w:pPr>
        <w:spacing w:after="100" w:line="276"/>
        <w:ind w:left="567" w:hanging="567"/>
        <w:jc w:val="left"/>
      </w:pPr>
      <w:r>
        <w:rPr>
          <w:rFonts w:ascii="Times New Roman" w:cs="Times New Roman" w:eastAsia="Times New Roman" w:hAnsi="Times New Roman"/>
          <w:sz w:val="24"/>
          <w:szCs w:val="24"/>
        </w:rPr>
        <w:t xml:space="preserve">[68] Anthropic, "Claude Code documentation — memory (CLAUDE.md), slash commands, hooks, settings," Claude Docs, 2026. [Online]. Available: https://docs.claude.com/en/docs/claude-code</w:t>
      </w:r>
    </w:p>
    <w:sectPr>
      <w:headerReference w:type="default" r:id="rId7"/>
      <w:footerReference w:type="default" r:id="rId8"/>
      <w:pgSz w:w="11906" w:h="16838" w:orient="portrait"/>
      <w:pgMar w:top="1134"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595959"/>
        <w:sz w:val="20"/>
        <w:szCs w:val="20"/>
      </w:rPr>
      <w:t xml:space="preserve">EIDE — Bộ hồ sơ thiết kế v1.2 · Trang </w:t>
    </w:r>
    <w:r>
      <w:rPr>
        <w:rFonts w:ascii="Times New Roman" w:cs="Times New Roman" w:eastAsia="Times New Roman" w:hAnsi="Times New Roman"/>
        <w:color w:val="595959"/>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color w:val="595959"/>
        <w:sz w:val="20"/>
        <w:szCs w:val="20"/>
      </w:rPr>
      <w:t xml:space="preserve">EIDE-CDS-12.5 · Đặc tả năng lực — tập 5 · v1.0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Times New Roman" w:cs="Times New Roman" w:eastAsia="Times New Roman" w:hAnsi="Times New Roman"/>
      <w:b/>
      <w:bCs/>
      <w:color w:val="1F3864"/>
      <w:sz w:val="28"/>
      <w:szCs w:val="28"/>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color w:val="1F3864"/>
      <w:sz w:val="26"/>
      <w:szCs w:val="26"/>
    </w:rPr>
  </w:style>
  <w:style w:type="paragraph" w:styleId="Heading3">
    <w:name w:val="Heading 3"/>
    <w:basedOn w:val="Normal"/>
    <w:next w:val="Normal"/>
    <w:qFormat/>
    <w:pPr>
      <w:spacing w:after="100" w:before="200"/>
      <w:outlineLvl w:val="2"/>
    </w:pPr>
    <w:rPr>
      <w:rFonts w:ascii="Times New Roman" w:cs="Times New Roman" w:eastAsia="Times New Roman" w:hAnsi="Times New Roman"/>
      <w:b/>
      <w:bCs/>
      <w:i/>
      <w:iCs/>
      <w:color w:val="1F3864"/>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ĐẶC TẢ CHI TIẾT NĂNG LỰC (CDS) — TẬP 5: QUẢN TRỊ</dc:title>
  <dc:creator>Vũ Trí Công</dc:creator>
  <cp:lastModifiedBy>Un-named</cp:lastModifiedBy>
  <cp:revision>1</cp:revision>
  <dcterms:created xsi:type="dcterms:W3CDTF">2026-09-10T11:07:16.820Z</dcterms:created>
  <dcterms:modified xsi:type="dcterms:W3CDTF">2026-09-10T11:07:16.820Z</dcterms:modified>
</cp:coreProperties>
</file>

<file path=docProps/custom.xml><?xml version="1.0" encoding="utf-8"?>
<Properties xmlns="http://schemas.openxmlformats.org/officeDocument/2006/custom-properties" xmlns:vt="http://schemas.openxmlformats.org/officeDocument/2006/docPropsVTypes"/>
</file>