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Thử công thức LaTeX — sáu ngữ cảnh</w:t>
      </w:r>
    </w:p>
    <w:p>
      <w:r>
        <w:rPr>
          <w:b w:val="0"/>
          <w:i w:val="0"/>
        </w:rPr>
        <w:t xml:space="preserve">Tệp này là </w:t>
      </w:r>
      <w:r>
        <w:rPr>
          <w:b/>
          <w:i w:val="0"/>
        </w:rPr>
        <w:t>nguồn</w:t>
      </w:r>
      <w:r>
        <w:rPr>
          <w:b w:val="0"/>
          <w:i w:val="0"/>
        </w:rPr>
        <w:t xml:space="preserve">. Bốn tệp cạnh nó dựng từ chính nó bằng </w:t>
      </w:r>
      <w:r>
        <w:rPr>
          <w:rFonts w:ascii="Menlo" w:hAnsi="Menlo"/>
          <w:b w:val="0"/>
          <w:i w:val="0"/>
          <w:sz w:val="19"/>
        </w:rPr>
        <w:t>doc.render</w:t>
      </w:r>
      <w:r>
        <w:rPr>
          <w:b w:val="0"/>
          <w:i w:val="0"/>
        </w:rPr>
        <w:t>. Mở từng tệp ra, không chỗ nào được còn cú pháp TeX thô.</w:t>
      </w:r>
    </w:p>
    <w:p>
      <w:pPr>
        <w:pStyle w:val="Heading2"/>
      </w:pPr>
      <w:r>
        <w:t>1. Công thức nguyên một đoạn</w:t>
      </w:r>
    </w:p>
    <w:p>
      <w:pPr>
        <w:jc w:val="center"/>
      </w:pPr>
      <w:r>
        <w:rPr>
          <w:i/>
        </w:rPr>
        <w:t>f_VCO = f_in × PLLN/PLLM</w:t>
      </w:r>
    </w:p>
    <w:p>
      <w:pPr>
        <w:pStyle w:val="Heading2"/>
      </w:pPr>
      <w:r>
        <w:t>2. Công thức GIỮA DÒNG</w:t>
      </w:r>
    </w:p>
    <w:p>
      <w:r>
        <w:rPr>
          <w:b w:val="0"/>
          <w:i w:val="0"/>
        </w:rPr>
        <w:t xml:space="preserve">Tần số ra là </w:t>
      </w:r>
      <w:r>
        <w:rPr>
          <w:b w:val="0"/>
          <w:i/>
        </w:rPr>
        <w:t>f_out = f_VCO/PLLP</w:t>
      </w:r>
      <w:r>
        <w:rPr>
          <w:b w:val="0"/>
          <w:i w:val="0"/>
        </w:rPr>
        <w:t xml:space="preserve"> với </w:t>
      </w:r>
      <w:r>
        <w:rPr>
          <w:b w:val="0"/>
          <w:i/>
        </w:rPr>
        <w:t>PLLP ∈ {2,4,6,8}</w:t>
      </w:r>
      <w:r>
        <w:rPr>
          <w:b w:val="0"/>
          <w:i w:val="0"/>
        </w:rPr>
        <w:t xml:space="preserve">, nên </w:t>
      </w:r>
      <w:r>
        <w:rPr>
          <w:b w:val="0"/>
          <w:i/>
        </w:rPr>
        <w:t>f_out ≤ 180</w:t>
      </w:r>
      <w:r>
        <w:rPr>
          <w:b w:val="0"/>
          <w:i w:val="0"/>
        </w:rPr>
        <w:t xml:space="preserve"> MHz. Sai lệch pha </w:t>
      </w:r>
      <w:r>
        <w:rPr>
          <w:b w:val="0"/>
          <w:i/>
        </w:rPr>
        <w:t>Δφ ≈ ± 2°</w:t>
      </w:r>
      <w:r>
        <w:rPr>
          <w:b w:val="0"/>
          <w:i w:val="0"/>
        </w:rPr>
        <w:t>.</w:t>
      </w:r>
    </w:p>
    <w:p>
      <w:pPr>
        <w:pStyle w:val="Heading2"/>
      </w:pPr>
      <w:r>
        <w:t>3. Trong gạch đầu dòng</w:t>
      </w:r>
    </w:p>
    <w:p>
      <w:pPr>
        <w:pStyle w:val="ListBullet"/>
        <w:ind w:left="360"/>
      </w:pPr>
      <w:r>
        <w:rPr>
          <w:b w:val="0"/>
          <w:i w:val="0"/>
        </w:rPr>
        <w:t xml:space="preserve">Chu kỳ SysTick: </w:t>
      </w:r>
      <w:r>
        <w:rPr>
          <w:b w:val="0"/>
          <w:i/>
        </w:rPr>
        <w:t>T = 1/1000</w:t>
      </w:r>
      <w:r>
        <w:rPr>
          <w:b w:val="0"/>
          <w:i w:val="0"/>
        </w:rPr>
        <w:t xml:space="preserve"> s</w:t>
      </w:r>
    </w:p>
    <w:p>
      <w:pPr>
        <w:pStyle w:val="ListBullet"/>
        <w:ind w:left="360"/>
      </w:pPr>
      <w:r>
        <w:rPr>
          <w:b w:val="0"/>
          <w:i w:val="0"/>
        </w:rPr>
        <w:t xml:space="preserve">Ngưỡng dẫn: </w:t>
      </w:r>
      <w:r>
        <w:rPr>
          <w:b w:val="0"/>
          <w:i/>
        </w:rPr>
        <w:t>V_th ≈ 0.7</w:t>
      </w:r>
      <w:r>
        <w:rPr>
          <w:b w:val="0"/>
          <w:i w:val="0"/>
        </w:rPr>
        <w:t xml:space="preserve"> V</w:t>
      </w:r>
    </w:p>
    <w:p>
      <w:pPr>
        <w:pStyle w:val="ListBullet"/>
        <w:ind w:left="360"/>
      </w:pPr>
      <w:r>
        <w:rPr>
          <w:b w:val="0"/>
          <w:i w:val="0"/>
        </w:rPr>
        <w:t xml:space="preserve">Sai số </w:t>
      </w:r>
      <w:r>
        <w:rPr>
          <w:b w:val="0"/>
          <w:i/>
        </w:rPr>
        <w:t>± 2%</w:t>
      </w:r>
      <w:r>
        <w:rPr>
          <w:b w:val="0"/>
          <w:i w:val="0"/>
        </w:rPr>
        <w:t xml:space="preserve">, hằng số thời gian </w:t>
      </w:r>
      <w:r>
        <w:rPr>
          <w:b w:val="0"/>
          <w:i/>
        </w:rPr>
        <w:t>τ = R · C</w:t>
      </w:r>
    </w:p>
    <w:p>
      <w:pPr>
        <w:pStyle w:val="ListBullet"/>
        <w:ind w:left="360"/>
      </w:pPr>
      <w:r>
        <w:rPr>
          <w:b w:val="0"/>
          <w:i w:val="0"/>
        </w:rPr>
        <w:t xml:space="preserve">Điều kiện ổn định: </w:t>
      </w:r>
      <w:r>
        <w:rPr>
          <w:b w:val="0"/>
          <w:i/>
        </w:rPr>
        <w:t>ω_c ≪ ω_s</w:t>
      </w:r>
    </w:p>
    <w:p>
      <w:pPr>
        <w:pStyle w:val="Heading2"/>
      </w:pPr>
      <w:r>
        <w:t>4. Trong bảng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133"/>
        <w:gridCol w:w="3871"/>
        <w:gridCol w:w="2212"/>
      </w:tblGrid>
      <w:tr>
        <w:tc>
          <w:tcPr>
            <w:tcW w:type="dxa" w:w="313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Tham số</w:t>
            </w:r>
          </w:p>
        </w:tc>
        <w:tc>
          <w:tcPr>
            <w:tcW w:type="dxa" w:w="3871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Công thức</w:t>
            </w:r>
          </w:p>
        </w:tc>
        <w:tc>
          <w:tcPr>
            <w:tcW w:type="dxa" w:w="2212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Giá trị</w:t>
            </w:r>
          </w:p>
        </w:tc>
      </w:tr>
      <w:tr>
        <w:tc>
          <w:tcPr>
            <w:tcW w:type="dxa" w:w="3133"/>
          </w:tcPr>
          <w:p>
            <w:r/>
            <w:r>
              <w:rPr>
                <w:b w:val="0"/>
                <w:i w:val="0"/>
              </w:rPr>
              <w:t>Tần số VCO</w:t>
            </w:r>
          </w:p>
        </w:tc>
        <w:tc>
          <w:tcPr>
            <w:tcW w:type="dxa" w:w="3871"/>
          </w:tcPr>
          <w:p>
            <w:r/>
            <w:r>
              <w:rPr>
                <w:b w:val="0"/>
                <w:i/>
              </w:rPr>
              <w:t>f_in × N/M</w:t>
            </w:r>
          </w:p>
        </w:tc>
        <w:tc>
          <w:tcPr>
            <w:tcW w:type="dxa" w:w="2212"/>
          </w:tcPr>
          <w:p>
            <w:r/>
            <w:r>
              <w:rPr>
                <w:b w:val="0"/>
                <w:i w:val="0"/>
              </w:rPr>
              <w:t>360 MHz</w:t>
            </w:r>
          </w:p>
        </w:tc>
      </w:tr>
      <w:tr>
        <w:tc>
          <w:tcPr>
            <w:tcW w:type="dxa" w:w="3133"/>
          </w:tcPr>
          <w:p>
            <w:r/>
            <w:r>
              <w:rPr>
                <w:b w:val="0"/>
                <w:i w:val="0"/>
              </w:rPr>
              <w:t>Dòng tải</w:t>
            </w:r>
          </w:p>
        </w:tc>
        <w:tc>
          <w:tcPr>
            <w:tcW w:type="dxa" w:w="3871"/>
          </w:tcPr>
          <w:p>
            <w:r/>
            <w:r>
              <w:rPr>
                <w:b w:val="0"/>
                <w:i/>
              </w:rPr>
              <w:t>I = V/R</w:t>
            </w:r>
          </w:p>
        </w:tc>
        <w:tc>
          <w:tcPr>
            <w:tcW w:type="dxa" w:w="2212"/>
          </w:tcPr>
          <w:p>
            <w:r/>
            <w:r>
              <w:rPr>
                <w:b w:val="0"/>
                <w:i w:val="0"/>
              </w:rPr>
              <w:t>200 mA</w:t>
            </w:r>
          </w:p>
        </w:tc>
      </w:tr>
      <w:tr>
        <w:tc>
          <w:tcPr>
            <w:tcW w:type="dxa" w:w="3133"/>
          </w:tcPr>
          <w:p>
            <w:r/>
            <w:r>
              <w:rPr>
                <w:b w:val="0"/>
                <w:i w:val="0"/>
              </w:rPr>
              <w:t>Trở kháng</w:t>
            </w:r>
          </w:p>
        </w:tc>
        <w:tc>
          <w:tcPr>
            <w:tcW w:type="dxa" w:w="3871"/>
          </w:tcPr>
          <w:p>
            <w:r/>
            <w:r>
              <w:rPr>
                <w:b w:val="0"/>
                <w:i/>
              </w:rPr>
              <w:t>Z = √(R^2 + X^2)</w:t>
            </w:r>
          </w:p>
        </w:tc>
        <w:tc>
          <w:tcPr>
            <w:tcW w:type="dxa" w:w="2212"/>
          </w:tcPr>
          <w:p>
            <w:r/>
            <w:r>
              <w:rPr>
                <w:b w:val="0"/>
                <w:i w:val="0"/>
              </w:rPr>
              <w:t>50 Ω</w:t>
            </w:r>
          </w:p>
        </w:tc>
      </w:tr>
    </w:tbl>
    <w:p/>
    <w:p>
      <w:pPr>
        <w:pStyle w:val="Heading2"/>
      </w:pPr>
      <w:r>
        <w:t>5. Trong trích dẫn</w:t>
      </w:r>
    </w:p>
    <w:p>
      <w:pPr>
        <w:pStyle w:val="IntenseQuote"/>
      </w:pPr>
      <w:r>
        <w:rPr>
          <w:b w:val="0"/>
          <w:i w:val="0"/>
        </w:rPr>
        <w:t xml:space="preserve">Điện áp rơi </w:t>
      </w:r>
      <w:r>
        <w:rPr>
          <w:b w:val="0"/>
          <w:i/>
        </w:rPr>
        <w:t>V_drop = I × R_DS(on)</w:t>
      </w:r>
      <w:r>
        <w:rPr>
          <w:b w:val="0"/>
          <w:i w:val="0"/>
        </w:rPr>
        <w:t xml:space="preserve"> phải nhỏ hơn 100 mV, nếu không thì hiệu suất tụt dưới </w:t>
      </w:r>
      <w:r>
        <w:rPr>
          <w:b w:val="0"/>
          <w:i/>
        </w:rPr>
        <w:t>η = 0.9</w:t>
      </w:r>
      <w:r>
        <w:rPr>
          <w:b w:val="0"/>
          <w:i w:val="0"/>
        </w:rPr>
        <w:t>.</w:t>
      </w:r>
    </w:p>
    <w:p>
      <w:pPr>
        <w:pStyle w:val="Heading2"/>
      </w:pPr>
      <w:r>
        <w:t>6. Khối math rào ba dấu backtick</w:t>
      </w:r>
    </w:p>
    <w:p>
      <w:pPr>
        <w:jc w:val="center"/>
      </w:pPr>
      <w:r>
        <w:rPr>
          <w:i/>
        </w:rPr>
        <w:t>τ = R · C, f_c = 1/(2πτ)</w:t>
      </w:r>
    </w:p>
    <w:p>
      <w:pPr>
        <w:pStyle w:val="Heading2"/>
      </w:pPr>
      <w:r>
        <w:t>7. Dấu đô-la là TIỀN — phải giữ nguyên</w:t>
      </w:r>
    </w:p>
    <w:p>
      <w:r>
        <w:rPr>
          <w:b w:val="0"/>
          <w:i w:val="0"/>
        </w:rPr>
        <w:t>Ba mức chi phí: $82 triệu · $111 triệu · $142 triệu, tức khoảng $4,450 USD. Biến môi trường $HOME và $PATH cũng không được đụng tới.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