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Prijedlog za školski kurikulum: Beč &amp; Budimpešta za srednje škole</w:t>
      </w:r>
    </w:p>
    <w:p>
      <w:r>
        <w:rPr>
          <w:i w:val="0"/>
          <w:color w:val="556070"/>
        </w:rPr>
        <w:t>Prijedlog za prilagodbu; konačni tekst određuje škola.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Aktivnost</w:t>
            </w:r>
          </w:p>
        </w:tc>
        <w:tc>
          <w:tcPr>
            <w:tcW w:type="dxa" w:w="6236"/>
          </w:tcPr>
          <w:p>
            <w:r>
              <w:t>Višednevna izvanučionička nastava: Beč &amp; Budimpešta za srednje škole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Razred</w:t>
            </w:r>
          </w:p>
        </w:tc>
        <w:tc>
          <w:tcPr>
            <w:tcW w:type="dxa" w:w="6236"/>
          </w:tcPr>
          <w:p>
            <w:r>
              <w:t>srednja škola [razred i odjeljenja]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Odredište</w:t>
            </w:r>
          </w:p>
        </w:tc>
        <w:tc>
          <w:tcPr>
            <w:tcW w:type="dxa" w:w="6236"/>
          </w:tcPr>
          <w:p>
            <w:r>
              <w:t>Austrija i Mađarska · Beč, Schönbrunn, Budimpešta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Trajanje</w:t>
            </w:r>
          </w:p>
        </w:tc>
        <w:tc>
          <w:tcPr>
            <w:tcW w:type="dxa" w:w="6236"/>
          </w:tcPr>
          <w:p>
            <w:r>
              <w:t>4 dana / 3 noći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Cilj</w:t>
            </w:r>
          </w:p>
        </w:tc>
        <w:tc>
          <w:tcPr>
            <w:tcW w:type="dxa" w:w="6236"/>
          </w:tcPr>
          <w:p>
            <w:r>
              <w:t>Upoznati povijest srednje Europe i Habsburške Monarhije, kulturnu baštinu Beča i Budimpešte te povezanost Hrvatske s tim prostorom.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Povezanost s predmetima</w:t>
            </w:r>
          </w:p>
        </w:tc>
        <w:tc>
          <w:tcPr>
            <w:tcW w:type="dxa" w:w="6236"/>
          </w:tcPr>
          <w:p>
            <w:r>
              <w:t>Povijest, Geografija, Njemački jezik, Likovna umjetnost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Nositelji</w:t>
            </w:r>
          </w:p>
        </w:tc>
        <w:tc>
          <w:tcPr>
            <w:tcW w:type="dxa" w:w="6236"/>
          </w:tcPr>
          <w:p>
            <w:r>
              <w:t>[Razrednici / učitelji pratitelji], turistička agencija TERRA POMALO d.o.o. (Veliki odmor)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realizacije</w:t>
            </w:r>
          </w:p>
        </w:tc>
        <w:tc>
          <w:tcPr>
            <w:tcW w:type="dxa" w:w="6236"/>
          </w:tcPr>
          <w:p>
            <w:r>
              <w:t>Terenska nastava prema programu putovanja uz stručno vodstvo; radni listići i zadaci za učenike.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Vremenik</w:t>
            </w:r>
          </w:p>
        </w:tc>
        <w:tc>
          <w:tcPr>
            <w:tcW w:type="dxa" w:w="6236"/>
          </w:tcPr>
          <w:p>
            <w:r>
              <w:t>[Mjesec i godina]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Troškovnik</w:t>
            </w:r>
          </w:p>
        </w:tc>
        <w:tc>
          <w:tcPr>
            <w:tcW w:type="dxa" w:w="6236"/>
          </w:tcPr>
          <w:p>
            <w:r>
              <w:t>Prema odabranoj ponudi na javni poziv; troškove snose roditelji [moguće obročno plaćanje].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vrednovanja</w:t>
            </w:r>
          </w:p>
        </w:tc>
        <w:tc>
          <w:tcPr>
            <w:tcW w:type="dxa" w:w="6236"/>
          </w:tcPr>
          <w:p>
            <w:r>
              <w:t>Prezentacija skupine, putopis ili kviz.</w:t>
            </w:r>
          </w:p>
        </w:tc>
      </w:tr>
    </w:tbl>
    <w:p/>
    <w:p>
      <w:pPr>
        <w:pStyle w:val="Heading2"/>
      </w:pPr>
      <w:r>
        <w:rPr>
          <w:color w:val="103A6E"/>
        </w:rPr>
        <w:t>Očekivani ishodi</w:t>
      </w:r>
    </w:p>
    <w:p>
      <w:r>
        <w:t>Učenik:</w:t>
      </w:r>
    </w:p>
    <w:p>
      <w:pPr>
        <w:pStyle w:val="ListBullet"/>
      </w:pPr>
      <w:r>
        <w:t>objašnjava ulogu Beča i Budimpešte u povijesti Habsburške Monarhije i Hrvatske</w:t>
      </w:r>
    </w:p>
    <w:p>
      <w:pPr>
        <w:pStyle w:val="ListBullet"/>
      </w:pPr>
      <w:r>
        <w:t>opisuje odabrane umjetničke i arhitektonske stilove na primjerima</w:t>
      </w:r>
    </w:p>
    <w:p>
      <w:pPr>
        <w:pStyle w:val="ListBullet"/>
      </w:pPr>
      <w:r>
        <w:t>koristi strani jezik u svakodnevnim situacijama</w:t>
      </w:r>
    </w:p>
    <w:p>
      <w:pPr>
        <w:pStyle w:val="ListBullet"/>
      </w:pPr>
      <w:r>
        <w:t>uspoređuje dva grada na Dunavu prema zadanim kriterijima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