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0285648E" w:rsidR="00696727" w:rsidRDefault="00211655" w:rsidP="003A4898">
      <w:pPr>
        <w:pStyle w:val="Heading1"/>
        <w:spacing w:before="0" w:line="240" w:lineRule="auto"/>
        <w:contextualSpacing/>
        <w:mirrorIndents/>
        <w:jc w:val="both"/>
      </w:pPr>
      <w:bookmarkStart w:id="0" w:name="_Hlk26888613"/>
      <w:r>
        <w:t xml:space="preserve">Modeling the Contribution of Offshore Wind to the Grid Mix and Air Quality Implications: </w:t>
      </w:r>
      <w:r w:rsidR="000D3080">
        <w:t xml:space="preserve">U.S. </w:t>
      </w:r>
      <w:r>
        <w:t>National Approac</w:t>
      </w:r>
      <w:r w:rsidR="00696727">
        <w:t>h</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spellStart"/>
      <w:proofErr w:type="gramStart"/>
      <w:r>
        <w:rPr>
          <w:vertAlign w:val="superscript"/>
        </w:rPr>
        <w:t>a</w:t>
      </w:r>
      <w:proofErr w:type="spellEnd"/>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4E72FC3"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 w:name="_Hlk20918300"/>
      <w:r w:rsidR="006B66AE" w:rsidRPr="006B66AE">
        <w:t>CO</w:t>
      </w:r>
      <w:r w:rsidR="006B66AE" w:rsidRPr="006B66AE">
        <w:rPr>
          <w:vertAlign w:val="subscript"/>
        </w:rPr>
        <w:t>2</w:t>
      </w:r>
      <w:bookmarkEnd w:id="1"/>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1CA46DFB"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7729E1E2" w:rsidR="00DF0151" w:rsidRDefault="008570E5" w:rsidP="003A4898">
      <w:pPr>
        <w:pStyle w:val="Heading2"/>
        <w:jc w:val="both"/>
      </w:pPr>
      <w:r>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4914AD5A"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7CD60AC2"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54%</w:t>
      </w:r>
      <w:r w:rsidR="007579C4">
        <w:t xml:space="preserve">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77777777"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2C1B8DBB" w:rsidR="00304B8A" w:rsidRPr="00304B8A" w:rsidRDefault="008570E5" w:rsidP="003A4898">
      <w:pPr>
        <w:pStyle w:val="Heading2"/>
        <w:jc w:val="both"/>
      </w:pPr>
      <w:r>
        <w:t>Background</w:t>
      </w:r>
    </w:p>
    <w:p w14:paraId="37FE5419" w14:textId="77777777" w:rsidR="00304B8A" w:rsidRDefault="00304B8A" w:rsidP="003A4898">
      <w:pPr>
        <w:spacing w:after="0" w:line="240" w:lineRule="auto"/>
        <w:contextualSpacing/>
        <w:mirrorIndents/>
        <w:jc w:val="both"/>
      </w:pPr>
    </w:p>
    <w:p w14:paraId="486F5379" w14:textId="6EA36854"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3ECA2BE1"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138BD3EA"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xml:space="preserve">. Supply chain and infrastructure advancement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26323DDC"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t>Maine: 2019 Maine Offshore Wind Initiative and floating offshore turbine demonstration project announced by the Governor</w:t>
      </w:r>
    </w:p>
    <w:p w14:paraId="4022A265" w14:textId="77777777" w:rsidR="003A4898" w:rsidRDefault="003A4898" w:rsidP="003A4898">
      <w:pPr>
        <w:framePr w:w="7260" w:h="4020" w:hSpace="180" w:wrap="around" w:vAnchor="text" w:hAnchor="page" w:x="676" w:y="-74"/>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5CB36B5B" wp14:editId="78C58AA3">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0BBCDC87" w14:textId="77777777" w:rsidR="003A4898" w:rsidRDefault="003A4898" w:rsidP="003A4898">
      <w:pPr>
        <w:pStyle w:val="Caption"/>
        <w:keepNext/>
        <w:framePr w:w="7260" w:h="4020" w:hSpace="180" w:wrap="around" w:vAnchor="text" w:hAnchor="page" w:x="676" w:y="-74"/>
        <w:pBdr>
          <w:top w:val="single" w:sz="6" w:space="1" w:color="auto"/>
          <w:left w:val="single" w:sz="6" w:space="1" w:color="auto"/>
          <w:bottom w:val="single" w:sz="6" w:space="1" w:color="auto"/>
          <w:right w:val="single" w:sz="6" w:space="1" w:color="auto"/>
        </w:pBdr>
        <w:spacing w:after="0"/>
        <w:contextualSpacing/>
        <w:mirrorIndents/>
        <w:jc w:val="both"/>
      </w:pPr>
      <w:r>
        <w:t xml:space="preserve">Table </w:t>
      </w:r>
      <w:r>
        <w:fldChar w:fldCharType="begin"/>
      </w:r>
      <w:r>
        <w:instrText xml:space="preserve"> SEQ Table \* ARABIC </w:instrText>
      </w:r>
      <w:r>
        <w:fldChar w:fldCharType="separate"/>
      </w:r>
      <w:r>
        <w:rPr>
          <w:noProof/>
        </w:rPr>
        <w:t>1</w:t>
      </w:r>
      <w:r>
        <w:rPr>
          <w:noProof/>
        </w:rPr>
        <w:fldChar w:fldCharType="end"/>
      </w:r>
      <w:r>
        <w:t xml:space="preserve">. AEO 2018 LCOE </w:t>
      </w:r>
      <w:r>
        <w:fldChar w:fldCharType="begin"/>
      </w:r>
      <w:r>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w:t>
      </w:r>
      <w:r w:rsidR="00CD4A2F">
        <w:lastRenderedPageBreak/>
        <w:t xml:space="preserve">for three lease areas with 32 rounds of bidding; 2019 second solicitation for 400-800 MW projects </w:t>
      </w:r>
    </w:p>
    <w:p w14:paraId="644282AD" w14:textId="41A852DA"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1C6DBD39" w:rsidR="00B60C0C" w:rsidRDefault="00B60C0C" w:rsidP="003A4898">
      <w:pPr>
        <w:spacing w:after="0" w:line="240" w:lineRule="auto"/>
        <w:contextualSpacing/>
        <w:mirrorIndents/>
        <w:jc w:val="both"/>
      </w:pPr>
      <w:r>
        <w:t xml:space="preserve">The large market in the U.S. is at a tipping point, with a project pipeline of 25,600 MW of OSW energy as of July 2019. Specific projects account for 4,864 MW of that capacity and the remaining 20,736 MW are comprised of </w:t>
      </w:r>
      <w:r>
        <w:lastRenderedPageBreak/>
        <w:t xml:space="preserve">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41B839BC" w:rsidR="00F85D12" w:rsidRDefault="008C6C29" w:rsidP="003A4898">
      <w:pPr>
        <w:spacing w:after="0" w:line="240" w:lineRule="auto"/>
        <w:contextualSpacing/>
        <w:mirrorIndents/>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1C9F85C9" w:rsidR="004F2C6D" w:rsidRDefault="002039FD" w:rsidP="003A4898">
      <w:pPr>
        <w:spacing w:after="0" w:line="240" w:lineRule="auto"/>
        <w:contextualSpacing/>
        <w:mirrorIndents/>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xml:space="preserve">, </w:t>
      </w:r>
      <w:r w:rsidR="003C3EA7">
        <w:t>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3A4898">
      <w:pPr>
        <w:spacing w:after="0" w:line="240" w:lineRule="auto"/>
        <w:contextualSpacing/>
        <w:mirrorIndents/>
        <w:jc w:val="both"/>
      </w:pPr>
    </w:p>
    <w:p w14:paraId="638AFFD9" w14:textId="13E12E23" w:rsidR="008570E5" w:rsidRDefault="0060238F" w:rsidP="003A4898">
      <w:pPr>
        <w:spacing w:after="0" w:line="240" w:lineRule="auto"/>
        <w:contextualSpacing/>
        <w:mirrorIndents/>
        <w:jc w:val="both"/>
      </w:pPr>
      <w:r>
        <w:t xml:space="preserve">These studies demonstrate the direct </w:t>
      </w:r>
      <w:r w:rsidR="0052610E">
        <w:t>e</w:t>
      </w:r>
      <w:r>
        <w:t>ffects and benefits of wind technologies to their surroundings, but do not quantify the nation-wide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3A4898">
      <w:pPr>
        <w:spacing w:after="0" w:line="240" w:lineRule="auto"/>
        <w:contextualSpacing/>
        <w:mirrorIndents/>
        <w:jc w:val="both"/>
      </w:pPr>
    </w:p>
    <w:p w14:paraId="553669A3" w14:textId="79AC3E97" w:rsidR="001C5CC6" w:rsidRDefault="0090084D" w:rsidP="003A4898">
      <w:pPr>
        <w:pStyle w:val="Heading2"/>
        <w:spacing w:before="0" w:line="240" w:lineRule="auto"/>
        <w:contextualSpacing/>
        <w:mirrorIndents/>
        <w:jc w:val="both"/>
      </w:pPr>
      <w:r>
        <w:t>Materials and Methods</w:t>
      </w:r>
    </w:p>
    <w:p w14:paraId="237F6E74" w14:textId="77777777" w:rsidR="000B38A2" w:rsidRPr="000B38A2" w:rsidRDefault="000B38A2" w:rsidP="003A4898">
      <w:pPr>
        <w:spacing w:after="0" w:line="240" w:lineRule="auto"/>
        <w:contextualSpacing/>
        <w:mirrorIndents/>
        <w:jc w:val="both"/>
      </w:pPr>
    </w:p>
    <w:p w14:paraId="6ABD229E" w14:textId="43AA75FE"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lastRenderedPageBreak/>
        <w:t>EPAUS9rT model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110D025A" w:rsidR="00245398" w:rsidRDefault="006A10AE" w:rsidP="003A4898">
      <w:pPr>
        <w:spacing w:after="0" w:line="240" w:lineRule="auto"/>
        <w:contextualSpacing/>
        <w:mirrorIndents/>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FF1F3A" w:rsidRDefault="00FF1F3A" w:rsidP="003A4898">
                            <w:pPr>
                              <w:pStyle w:val="Caption"/>
                              <w:keepNext/>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TIMES Objective Function </w:t>
                            </w:r>
                          </w:p>
                          <w:p w14:paraId="274C0C83" w14:textId="7472CAAA" w:rsidR="00FF1F3A" w:rsidRPr="00F6170A" w:rsidRDefault="00FF1F3A"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" strokecolor="white [3212]">
                <v:textbox>
                  <w:txbxContent>
                    <w:p w14:paraId="0BF9EA46" w14:textId="13F252E2" w:rsidR="00FF1F3A" w:rsidRDefault="00FF1F3A" w:rsidP="003A4898">
                      <w:pPr>
                        <w:pStyle w:val="Caption"/>
                        <w:keepNext/>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TIMES Objective Function </w:t>
                      </w:r>
                    </w:p>
                    <w:p w14:paraId="274C0C83" w14:textId="7472CAAA" w:rsidR="00FF1F3A" w:rsidRPr="00F6170A" w:rsidRDefault="00FF1F3A"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77777777"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77777777" w:rsidR="00DD43E3" w:rsidRDefault="00DD43E3" w:rsidP="003A4898">
      <w:pPr>
        <w:spacing w:after="0" w:line="240" w:lineRule="auto"/>
        <w:contextualSpacing/>
        <w:mirrorIndents/>
        <w:jc w:val="both"/>
      </w:pPr>
    </w:p>
    <w:p w14:paraId="26D21F8D" w14:textId="77777777" w:rsidR="00DD43E3" w:rsidRDefault="009431C4" w:rsidP="003A489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04F9BBF0" w14:textId="649F37B4" w:rsidR="00875B4F" w:rsidRDefault="00DD43E3" w:rsidP="003A4898">
      <w:pPr>
        <w:spacing w:after="0" w:line="240" w:lineRule="auto"/>
        <w:contextualSpacing/>
        <w:mirrorIndents/>
        <w:jc w:val="both"/>
      </w:pPr>
      <w:r>
        <w:t xml:space="preserve">Cost curves for OSW were constructed to linearly decline from 2015 to 2035 by a percentage of current costs (Figure 1b). Capital expenditure (CAPEX) was back-calculated from LCOE’s presented in the Energy Information Administration’s (EIA) Annual Energy Outlook 2018 (AEO). The baseline cost reduction scenario assumes a 20% cost decrease, as is expected through normal technological advancement and “learning”. Five additional cost curves were constructed at 10% intervals, spanning from a 30% to an 80% reduction in the cost of OSW by 2035. </w:t>
      </w:r>
    </w:p>
    <w:p w14:paraId="4B28D0DA" w14:textId="77777777" w:rsidR="003A4898" w:rsidRDefault="003A4898" w:rsidP="003A4898">
      <w:pPr>
        <w:spacing w:after="0" w:line="240" w:lineRule="auto"/>
        <w:contextualSpacing/>
        <w:mirrorIndents/>
        <w:jc w:val="both"/>
      </w:pPr>
    </w:p>
    <w:p w14:paraId="6B7D2C6A" w14:textId="11C58260" w:rsidR="00E3188C" w:rsidRDefault="000E0CE0" w:rsidP="003A4898">
      <w:pPr>
        <w:spacing w:after="0" w:line="240" w:lineRule="auto"/>
        <w:contextualSpacing/>
        <w:mirrorIndents/>
        <w:jc w:val="both"/>
      </w:pPr>
      <w:r>
        <w:t>All scenarios constructed and evaluated in the TIMES model ran from 2010 to 2050.</w:t>
      </w:r>
      <w:r w:rsidR="003A4898">
        <w:t xml:space="preserve"> </w:t>
      </w:r>
      <w:r w:rsidR="00E3188C">
        <w:rPr>
          <w:noProof/>
        </w:rPr>
        <mc:AlternateContent>
          <mc:Choice Requires="wps">
            <w:drawing>
              <wp:inline distT="0" distB="0" distL="0" distR="0" wp14:anchorId="4DD81FF9" wp14:editId="2E5ED3AA">
                <wp:extent cx="6858000" cy="1404620"/>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solidFill>
                            <a:schemeClr val="bg1"/>
                          </a:solidFill>
                          <a:miter lim="800000"/>
                          <a:headEnd/>
                          <a:tailEnd/>
                        </a:ln>
                      </wps:spPr>
                      <wps:txbx>
                        <w:txbxContent>
                          <w:p w14:paraId="5D9BF9A5" w14:textId="42BEBC91" w:rsidR="00FF1F3A" w:rsidRDefault="00FF1F3A" w:rsidP="00E3188C">
                            <w:pPr>
                              <w:spacing w:after="0"/>
                              <w:contextualSpacing/>
                              <w:jc w:val="both"/>
                            </w:pPr>
                          </w:p>
                          <w:p w14:paraId="43C5057C" w14:textId="60D4CFDD" w:rsidR="00FF1F3A" w:rsidRDefault="00164EF7" w:rsidP="00E3188C">
                            <w:pPr>
                              <w:keepNext/>
                              <w:spacing w:after="0"/>
                              <w:contextualSpacing/>
                              <w:jc w:val="both"/>
                            </w:pPr>
                            <w:r>
                              <w:rPr>
                                <w:noProof/>
                              </w:rPr>
                              <w:drawing>
                                <wp:inline distT="0" distB="0" distL="0" distR="0" wp14:anchorId="5F37425A" wp14:editId="3E00EE41">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6230" cy="2246630"/>
                                          </a:xfrm>
                                          <a:prstGeom prst="rect">
                                            <a:avLst/>
                                          </a:prstGeom>
                                        </pic:spPr>
                                      </pic:pic>
                                    </a:graphicData>
                                  </a:graphic>
                                </wp:inline>
                              </w:drawing>
                            </w:r>
                          </w:p>
                          <w:p w14:paraId="66CEB42F" w14:textId="1E8F9E62" w:rsidR="00FF1F3A" w:rsidRDefault="00FF1F3A" w:rsidP="00E3188C">
                            <w:pPr>
                              <w:pStyle w:val="Caption"/>
                              <w:contextualSpacing/>
                              <w:jc w:val="both"/>
                            </w:pPr>
                            <w:r>
                              <w:t xml:space="preserve">Figure </w:t>
                            </w:r>
                            <w:r>
                              <w:fldChar w:fldCharType="begin"/>
                            </w:r>
                            <w:r>
                              <w:instrText xml:space="preserve"> SEQ Figure \* ARABIC </w:instrText>
                            </w:r>
                            <w:r>
                              <w:fldChar w:fldCharType="separate"/>
                            </w:r>
                            <w:r w:rsidR="002B233A">
                              <w:rPr>
                                <w:noProof/>
                              </w:rPr>
                              <w:t>1</w:t>
                            </w:r>
                            <w:r>
                              <w:rPr>
                                <w:noProof/>
                              </w:rPr>
                              <w:fldChar w:fldCharType="end"/>
                            </w:r>
                            <w:r>
                              <w:t xml:space="preserve">. </w:t>
                            </w:r>
                            <w:r w:rsidR="00164EF7">
                              <w:t xml:space="preserve">a. </w:t>
                            </w:r>
                            <w:r>
                              <w:t xml:space="preserve">CO2 Cap and </w:t>
                            </w:r>
                            <w:r w:rsidR="00164EF7">
                              <w:t xml:space="preserve">b. </w:t>
                            </w:r>
                            <w:r>
                              <w:t>OSW Cost Curve Scenario Construction</w:t>
                            </w:r>
                          </w:p>
                        </w:txbxContent>
                      </wps:txbx>
                      <wps:bodyPr rot="0" vert="horz" wrap="square" lIns="91440" tIns="45720" rIns="91440" bIns="45720" anchor="t" anchorCtr="0">
                        <a:spAutoFit/>
                      </wps:bodyPr>
                    </wps:wsp>
                  </a:graphicData>
                </a:graphic>
              </wp:inline>
            </w:drawing>
          </mc:Choice>
          <mc:Fallback>
            <w:pict>
              <v:shape w14:anchorId="4DD81FF9" id="_x0000_s1027" type="#_x0000_t202" style="width:5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" strokecolor="white [3212]">
                <v:textbox style="mso-fit-shape-to-text:t">
                  <w:txbxContent>
                    <w:p w14:paraId="5D9BF9A5" w14:textId="42BEBC91" w:rsidR="00FF1F3A" w:rsidRDefault="00FF1F3A" w:rsidP="00E3188C">
                      <w:pPr>
                        <w:spacing w:after="0"/>
                        <w:contextualSpacing/>
                        <w:jc w:val="both"/>
                      </w:pPr>
                    </w:p>
                    <w:p w14:paraId="43C5057C" w14:textId="60D4CFDD" w:rsidR="00FF1F3A" w:rsidRDefault="00164EF7" w:rsidP="00E3188C">
                      <w:pPr>
                        <w:keepNext/>
                        <w:spacing w:after="0"/>
                        <w:contextualSpacing/>
                        <w:jc w:val="both"/>
                      </w:pPr>
                      <w:r>
                        <w:rPr>
                          <w:noProof/>
                        </w:rPr>
                        <w:drawing>
                          <wp:inline distT="0" distB="0" distL="0" distR="0" wp14:anchorId="5F37425A" wp14:editId="3E00EE41">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6230" cy="2246630"/>
                                    </a:xfrm>
                                    <a:prstGeom prst="rect">
                                      <a:avLst/>
                                    </a:prstGeom>
                                  </pic:spPr>
                                </pic:pic>
                              </a:graphicData>
                            </a:graphic>
                          </wp:inline>
                        </w:drawing>
                      </w:r>
                    </w:p>
                    <w:p w14:paraId="66CEB42F" w14:textId="1E8F9E62" w:rsidR="00FF1F3A" w:rsidRDefault="00FF1F3A" w:rsidP="00E3188C">
                      <w:pPr>
                        <w:pStyle w:val="Caption"/>
                        <w:contextualSpacing/>
                        <w:jc w:val="both"/>
                      </w:pPr>
                      <w:r>
                        <w:t xml:space="preserve">Figure </w:t>
                      </w:r>
                      <w:r>
                        <w:fldChar w:fldCharType="begin"/>
                      </w:r>
                      <w:r>
                        <w:instrText xml:space="preserve"> SEQ Figure \* ARABIC </w:instrText>
                      </w:r>
                      <w:r>
                        <w:fldChar w:fldCharType="separate"/>
                      </w:r>
                      <w:r w:rsidR="002B233A">
                        <w:rPr>
                          <w:noProof/>
                        </w:rPr>
                        <w:t>1</w:t>
                      </w:r>
                      <w:r>
                        <w:rPr>
                          <w:noProof/>
                        </w:rPr>
                        <w:fldChar w:fldCharType="end"/>
                      </w:r>
                      <w:r>
                        <w:t xml:space="preserve">. </w:t>
                      </w:r>
                      <w:r w:rsidR="00164EF7">
                        <w:t xml:space="preserve">a. </w:t>
                      </w:r>
                      <w:r>
                        <w:t xml:space="preserve">CO2 Cap and </w:t>
                      </w:r>
                      <w:r w:rsidR="00164EF7">
                        <w:t xml:space="preserve">b. </w:t>
                      </w:r>
                      <w:r>
                        <w:t>OSW Cost Curve Scenario Construction</w:t>
                      </w:r>
                    </w:p>
                  </w:txbxContent>
                </v:textbox>
                <w10:anchorlock/>
              </v:shape>
            </w:pict>
          </mc:Fallback>
        </mc:AlternateContent>
      </w: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5"/>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74B7965E" w14:textId="450259F2" w:rsidR="00F51A73" w:rsidRDefault="00E55F21" w:rsidP="003A4898">
      <w:pPr>
        <w:keepNext/>
        <w:spacing w:after="0" w:line="240" w:lineRule="auto"/>
        <w:contextualSpacing/>
        <w:mirrorIndents/>
        <w:jc w:val="both"/>
        <w:rPr>
          <w:noProof/>
        </w:rPr>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4F6D90">
        <w:t>, as represented in Figure 2</w:t>
      </w:r>
      <w:r w:rsidR="00E010F9">
        <w:t xml:space="preserve">. Until the cost of </w:t>
      </w:r>
      <w:r w:rsidR="001507A4">
        <w:t>OSW</w:t>
      </w:r>
      <w:r w:rsidR="00E010F9">
        <w:t xml:space="preserve"> was reduced by </w:t>
      </w:r>
      <w:r w:rsidR="00CB357E">
        <w:t>4</w:t>
      </w:r>
      <w:r w:rsidR="00E010F9">
        <w:t xml:space="preserve">0%, it was not economically viable, </w:t>
      </w:r>
      <w:r w:rsidR="00186E7C">
        <w:t xml:space="preserve">and at 40% cost reductions it was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C54D1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r w:rsidR="009E77C8">
        <w:t xml:space="preserve"> Over all scenarios, the largest market share that OSW achieves is 3</w:t>
      </w:r>
      <w:r w:rsidR="003F417C">
        <w:t>8</w:t>
      </w:r>
      <w:r w:rsidR="009E77C8">
        <w:t>% in the lowest cost and highest carbon mitigation stringency scenario.</w:t>
      </w:r>
      <w:r w:rsidR="00EC06A0" w:rsidRPr="00EC06A0">
        <w:rPr>
          <w:noProof/>
        </w:rPr>
        <w:t xml:space="preserve"> </w:t>
      </w:r>
    </w:p>
    <w:p w14:paraId="7041AAB3" w14:textId="77777777" w:rsidR="003A4898" w:rsidRDefault="00F51A73" w:rsidP="003A4898">
      <w:pPr>
        <w:keepNext/>
        <w:spacing w:after="0" w:line="240" w:lineRule="auto"/>
        <w:contextualSpacing/>
        <w:mirrorIndents/>
        <w:jc w:val="both"/>
      </w:pPr>
      <w:r>
        <w:rPr>
          <w:noProof/>
        </w:rPr>
        <mc:AlternateContent>
          <mc:Choice Requires="wps">
            <w:drawing>
              <wp:inline distT="0" distB="0" distL="0" distR="0" wp14:anchorId="5B221B2E" wp14:editId="2FA6DC09">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1"/>
                          </a:solidFill>
                          <a:miter lim="800000"/>
                          <a:headEnd/>
                          <a:tailEnd/>
                        </a:ln>
                      </wps:spPr>
                      <wps:txbx>
                        <w:txbxContent>
                          <w:p w14:paraId="30DADF57" w14:textId="73DCC065" w:rsidR="00FF1F3A" w:rsidRDefault="00942DB3" w:rsidP="003A4898">
                            <w:pPr>
                              <w:keepNext/>
                              <w:spacing w:after="0"/>
                              <w:contextualSpacing/>
                              <w:jc w:val="both"/>
                            </w:pPr>
                            <w:r>
                              <w:rPr>
                                <w:noProof/>
                              </w:rPr>
                              <w:drawing>
                                <wp:inline distT="0" distB="0" distL="0" distR="0" wp14:anchorId="76CDDD7F" wp14:editId="57587694">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6618" cy="2544527"/>
                                          </a:xfrm>
                                          <a:prstGeom prst="rect">
                                            <a:avLst/>
                                          </a:prstGeom>
                                        </pic:spPr>
                                      </pic:pic>
                                    </a:graphicData>
                                  </a:graphic>
                                </wp:inline>
                              </w:drawing>
                            </w:r>
                          </w:p>
                          <w:p w14:paraId="157B2E2A" w14:textId="4E41F7F3" w:rsidR="00FF1F3A" w:rsidRDefault="00FF1F3A" w:rsidP="003A4898">
                            <w:pPr>
                              <w:pStyle w:val="Caption"/>
                              <w:contextualSpacing/>
                              <w:jc w:val="both"/>
                            </w:pPr>
                            <w:r>
                              <w:t xml:space="preserve">Figure </w:t>
                            </w:r>
                            <w:r>
                              <w:fldChar w:fldCharType="begin"/>
                            </w:r>
                            <w:r>
                              <w:instrText xml:space="preserve"> SEQ Figure \* ARABIC </w:instrText>
                            </w:r>
                            <w:r>
                              <w:fldChar w:fldCharType="separate"/>
                            </w:r>
                            <w:r w:rsidR="002B233A">
                              <w:rPr>
                                <w:noProof/>
                              </w:rPr>
                              <w:t>2</w:t>
                            </w:r>
                            <w:r>
                              <w:rPr>
                                <w:noProof/>
                              </w:rPr>
                              <w:fldChar w:fldCharType="end"/>
                            </w:r>
                            <w:r>
                              <w:t>. Total OSW Capacity in 2050</w:t>
                            </w:r>
                          </w:p>
                        </w:txbxContent>
                      </wps:txbx>
                      <wps:bodyPr rot="0" vert="horz" wrap="square" lIns="91440" tIns="45720" rIns="91440" bIns="45720" anchor="t" anchorCtr="0">
                        <a:noAutofit/>
                      </wps:bodyPr>
                    </wps:wsp>
                  </a:graphicData>
                </a:graphic>
              </wp:inline>
            </w:drawing>
          </mc:Choice>
          <mc:Fallback>
            <w:pict>
              <v:shape w14:anchorId="5B221B2E"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" strokecolor="white [3212]">
                <v:textbox>
                  <w:txbxContent>
                    <w:p w14:paraId="30DADF57" w14:textId="73DCC065" w:rsidR="00FF1F3A" w:rsidRDefault="00942DB3" w:rsidP="003A4898">
                      <w:pPr>
                        <w:keepNext/>
                        <w:spacing w:after="0"/>
                        <w:contextualSpacing/>
                        <w:jc w:val="both"/>
                      </w:pPr>
                      <w:r>
                        <w:rPr>
                          <w:noProof/>
                        </w:rPr>
                        <w:drawing>
                          <wp:inline distT="0" distB="0" distL="0" distR="0" wp14:anchorId="76CDDD7F" wp14:editId="57587694">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6618" cy="2544527"/>
                                    </a:xfrm>
                                    <a:prstGeom prst="rect">
                                      <a:avLst/>
                                    </a:prstGeom>
                                  </pic:spPr>
                                </pic:pic>
                              </a:graphicData>
                            </a:graphic>
                          </wp:inline>
                        </w:drawing>
                      </w:r>
                    </w:p>
                    <w:p w14:paraId="157B2E2A" w14:textId="4E41F7F3" w:rsidR="00FF1F3A" w:rsidRDefault="00FF1F3A" w:rsidP="003A4898">
                      <w:pPr>
                        <w:pStyle w:val="Caption"/>
                        <w:contextualSpacing/>
                        <w:jc w:val="both"/>
                      </w:pPr>
                      <w:r>
                        <w:t xml:space="preserve">Figure </w:t>
                      </w:r>
                      <w:r>
                        <w:fldChar w:fldCharType="begin"/>
                      </w:r>
                      <w:r>
                        <w:instrText xml:space="preserve"> SEQ Figure \* ARABIC </w:instrText>
                      </w:r>
                      <w:r>
                        <w:fldChar w:fldCharType="separate"/>
                      </w:r>
                      <w:r w:rsidR="002B233A">
                        <w:rPr>
                          <w:noProof/>
                        </w:rPr>
                        <w:t>2</w:t>
                      </w:r>
                      <w:r>
                        <w:rPr>
                          <w:noProof/>
                        </w:rPr>
                        <w:fldChar w:fldCharType="end"/>
                      </w:r>
                      <w:r>
                        <w:t>. Total OSW Capacity in 2050</w:t>
                      </w:r>
                    </w:p>
                  </w:txbxContent>
                </v:textbox>
                <w10:anchorlock/>
              </v:shape>
            </w:pict>
          </mc:Fallback>
        </mc:AlternateContent>
      </w:r>
    </w:p>
    <w:p w14:paraId="5551AD0C" w14:textId="24DDE908" w:rsidR="005E21FE" w:rsidRPr="005E21FE" w:rsidRDefault="001507A4" w:rsidP="003A4898">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incentivize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5CE8791" w14:textId="782E22A6" w:rsidR="005576CC" w:rsidRDefault="00530BAB" w:rsidP="003A4898">
      <w:pPr>
        <w:spacing w:after="0" w:line="240" w:lineRule="auto"/>
        <w:contextualSpacing/>
        <w:mirrorIndents/>
        <w:jc w:val="both"/>
      </w:pPr>
      <w:r>
        <w:rPr>
          <w:noProof/>
        </w:rPr>
        <mc:AlternateContent>
          <mc:Choice Requires="wps">
            <w:drawing>
              <wp:inline distT="0" distB="0" distL="0" distR="0" wp14:anchorId="4E194817" wp14:editId="6FFCB28C">
                <wp:extent cx="6353175" cy="1404620"/>
                <wp:effectExtent l="0" t="0" r="28575" b="196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chemeClr val="bg1"/>
                          </a:solidFill>
                          <a:miter lim="800000"/>
                          <a:headEnd/>
                          <a:tailEnd/>
                        </a:ln>
                      </wps:spPr>
                      <wps:txbx>
                        <w:txbxContent>
                          <w:p w14:paraId="0D84E68A" w14:textId="5D052A7D" w:rsidR="00FF1F3A" w:rsidRDefault="006B6002" w:rsidP="005B5F87">
                            <w:pPr>
                              <w:keepNext/>
                              <w:spacing w:after="0"/>
                              <w:contextualSpacing/>
                              <w:jc w:val="both"/>
                            </w:pPr>
                            <w:r>
                              <w:rPr>
                                <w:noProof/>
                              </w:rPr>
                              <w:drawing>
                                <wp:inline distT="0" distB="0" distL="0" distR="0" wp14:anchorId="2A3BEB8E" wp14:editId="5DAC527D">
                                  <wp:extent cx="6192217" cy="3019647"/>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0024" cy="3033207"/>
                                          </a:xfrm>
                                          <a:prstGeom prst="rect">
                                            <a:avLst/>
                                          </a:prstGeom>
                                        </pic:spPr>
                                      </pic:pic>
                                    </a:graphicData>
                                  </a:graphic>
                                </wp:inline>
                              </w:drawing>
                            </w:r>
                          </w:p>
                          <w:p w14:paraId="3F802334" w14:textId="64D88D98" w:rsidR="00FF1F3A" w:rsidRDefault="00FF1F3A" w:rsidP="005B5F87">
                            <w:pPr>
                              <w:pStyle w:val="Caption"/>
                              <w:contextualSpacing/>
                              <w:jc w:val="both"/>
                            </w:pPr>
                            <w:r>
                              <w:t xml:space="preserve">Figure </w:t>
                            </w:r>
                            <w:r>
                              <w:fldChar w:fldCharType="begin"/>
                            </w:r>
                            <w:r>
                              <w:instrText xml:space="preserve"> SEQ Figure \* ARABIC </w:instrText>
                            </w:r>
                            <w:r>
                              <w:fldChar w:fldCharType="separate"/>
                            </w:r>
                            <w:r w:rsidR="002B233A">
                              <w:rPr>
                                <w:noProof/>
                              </w:rPr>
                              <w:t>3</w:t>
                            </w:r>
                            <w:r>
                              <w:rPr>
                                <w:noProof/>
                              </w:rPr>
                              <w:fldChar w:fldCharType="end"/>
                            </w:r>
                            <w:r>
                              <w:t xml:space="preserve">. </w:t>
                            </w:r>
                            <w:r w:rsidR="006B6002">
                              <w:t xml:space="preserve">a. </w:t>
                            </w:r>
                            <w:r>
                              <w:t xml:space="preserve">Total and </w:t>
                            </w:r>
                            <w:r w:rsidR="006B6002">
                              <w:t xml:space="preserve">b. </w:t>
                            </w:r>
                            <w:r>
                              <w:t>New OSW Capacity by Scenario</w:t>
                            </w:r>
                          </w:p>
                        </w:txbxContent>
                      </wps:txbx>
                      <wps:bodyPr rot="0" vert="horz" wrap="square" lIns="91440" tIns="45720" rIns="91440" bIns="45720" anchor="t" anchorCtr="0">
                        <a:spAutoFit/>
                      </wps:bodyPr>
                    </wps:wsp>
                  </a:graphicData>
                </a:graphic>
              </wp:inline>
            </w:drawing>
          </mc:Choice>
          <mc:Fallback>
            <w:pict>
              <v:shape w14:anchorId="4E194817" id="_x0000_s1029" type="#_x0000_t202" style="width:5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" strokecolor="white [3212]">
                <v:textbox style="mso-fit-shape-to-text:t">
                  <w:txbxContent>
                    <w:p w14:paraId="0D84E68A" w14:textId="5D052A7D" w:rsidR="00FF1F3A" w:rsidRDefault="006B6002" w:rsidP="005B5F87">
                      <w:pPr>
                        <w:keepNext/>
                        <w:spacing w:after="0"/>
                        <w:contextualSpacing/>
                        <w:jc w:val="both"/>
                      </w:pPr>
                      <w:r>
                        <w:rPr>
                          <w:noProof/>
                        </w:rPr>
                        <w:drawing>
                          <wp:inline distT="0" distB="0" distL="0" distR="0" wp14:anchorId="2A3BEB8E" wp14:editId="5DAC527D">
                            <wp:extent cx="6192217" cy="3019647"/>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0024" cy="3033207"/>
                                    </a:xfrm>
                                    <a:prstGeom prst="rect">
                                      <a:avLst/>
                                    </a:prstGeom>
                                  </pic:spPr>
                                </pic:pic>
                              </a:graphicData>
                            </a:graphic>
                          </wp:inline>
                        </w:drawing>
                      </w:r>
                    </w:p>
                    <w:p w14:paraId="3F802334" w14:textId="64D88D98" w:rsidR="00FF1F3A" w:rsidRDefault="00FF1F3A" w:rsidP="005B5F87">
                      <w:pPr>
                        <w:pStyle w:val="Caption"/>
                        <w:contextualSpacing/>
                        <w:jc w:val="both"/>
                      </w:pPr>
                      <w:r>
                        <w:t xml:space="preserve">Figure </w:t>
                      </w:r>
                      <w:r>
                        <w:fldChar w:fldCharType="begin"/>
                      </w:r>
                      <w:r>
                        <w:instrText xml:space="preserve"> SEQ Figure \* ARABIC </w:instrText>
                      </w:r>
                      <w:r>
                        <w:fldChar w:fldCharType="separate"/>
                      </w:r>
                      <w:r w:rsidR="002B233A">
                        <w:rPr>
                          <w:noProof/>
                        </w:rPr>
                        <w:t>3</w:t>
                      </w:r>
                      <w:r>
                        <w:rPr>
                          <w:noProof/>
                        </w:rPr>
                        <w:fldChar w:fldCharType="end"/>
                      </w:r>
                      <w:r>
                        <w:t xml:space="preserve">. </w:t>
                      </w:r>
                      <w:r w:rsidR="006B6002">
                        <w:t xml:space="preserve">a. </w:t>
                      </w:r>
                      <w:r>
                        <w:t xml:space="preserve">Total and </w:t>
                      </w:r>
                      <w:r w:rsidR="006B6002">
                        <w:t xml:space="preserve">b. </w:t>
                      </w:r>
                      <w:r>
                        <w:t>New OSW Capacity by Scenario</w:t>
                      </w:r>
                    </w:p>
                  </w:txbxContent>
                </v:textbox>
                <w10:anchorlock/>
              </v:shape>
            </w:pict>
          </mc:Fallback>
        </mc:AlternateContent>
      </w:r>
    </w:p>
    <w:p w14:paraId="0CE6DE5B" w14:textId="1B2BD705" w:rsidR="000E6B42" w:rsidRDefault="002E0D04" w:rsidP="003A4898">
      <w:pPr>
        <w:spacing w:after="0" w:line="240" w:lineRule="auto"/>
        <w:contextualSpacing/>
        <w:mirrorIndents/>
        <w:jc w:val="both"/>
      </w:pPr>
      <w:bookmarkStart w:id="2" w:name="_GoBack"/>
      <w:bookmarkEnd w:id="2"/>
      <w:r>
        <w:t>Overall buildout of OSW varied across regions</w:t>
      </w:r>
      <w:r w:rsidR="003312B6">
        <w:t>, with no capacity in Regions 4, 6, and 8</w:t>
      </w:r>
      <w:r>
        <w:t xml:space="preserve">. </w:t>
      </w:r>
      <w:r w:rsidR="00775569">
        <w:t>The EPAUS9rT database does not have OSW availability for Region 8</w:t>
      </w:r>
      <w:r w:rsidR="003312B6">
        <w:t xml:space="preserve"> because there is no coastline, and Regions 4 and 6 have very little resource availability.</w:t>
      </w:r>
      <w:r w:rsidR="00775569">
        <w:t xml:space="preserve"> </w:t>
      </w:r>
      <w:r>
        <w:t xml:space="preserve">Of the regions where OSW was built, Region 5 </w:t>
      </w:r>
      <w:r w:rsidR="00CF4650">
        <w:t>elicited</w:t>
      </w:r>
      <w:r>
        <w:t xml:space="preserve"> the largest buildout and Region </w:t>
      </w:r>
      <w:r w:rsidR="00F3683D">
        <w:t>7 the smallest</w:t>
      </w:r>
      <w:r w:rsidR="00410B18">
        <w:t>, though the differences also varied between scenarios</w:t>
      </w:r>
      <w:r w:rsidR="00F3683D">
        <w:t xml:space="preserve"> (Figure 4).</w:t>
      </w:r>
    </w:p>
    <w:p w14:paraId="7426AC51" w14:textId="6B901D81" w:rsidR="005D667D" w:rsidRDefault="005E21FE" w:rsidP="003A4898">
      <w:pPr>
        <w:keepNext/>
        <w:spacing w:after="0" w:line="240" w:lineRule="auto"/>
        <w:contextualSpacing/>
        <w:mirrorIndents/>
        <w:jc w:val="both"/>
      </w:pPr>
      <w:r>
        <w:rPr>
          <w:noProof/>
        </w:rPr>
        <mc:AlternateContent>
          <mc:Choice Requires="wps">
            <w:drawing>
              <wp:anchor distT="0" distB="0" distL="114300" distR="114300" simplePos="0" relativeHeight="251662336" behindDoc="0" locked="0" layoutInCell="1" allowOverlap="1" wp14:anchorId="5CF8D263" wp14:editId="0902EF37">
                <wp:simplePos x="0" y="0"/>
                <wp:positionH relativeFrom="margin">
                  <wp:align>left</wp:align>
                </wp:positionH>
                <wp:positionV relativeFrom="paragraph">
                  <wp:posOffset>0</wp:posOffset>
                </wp:positionV>
                <wp:extent cx="3434080" cy="1404620"/>
                <wp:effectExtent l="0" t="0" r="1397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solidFill>
                            <a:schemeClr val="bg1"/>
                          </a:solidFill>
                          <a:miter lim="800000"/>
                          <a:headEnd/>
                          <a:tailEnd/>
                        </a:ln>
                      </wps:spPr>
                      <wps:txbx>
                        <w:txbxContent>
                          <w:p w14:paraId="224F0147" w14:textId="6C5FA7BA" w:rsidR="00FF1F3A" w:rsidRDefault="00F51A73" w:rsidP="005D667D">
                            <w:pPr>
                              <w:keepNext/>
                              <w:spacing w:after="0"/>
                              <w:contextualSpacing/>
                              <w:jc w:val="center"/>
                            </w:pPr>
                            <w:r>
                              <w:rPr>
                                <w:noProof/>
                              </w:rPr>
                              <w:drawing>
                                <wp:inline distT="0" distB="0" distL="0" distR="0" wp14:anchorId="2CB287A1" wp14:editId="4A8A017C">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0722" cy="2351750"/>
                                          </a:xfrm>
                                          <a:prstGeom prst="rect">
                                            <a:avLst/>
                                          </a:prstGeom>
                                        </pic:spPr>
                                      </pic:pic>
                                    </a:graphicData>
                                  </a:graphic>
                                </wp:inline>
                              </w:drawing>
                            </w:r>
                          </w:p>
                          <w:p w14:paraId="436132ED" w14:textId="66AAD7F5" w:rsidR="00FF1F3A" w:rsidRDefault="00FF1F3A" w:rsidP="005D667D">
                            <w:pPr>
                              <w:pStyle w:val="Caption"/>
                              <w:contextualSpacing/>
                              <w:jc w:val="center"/>
                            </w:pPr>
                            <w:r>
                              <w:t xml:space="preserve">Figure </w:t>
                            </w:r>
                            <w:r>
                              <w:fldChar w:fldCharType="begin"/>
                            </w:r>
                            <w:r>
                              <w:instrText xml:space="preserve"> SEQ Figure \* ARABIC </w:instrText>
                            </w:r>
                            <w:r>
                              <w:fldChar w:fldCharType="separate"/>
                            </w:r>
                            <w:r w:rsidR="002B233A">
                              <w:rPr>
                                <w:noProof/>
                              </w:rPr>
                              <w:t>4</w:t>
                            </w:r>
                            <w:r>
                              <w:rPr>
                                <w:noProof/>
                              </w:rPr>
                              <w:fldChar w:fldCharType="end"/>
                            </w:r>
                            <w:r>
                              <w:t>. Average OSW capacity per region across scenarios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CF8D263" id="_x0000_s1030" type="#_x0000_t202" style="position:absolute;left:0;text-align:left;margin-left:0;margin-top:0;width:270.4pt;height:110.6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" strokecolor="white [3212]">
                <v:textbox style="mso-fit-shape-to-text:t">
                  <w:txbxContent>
                    <w:p w14:paraId="224F0147" w14:textId="6C5FA7BA" w:rsidR="00FF1F3A" w:rsidRDefault="00F51A73" w:rsidP="005D667D">
                      <w:pPr>
                        <w:keepNext/>
                        <w:spacing w:after="0"/>
                        <w:contextualSpacing/>
                        <w:jc w:val="center"/>
                      </w:pPr>
                      <w:r>
                        <w:rPr>
                          <w:noProof/>
                        </w:rPr>
                        <w:drawing>
                          <wp:inline distT="0" distB="0" distL="0" distR="0" wp14:anchorId="2CB287A1" wp14:editId="4A8A017C">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0722" cy="2351750"/>
                                    </a:xfrm>
                                    <a:prstGeom prst="rect">
                                      <a:avLst/>
                                    </a:prstGeom>
                                  </pic:spPr>
                                </pic:pic>
                              </a:graphicData>
                            </a:graphic>
                          </wp:inline>
                        </w:drawing>
                      </w:r>
                    </w:p>
                    <w:p w14:paraId="436132ED" w14:textId="66AAD7F5" w:rsidR="00FF1F3A" w:rsidRDefault="00FF1F3A" w:rsidP="005D667D">
                      <w:pPr>
                        <w:pStyle w:val="Caption"/>
                        <w:contextualSpacing/>
                        <w:jc w:val="center"/>
                      </w:pPr>
                      <w:r>
                        <w:t xml:space="preserve">Figure </w:t>
                      </w:r>
                      <w:r>
                        <w:fldChar w:fldCharType="begin"/>
                      </w:r>
                      <w:r>
                        <w:instrText xml:space="preserve"> SEQ Figure \* ARABIC </w:instrText>
                      </w:r>
                      <w:r>
                        <w:fldChar w:fldCharType="separate"/>
                      </w:r>
                      <w:r w:rsidR="002B233A">
                        <w:rPr>
                          <w:noProof/>
                        </w:rPr>
                        <w:t>4</w:t>
                      </w:r>
                      <w:r>
                        <w:rPr>
                          <w:noProof/>
                        </w:rPr>
                        <w:fldChar w:fldCharType="end"/>
                      </w:r>
                      <w:r>
                        <w:t>. Average OSW capacity per region across scenarios</w:t>
                      </w:r>
                    </w:p>
                  </w:txbxContent>
                </v:textbox>
                <w10:wrap type="square" anchorx="margin"/>
              </v:shape>
            </w:pict>
          </mc:Fallback>
        </mc:AlternateContent>
      </w:r>
    </w:p>
    <w:p w14:paraId="704104AB" w14:textId="2780134B" w:rsidR="008A3DB9" w:rsidRDefault="00314C41" w:rsidP="003A4898">
      <w:pPr>
        <w:spacing w:after="0" w:line="240" w:lineRule="auto"/>
        <w:contextualSpacing/>
        <w:mirrorIndents/>
        <w:jc w:val="both"/>
      </w:pPr>
      <w:r>
        <w:t xml:space="preserve">The deployment of </w:t>
      </w:r>
      <w:r w:rsidR="001507A4">
        <w:t>OSW</w:t>
      </w:r>
      <w:r>
        <w:t xml:space="preserve"> displaces coal, natural gas</w:t>
      </w:r>
      <w:r w:rsidR="001A4D5B">
        <w:t>, terrestrial wind, and solar PV</w:t>
      </w:r>
      <w:r w:rsidR="005E1E57">
        <w:t xml:space="preserve"> (Figure</w:t>
      </w:r>
      <w:r w:rsidR="00BE68A0">
        <w:t xml:space="preserve"> 5</w:t>
      </w:r>
      <w:r w:rsidR="005E1E57">
        <w:t>)</w:t>
      </w:r>
      <w:r w:rsidR="00B92153">
        <w:t>, though the technologies displaced vary between scenarios</w:t>
      </w:r>
      <w:r>
        <w:t xml:space="preserve">. Below we can see that in the cases where </w:t>
      </w:r>
      <w:r w:rsidR="001507A4">
        <w:t>OSW</w:t>
      </w:r>
      <w:r>
        <w:t xml:space="preserve"> is cheapest, </w:t>
      </w:r>
      <w:r w:rsidR="00AF6EA9">
        <w:t>the displaced technologies vary dramatically with carbon mitigation stringency. In the business as usual case for</w:t>
      </w:r>
      <w:r w:rsidR="00EC2200">
        <w:t xml:space="preserve"> emissions, OSW primarily displaces wind and solar</w:t>
      </w:r>
      <w:r>
        <w:t xml:space="preserve">. </w:t>
      </w:r>
      <w:r w:rsidR="00EC2200">
        <w:t xml:space="preserve">Only as carbon mitigation stringency increases does OSW displace natural gas and coal at higher levels. </w:t>
      </w:r>
      <w:r w:rsidR="00DB22A4">
        <w:t xml:space="preserve">In scenarios where the most OSW is built out, natural gas is the </w:t>
      </w:r>
      <w:r w:rsidR="006A2292">
        <w:t>most impacted</w:t>
      </w:r>
      <w:r w:rsidR="00DB22A4">
        <w:t xml:space="preserve"> technology</w:t>
      </w:r>
      <w:r>
        <w:t xml:space="preserve">. Natural gas makes up </w:t>
      </w:r>
      <w:r w:rsidR="009D03F8">
        <w:t>the largest</w:t>
      </w:r>
      <w:r>
        <w:t xml:space="preserve"> large market share of the 2050 grid in all </w:t>
      </w:r>
      <w:r w:rsidR="009D03F8">
        <w:t>scenarios regardless of</w:t>
      </w:r>
      <w:r>
        <w:t xml:space="preserve"> </w:t>
      </w:r>
      <w:r w:rsidR="001507A4">
        <w:t>OSW</w:t>
      </w:r>
      <w:r>
        <w:t xml:space="preserve"> </w:t>
      </w:r>
      <w:r w:rsidR="009D03F8">
        <w:t xml:space="preserve">buildout, but the amount of natural gas is dramatically reduced when OSW is built out. </w:t>
      </w:r>
      <w:r>
        <w:t xml:space="preserve">Coal sees a similar displacement when </w:t>
      </w:r>
      <w:r w:rsidR="001507A4">
        <w:t>OSW</w:t>
      </w:r>
      <w:r>
        <w:t xml:space="preserve"> is built out</w:t>
      </w:r>
      <w:r w:rsidR="006678E8">
        <w:t xml:space="preserve">. While the cost of </w:t>
      </w:r>
      <w:r w:rsidR="001507A4">
        <w:t>OSW</w:t>
      </w:r>
      <w:r w:rsidR="006678E8">
        <w:t xml:space="preserve"> elicits a decline in </w:t>
      </w:r>
      <w:r w:rsidR="00C90A3E">
        <w:t>the generation</w:t>
      </w:r>
      <w:r w:rsidR="006678E8">
        <w:t xml:space="preserve"> </w:t>
      </w:r>
      <w:r w:rsidR="00C90A3E">
        <w:t>from</w:t>
      </w:r>
      <w:r w:rsidR="006678E8">
        <w:t xml:space="preserve"> </w:t>
      </w:r>
      <w:r w:rsidR="004254A3">
        <w:t>fossil-fuel resources</w:t>
      </w:r>
      <w:r w:rsidR="006678E8">
        <w:t>, we see that terrestrial wind</w:t>
      </w:r>
      <w:r w:rsidR="000943DC">
        <w:t xml:space="preserve"> and</w:t>
      </w:r>
      <w:r w:rsidR="006678E8">
        <w:t xml:space="preserve"> </w:t>
      </w:r>
      <w:r w:rsidR="000943DC">
        <w:t>are also affected. All scenarios that impose a carbon cap elicit greater quantities of these technologies, however we can also see that as OSW becomes cheaper, the growth of these technologies is slower</w:t>
      </w:r>
      <w:r w:rsidR="00F634B6">
        <w:t xml:space="preserve">.  </w:t>
      </w:r>
      <w:r w:rsidR="00A02456">
        <w:t xml:space="preserve">The market share for all technologies in all scenarios is depicted in Table </w:t>
      </w:r>
      <w:r w:rsidR="007D752B">
        <w:t>4</w:t>
      </w:r>
      <w:r w:rsidR="00A02456">
        <w:t xml:space="preserve"> (end of document).</w:t>
      </w:r>
      <w:r w:rsidR="008A3DB9">
        <w:t xml:space="preserve"> </w:t>
      </w:r>
    </w:p>
    <w:p w14:paraId="51D911CC" w14:textId="77777777" w:rsidR="008A3DB9" w:rsidRDefault="008A3DB9" w:rsidP="003A4898">
      <w:pPr>
        <w:spacing w:after="0" w:line="240" w:lineRule="auto"/>
        <w:contextualSpacing/>
        <w:mirrorIndents/>
        <w:jc w:val="both"/>
      </w:pPr>
    </w:p>
    <w:p w14:paraId="7F0B3D02" w14:textId="7770D924" w:rsidR="007E4E63" w:rsidRDefault="005323A8" w:rsidP="003A4898">
      <w:pPr>
        <w:spacing w:after="0" w:line="240" w:lineRule="auto"/>
        <w:contextualSpacing/>
        <w:mirrorIndents/>
        <w:jc w:val="both"/>
      </w:pPr>
      <w:proofErr w:type="gramStart"/>
      <w:r>
        <w:t>Due to the fact that</w:t>
      </w:r>
      <w:proofErr w:type="gramEnd"/>
      <w:r>
        <w:t xml:space="preserve"> OSW displaces other emissions-neutral technologies</w:t>
      </w:r>
      <w:r w:rsidR="004A7E54">
        <w:t xml:space="preserve"> in some scenarios, it is harder to disentangle the </w:t>
      </w:r>
      <w:proofErr w:type="spellStart"/>
      <w:r w:rsidR="004A7E54">
        <w:t>affects</w:t>
      </w:r>
      <w:proofErr w:type="spellEnd"/>
      <w:r w:rsidR="004A7E54">
        <w:t xml:space="preserve"> of OSW costs and carbon mitigation stringency on total emissions. In order to tease out some of this complexity, we looked at some confounding factors. Carbon mitigation stringency elicited a higher percentage of renewables </w:t>
      </w:r>
      <w:r w:rsidR="005E21FE">
        <w:rPr>
          <w:noProof/>
        </w:rPr>
        <mc:AlternateContent>
          <mc:Choice Requires="wps">
            <w:drawing>
              <wp:anchor distT="0" distB="0" distL="114300" distR="114300" simplePos="0" relativeHeight="251659264" behindDoc="0" locked="0" layoutInCell="1" allowOverlap="1" wp14:anchorId="056898CE" wp14:editId="3F47436C">
                <wp:simplePos x="0" y="0"/>
                <wp:positionH relativeFrom="margin">
                  <wp:align>left</wp:align>
                </wp:positionH>
                <wp:positionV relativeFrom="paragraph">
                  <wp:posOffset>369</wp:posOffset>
                </wp:positionV>
                <wp:extent cx="3593465" cy="1404620"/>
                <wp:effectExtent l="0" t="0" r="26035"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04620"/>
                        </a:xfrm>
                        <a:prstGeom prst="rect">
                          <a:avLst/>
                        </a:prstGeom>
                        <a:solidFill>
                          <a:srgbClr val="FFFFFF"/>
                        </a:solidFill>
                        <a:ln w="9525">
                          <a:solidFill>
                            <a:schemeClr val="bg1"/>
                          </a:solidFill>
                          <a:miter lim="800000"/>
                          <a:headEnd/>
                          <a:tailEnd/>
                        </a:ln>
                      </wps:spPr>
                      <wps:txbx>
                        <w:txbxContent>
                          <w:p w14:paraId="3C01BA54" w14:textId="4E87C065" w:rsidR="002B233A" w:rsidRDefault="008A3DB9" w:rsidP="002B233A">
                            <w:pPr>
                              <w:keepNext/>
                              <w:spacing w:after="0"/>
                              <w:contextualSpacing/>
                              <w:jc w:val="center"/>
                            </w:pPr>
                            <w:r>
                              <w:rPr>
                                <w:noProof/>
                              </w:rPr>
                              <w:drawing>
                                <wp:inline distT="0" distB="0" distL="0" distR="0" wp14:anchorId="48ECBDCE" wp14:editId="069D1167">
                                  <wp:extent cx="3322401" cy="286569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2683" cy="2874565"/>
                                          </a:xfrm>
                                          <a:prstGeom prst="rect">
                                            <a:avLst/>
                                          </a:prstGeom>
                                        </pic:spPr>
                                      </pic:pic>
                                    </a:graphicData>
                                  </a:graphic>
                                </wp:inline>
                              </w:drawing>
                            </w:r>
                          </w:p>
                          <w:p w14:paraId="65B75A21" w14:textId="269B2C9A" w:rsidR="00FF1F3A" w:rsidRDefault="002B233A" w:rsidP="008A3DB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Capacity additions and retirements in relation to the business as usual reference case</w:t>
                            </w:r>
                          </w:p>
                        </w:txbxContent>
                      </wps:txbx>
                      <wps:bodyPr rot="0" vert="horz" wrap="square" lIns="91440" tIns="45720" rIns="91440" bIns="45720" anchor="t" anchorCtr="0">
                        <a:spAutoFit/>
                      </wps:bodyPr>
                    </wps:wsp>
                  </a:graphicData>
                </a:graphic>
              </wp:anchor>
            </w:drawing>
          </mc:Choice>
          <mc:Fallback>
            <w:pict>
              <v:shape w14:anchorId="056898CE" id="_x0000_s1031" type="#_x0000_t202" style="position:absolute;left:0;text-align:left;margin-left:0;margin-top:.05pt;width:282.95pt;height:110.6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" strokecolor="white [3212]">
                <v:textbox style="mso-fit-shape-to-text:t">
                  <w:txbxContent>
                    <w:p w14:paraId="3C01BA54" w14:textId="4E87C065" w:rsidR="002B233A" w:rsidRDefault="008A3DB9" w:rsidP="002B233A">
                      <w:pPr>
                        <w:keepNext/>
                        <w:spacing w:after="0"/>
                        <w:contextualSpacing/>
                        <w:jc w:val="center"/>
                      </w:pPr>
                      <w:r>
                        <w:rPr>
                          <w:noProof/>
                        </w:rPr>
                        <w:drawing>
                          <wp:inline distT="0" distB="0" distL="0" distR="0" wp14:anchorId="48ECBDCE" wp14:editId="069D1167">
                            <wp:extent cx="3322401" cy="286569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2683" cy="2874565"/>
                                    </a:xfrm>
                                    <a:prstGeom prst="rect">
                                      <a:avLst/>
                                    </a:prstGeom>
                                  </pic:spPr>
                                </pic:pic>
                              </a:graphicData>
                            </a:graphic>
                          </wp:inline>
                        </w:drawing>
                      </w:r>
                    </w:p>
                    <w:p w14:paraId="65B75A21" w14:textId="269B2C9A" w:rsidR="00FF1F3A" w:rsidRDefault="002B233A" w:rsidP="008A3DB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Capacity additions and retirements in relation to the business as usual reference case</w:t>
                      </w:r>
                    </w:p>
                  </w:txbxContent>
                </v:textbox>
                <w10:wrap type="square" anchorx="margin"/>
              </v:shape>
            </w:pict>
          </mc:Fallback>
        </mc:AlternateContent>
      </w:r>
      <w:r w:rsidR="004A7E54">
        <w:t xml:space="preserve">independent of OSW cost, though OSW cost did </w:t>
      </w:r>
      <w:r w:rsidR="004E0F19">
        <w:t>contribute to higher percentages in all scenarios</w:t>
      </w:r>
      <w:r w:rsidR="00FC3648">
        <w:t xml:space="preserve"> (Figure 7)</w:t>
      </w:r>
      <w:r w:rsidR="004E0F19">
        <w:t>. Additionally, carbon mitigation stringency had a marked impact on total electricity production, reducing overall production in scenarios with high mitigation stringency</w:t>
      </w:r>
      <w:r w:rsidR="00FC3648">
        <w:t xml:space="preserve"> (Figure 8)</w:t>
      </w:r>
      <w:r w:rsidR="004E0F19">
        <w:t>.</w:t>
      </w:r>
    </w:p>
    <w:p w14:paraId="32ABF77A" w14:textId="0A41DF56" w:rsidR="009E3C67" w:rsidRDefault="009E3C67" w:rsidP="003A4898">
      <w:pPr>
        <w:spacing w:after="0" w:line="240" w:lineRule="auto"/>
        <w:contextualSpacing/>
        <w:mirrorIndents/>
        <w:jc w:val="both"/>
      </w:pPr>
    </w:p>
    <w:p w14:paraId="506375E5" w14:textId="06F4587E" w:rsidR="009E3C67" w:rsidRDefault="009E3C67" w:rsidP="003A4898">
      <w:pPr>
        <w:spacing w:after="0" w:line="240" w:lineRule="auto"/>
        <w:contextualSpacing/>
        <w:mirrorIndents/>
        <w:jc w:val="both"/>
      </w:pPr>
    </w:p>
    <w:p w14:paraId="12AEAB49" w14:textId="36441C81" w:rsidR="009E3C67" w:rsidRDefault="009E3C67" w:rsidP="003A4898">
      <w:pPr>
        <w:spacing w:after="0" w:line="240" w:lineRule="auto"/>
        <w:contextualSpacing/>
        <w:mirrorIndents/>
        <w:jc w:val="both"/>
      </w:pPr>
      <w:r>
        <w:t xml:space="preserve"> </w:t>
      </w:r>
    </w:p>
    <w:p w14:paraId="1C219BD2" w14:textId="77777777" w:rsidR="009E3C67" w:rsidRDefault="009E3C67" w:rsidP="003A4898">
      <w:pPr>
        <w:spacing w:after="0" w:line="240" w:lineRule="auto"/>
        <w:contextualSpacing/>
        <w:mirrorIndents/>
        <w:jc w:val="both"/>
      </w:pPr>
    </w:p>
    <w:p w14:paraId="5C41691E" w14:textId="5257F4E5" w:rsidR="004A7E54" w:rsidRDefault="004A7E54" w:rsidP="003A4898">
      <w:pPr>
        <w:keepNext/>
        <w:spacing w:after="0" w:line="240" w:lineRule="auto"/>
        <w:contextualSpacing/>
        <w:mirrorIndents/>
        <w:jc w:val="both"/>
      </w:pPr>
    </w:p>
    <w:p w14:paraId="48DC1FE3" w14:textId="768C6AD3" w:rsidR="008A3DB9" w:rsidRDefault="003A4898" w:rsidP="003A4898">
      <w:pPr>
        <w:keepNext/>
        <w:spacing w:after="0" w:line="240" w:lineRule="auto"/>
        <w:contextualSpacing/>
        <w:mirrorIndents/>
        <w:jc w:val="both"/>
      </w:pPr>
      <w:r>
        <w:rPr>
          <w:noProof/>
        </w:rPr>
        <w:drawing>
          <wp:inline distT="0" distB="0" distL="0" distR="0" wp14:anchorId="7160AA3E" wp14:editId="2EB6DAEC">
            <wp:extent cx="5705475" cy="442693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2277" cy="4432214"/>
                    </a:xfrm>
                    <a:prstGeom prst="rect">
                      <a:avLst/>
                    </a:prstGeom>
                    <a:noFill/>
                    <a:ln>
                      <a:noFill/>
                    </a:ln>
                  </pic:spPr>
                </pic:pic>
              </a:graphicData>
            </a:graphic>
          </wp:inline>
        </w:drawing>
      </w:r>
    </w:p>
    <w:p w14:paraId="7C97BEAE" w14:textId="60D4E444" w:rsidR="00E9228B" w:rsidRDefault="00E9228B" w:rsidP="003A4898">
      <w:pPr>
        <w:keepNext/>
        <w:spacing w:after="0" w:line="240" w:lineRule="auto"/>
        <w:contextualSpacing/>
        <w:mirrorIndents/>
        <w:jc w:val="both"/>
      </w:pPr>
      <w:r>
        <w:rPr>
          <w:noProof/>
        </w:rPr>
        <w:drawing>
          <wp:inline distT="0" distB="0" distL="0" distR="0" wp14:anchorId="5A885404" wp14:editId="6245F0F9">
            <wp:extent cx="3439021" cy="18954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1973" cy="1902614"/>
                    </a:xfrm>
                    <a:prstGeom prst="rect">
                      <a:avLst/>
                    </a:prstGeom>
                  </pic:spPr>
                </pic:pic>
              </a:graphicData>
            </a:graphic>
          </wp:inline>
        </w:drawing>
      </w:r>
      <w:r>
        <w:t xml:space="preserve">        </w:t>
      </w:r>
      <w:r>
        <w:rPr>
          <w:noProof/>
        </w:rPr>
        <w:drawing>
          <wp:inline distT="0" distB="0" distL="0" distR="0" wp14:anchorId="59E3628C" wp14:editId="0302D7D5">
            <wp:extent cx="2771216" cy="2028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3117" cy="2066822"/>
                    </a:xfrm>
                    <a:prstGeom prst="rect">
                      <a:avLst/>
                    </a:prstGeom>
                  </pic:spPr>
                </pic:pic>
              </a:graphicData>
            </a:graphic>
          </wp:inline>
        </w:drawing>
      </w:r>
    </w:p>
    <w:p w14:paraId="260220AE" w14:textId="09FD059D" w:rsidR="00E9228B" w:rsidRDefault="00E9228B" w:rsidP="003A4898">
      <w:pPr>
        <w:keepNext/>
        <w:spacing w:after="0" w:line="240" w:lineRule="auto"/>
        <w:contextualSpacing/>
        <w:mirrorIndents/>
        <w:jc w:val="both"/>
      </w:pPr>
      <w:r>
        <w:rPr>
          <w:noProof/>
        </w:rPr>
        <w:drawing>
          <wp:inline distT="0" distB="0" distL="0" distR="0" wp14:anchorId="4ACD0AE9" wp14:editId="0A60B2C5">
            <wp:extent cx="3412486" cy="209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6489" cy="2110240"/>
                    </a:xfrm>
                    <a:prstGeom prst="rect">
                      <a:avLst/>
                    </a:prstGeom>
                  </pic:spPr>
                </pic:pic>
              </a:graphicData>
            </a:graphic>
          </wp:inline>
        </w:drawing>
      </w:r>
    </w:p>
    <w:p w14:paraId="6B7AE0E7" w14:textId="77777777" w:rsidR="00E9228B" w:rsidRDefault="00E9228B" w:rsidP="003A4898">
      <w:pPr>
        <w:keepNext/>
        <w:spacing w:after="0" w:line="240" w:lineRule="auto"/>
        <w:contextualSpacing/>
        <w:mirrorIndents/>
        <w:jc w:val="both"/>
      </w:pPr>
    </w:p>
    <w:p w14:paraId="3F2D8834" w14:textId="64B216C2" w:rsidR="002D491D" w:rsidRPr="00654568" w:rsidRDefault="00EA000A" w:rsidP="003A4898">
      <w:pPr>
        <w:spacing w:after="0" w:line="240" w:lineRule="auto"/>
        <w:contextualSpacing/>
        <w:mirrorIndents/>
        <w:jc w:val="both"/>
      </w:pPr>
      <w:r>
        <w:rPr>
          <w:noProof/>
        </w:rPr>
        <w:t>The impact of these factors, as well as the impact of OSW buildout, contributed to an overall reduction in all emissions investigated in all scenarios over the baseline scenario.</w:t>
      </w:r>
      <w:r w:rsidR="00FB36FF">
        <w:rPr>
          <w:noProof/>
        </w:rPr>
        <w:t xml:space="preserve"> As shown in Figure 9,  all pollutants saw a significant reduction in </w:t>
      </w:r>
      <w:r w:rsidR="00654568">
        <w:rPr>
          <w:noProof/>
        </w:rPr>
        <w:t>emissions, but the largest reduction was in SO</w:t>
      </w:r>
      <w:r w:rsidR="00654568">
        <w:rPr>
          <w:noProof/>
          <w:vertAlign w:val="subscript"/>
        </w:rPr>
        <w:t>2</w:t>
      </w:r>
      <w:r w:rsidR="00654568">
        <w:rPr>
          <w:noProof/>
        </w:rPr>
        <w:t>. The dramatic decrease in these emissions stems from the model’s representation of existing SO</w:t>
      </w:r>
      <w:r w:rsidR="00654568">
        <w:rPr>
          <w:noProof/>
          <w:vertAlign w:val="subscript"/>
        </w:rPr>
        <w:t>2</w:t>
      </w:r>
      <w:r w:rsidR="00654568">
        <w:rPr>
          <w:noProof/>
        </w:rPr>
        <w:t xml:space="preserve"> policies that require substantial shift away from sulfur-rich fuels.</w:t>
      </w:r>
    </w:p>
    <w:p w14:paraId="23422991" w14:textId="553917AB" w:rsidR="007E4E63" w:rsidRDefault="007E4E63" w:rsidP="003A4898">
      <w:pPr>
        <w:spacing w:after="0" w:line="240" w:lineRule="auto"/>
        <w:contextualSpacing/>
        <w:mirrorIndents/>
        <w:jc w:val="both"/>
      </w:pPr>
    </w:p>
    <w:p w14:paraId="72C9BF88" w14:textId="0FC2FA7F" w:rsidR="00FB36FF" w:rsidRDefault="009E3C67" w:rsidP="003A4898">
      <w:pPr>
        <w:keepNext/>
        <w:spacing w:after="0" w:line="240" w:lineRule="auto"/>
        <w:contextualSpacing/>
        <w:mirrorIndents/>
        <w:jc w:val="both"/>
      </w:pPr>
      <w:r>
        <w:rPr>
          <w:noProof/>
        </w:rPr>
        <w:drawing>
          <wp:inline distT="0" distB="0" distL="0" distR="0" wp14:anchorId="4D11CF23" wp14:editId="2A06989E">
            <wp:extent cx="3810000" cy="2173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6127" cy="2182509"/>
                    </a:xfrm>
                    <a:prstGeom prst="rect">
                      <a:avLst/>
                    </a:prstGeom>
                    <a:noFill/>
                    <a:ln>
                      <a:noFill/>
                    </a:ln>
                  </pic:spPr>
                </pic:pic>
              </a:graphicData>
            </a:graphic>
          </wp:inline>
        </w:drawing>
      </w:r>
    </w:p>
    <w:p w14:paraId="790F12E2" w14:textId="75BF4370" w:rsidR="002006A3" w:rsidRPr="00C226E7" w:rsidRDefault="002006A3" w:rsidP="003A4898">
      <w:pPr>
        <w:keepNext/>
        <w:spacing w:after="0" w:line="240" w:lineRule="auto"/>
        <w:contextualSpacing/>
        <w:mirrorIndents/>
        <w:jc w:val="both"/>
      </w:pPr>
      <w:r>
        <w:t xml:space="preserve">In order to tease out the effects of these factors and the original sensitivity parameters on emissions, we looked at the correlations between all factors (Figure 10). Carbon mitigation stringency was highly negatively correlated with all emissions, while OSW capacity was only significantly negatively correlated with </w:t>
      </w:r>
      <w:r w:rsidR="00EE6E48">
        <w:t>CO</w:t>
      </w:r>
      <w:r w:rsidR="00EE6E48" w:rsidRPr="00EE6E48">
        <w:rPr>
          <w:vertAlign w:val="subscript"/>
        </w:rPr>
        <w:t>2</w:t>
      </w:r>
      <w:r w:rsidR="00EE6E48">
        <w:t xml:space="preserve"> and CH</w:t>
      </w:r>
      <w:r w:rsidR="00EE6E48" w:rsidRPr="00EE6E48">
        <w:rPr>
          <w:vertAlign w:val="subscript"/>
        </w:rPr>
        <w:t>4</w:t>
      </w:r>
      <w:r w:rsidR="00EE6E48">
        <w:t xml:space="preserve">. </w:t>
      </w:r>
      <w:r w:rsidR="00491C2A">
        <w:t>Total OSW capacity was significantly positively correlated with cost reduction, but not with CO</w:t>
      </w:r>
      <w:r w:rsidR="00491C2A">
        <w:rPr>
          <w:vertAlign w:val="subscript"/>
        </w:rPr>
        <w:t xml:space="preserve">2 </w:t>
      </w:r>
      <w:r w:rsidR="00491C2A">
        <w:t>mitigation stringenc</w:t>
      </w:r>
      <w:r w:rsidR="00C226E7">
        <w:t>y. Both total OSW capacity and CO</w:t>
      </w:r>
      <w:r w:rsidR="00C226E7">
        <w:rPr>
          <w:vertAlign w:val="subscript"/>
        </w:rPr>
        <w:t xml:space="preserve">2 </w:t>
      </w:r>
      <w:r w:rsidR="00C226E7">
        <w:t>mitigation stringency were significantly positively correlated with the total percentage of renewables, with mitigation stringency eliciting a higher positive effect. The total amount of electricity produced, system-wide, was significantly and strongly negatively correlated with mitigation stringency but positively correlated with total OSW capacity.</w:t>
      </w:r>
    </w:p>
    <w:p w14:paraId="4726E51C" w14:textId="09F205DD" w:rsidR="002006A3" w:rsidRDefault="002006A3" w:rsidP="003A4898">
      <w:pPr>
        <w:keepNext/>
        <w:spacing w:after="0" w:line="240" w:lineRule="auto"/>
        <w:contextualSpacing/>
        <w:mirrorIndents/>
        <w:jc w:val="both"/>
      </w:pPr>
    </w:p>
    <w:p w14:paraId="279261E4" w14:textId="0B7C3FFC" w:rsidR="00C226E7" w:rsidRDefault="002B13CC" w:rsidP="003A4898">
      <w:pPr>
        <w:spacing w:after="0" w:line="240" w:lineRule="auto"/>
        <w:contextualSpacing/>
        <w:mirrorIndents/>
        <w:jc w:val="both"/>
      </w:pPr>
      <w:r>
        <w:t xml:space="preserve">Further statistical analysis was required to identify the </w:t>
      </w:r>
      <w:r w:rsidR="007D752B">
        <w:t xml:space="preserve">strength of the effects of these parameters on emissions. Multiple linear regressions were constructed to analyze these factors. Table 2 shows the regression coefficients for three independent variables, </w:t>
      </w:r>
      <w:r w:rsidR="00C226E7">
        <w:t xml:space="preserve">total </w:t>
      </w:r>
      <w:r w:rsidR="007D752B">
        <w:t xml:space="preserve">OSW capacity, percentage </w:t>
      </w:r>
      <w:r w:rsidR="00C226E7">
        <w:t xml:space="preserve">of </w:t>
      </w:r>
      <w:r w:rsidR="007D752B">
        <w:t>renewable</w:t>
      </w:r>
      <w:r w:rsidR="00C226E7">
        <w:t xml:space="preserve"> generation</w:t>
      </w:r>
      <w:r w:rsidR="007D752B">
        <w:t>, and total electricity</w:t>
      </w:r>
      <w:r w:rsidR="00C226E7">
        <w:t xml:space="preserve"> production</w:t>
      </w:r>
      <w:r w:rsidR="007D752B">
        <w:t>. All coefficients were statistically significant</w:t>
      </w:r>
      <w:r w:rsidR="00C24DA6">
        <w:t xml:space="preserve"> for both </w:t>
      </w:r>
      <w:r w:rsidR="00C226E7">
        <w:t>ca</w:t>
      </w:r>
      <w:r w:rsidR="00C24DA6">
        <w:t>rbon mitigation stringency and OSW cost reduction. Cost reduction had a substantially greater positive influence on OSW capacity than carbon mitigation stringency, though both contribute</w:t>
      </w:r>
      <w:r w:rsidR="00C226E7">
        <w:t>d</w:t>
      </w:r>
      <w:r w:rsidR="00C24DA6">
        <w:t xml:space="preserve"> to higher OSW capacity</w:t>
      </w:r>
      <w:r w:rsidR="007D752B">
        <w:t xml:space="preserve">. </w:t>
      </w:r>
      <w:r w:rsidR="00C226E7">
        <w:t xml:space="preserve">Both coefficients were significant and positive for renewable percentage, though mitigation stringency also played a greater role here. Mitigation stringency also had a greater negative coefficient for total electricity production than cost reduction had a positive effect. </w:t>
      </w:r>
    </w:p>
    <w:p w14:paraId="38AF6723" w14:textId="2C0B8134" w:rsidR="005B7048" w:rsidRDefault="005B7048" w:rsidP="003A4898">
      <w:pPr>
        <w:spacing w:after="0" w:line="240" w:lineRule="auto"/>
        <w:contextualSpacing/>
        <w:mirrorIndents/>
        <w:jc w:val="both"/>
      </w:pPr>
    </w:p>
    <w:p w14:paraId="5068713F" w14:textId="63725C8C" w:rsidR="005B7048" w:rsidRDefault="005B7048" w:rsidP="003A4898">
      <w:pPr>
        <w:spacing w:after="0" w:line="240" w:lineRule="auto"/>
        <w:contextualSpacing/>
        <w:mirrorIndents/>
        <w:jc w:val="both"/>
      </w:pPr>
      <w:r>
        <w:rPr>
          <w:noProof/>
        </w:rPr>
        <w:drawing>
          <wp:inline distT="0" distB="0" distL="0" distR="0" wp14:anchorId="73E6F587" wp14:editId="742B1B08">
            <wp:extent cx="2895600" cy="17554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5270" cy="1773444"/>
                    </a:xfrm>
                    <a:prstGeom prst="rect">
                      <a:avLst/>
                    </a:prstGeom>
                  </pic:spPr>
                </pic:pic>
              </a:graphicData>
            </a:graphic>
          </wp:inline>
        </w:drawing>
      </w:r>
      <w:r>
        <w:t xml:space="preserve">                          </w:t>
      </w:r>
      <w:r>
        <w:rPr>
          <w:noProof/>
        </w:rPr>
        <w:drawing>
          <wp:inline distT="0" distB="0" distL="0" distR="0" wp14:anchorId="156698B7" wp14:editId="5389E9E1">
            <wp:extent cx="2905460" cy="17725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992" cy="1784429"/>
                    </a:xfrm>
                    <a:prstGeom prst="rect">
                      <a:avLst/>
                    </a:prstGeom>
                  </pic:spPr>
                </pic:pic>
              </a:graphicData>
            </a:graphic>
          </wp:inline>
        </w:drawing>
      </w:r>
    </w:p>
    <w:p w14:paraId="7450BF72" w14:textId="086DB355" w:rsidR="005B7048" w:rsidRDefault="005B7048" w:rsidP="003A4898">
      <w:pPr>
        <w:spacing w:after="0" w:line="240" w:lineRule="auto"/>
        <w:contextualSpacing/>
        <w:mirrorIndents/>
        <w:jc w:val="both"/>
      </w:pPr>
      <w:r>
        <w:rPr>
          <w:noProof/>
        </w:rPr>
        <w:drawing>
          <wp:inline distT="0" distB="0" distL="0" distR="0" wp14:anchorId="08200B22" wp14:editId="1356F7DF">
            <wp:extent cx="3181350" cy="1018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7596" cy="1033792"/>
                    </a:xfrm>
                    <a:prstGeom prst="rect">
                      <a:avLst/>
                    </a:prstGeom>
                  </pic:spPr>
                </pic:pic>
              </a:graphicData>
            </a:graphic>
          </wp:inline>
        </w:drawing>
      </w:r>
      <w:r>
        <w:t xml:space="preserve">                  </w:t>
      </w:r>
      <w:r>
        <w:rPr>
          <w:noProof/>
        </w:rPr>
        <w:drawing>
          <wp:inline distT="0" distB="0" distL="0" distR="0" wp14:anchorId="0FE96130" wp14:editId="07421687">
            <wp:extent cx="2619375" cy="1007004"/>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7786" cy="1037149"/>
                    </a:xfrm>
                    <a:prstGeom prst="rect">
                      <a:avLst/>
                    </a:prstGeom>
                  </pic:spPr>
                </pic:pic>
              </a:graphicData>
            </a:graphic>
          </wp:inline>
        </w:drawing>
      </w:r>
    </w:p>
    <w:p w14:paraId="0B2139C0" w14:textId="3DE2F43B" w:rsidR="005B7048" w:rsidRDefault="005B7048" w:rsidP="003A4898">
      <w:pPr>
        <w:spacing w:after="0" w:line="240" w:lineRule="auto"/>
        <w:contextualSpacing/>
        <w:mirrorIndents/>
        <w:jc w:val="both"/>
      </w:pPr>
    </w:p>
    <w:p w14:paraId="76C0216A" w14:textId="77777777" w:rsidR="00C226E7" w:rsidRDefault="00C226E7" w:rsidP="003A4898">
      <w:pPr>
        <w:spacing w:after="0" w:line="240" w:lineRule="auto"/>
        <w:contextualSpacing/>
        <w:mirrorIndents/>
        <w:jc w:val="both"/>
      </w:pPr>
    </w:p>
    <w:p w14:paraId="28B412E7" w14:textId="0E30AEF0" w:rsidR="002006A3" w:rsidRPr="0049664A" w:rsidRDefault="007D752B" w:rsidP="003A4898">
      <w:pPr>
        <w:spacing w:after="0" w:line="240" w:lineRule="auto"/>
        <w:contextualSpacing/>
        <w:mirrorIndents/>
        <w:jc w:val="both"/>
      </w:pPr>
      <w:r>
        <w:t xml:space="preserve">Table 3 shows these factors as they elicit changes in emissions. </w:t>
      </w:r>
      <w:r w:rsidR="00C226E7">
        <w:t>The c</w:t>
      </w:r>
      <w:r>
        <w:t>oefficients</w:t>
      </w:r>
      <w:r w:rsidR="00C226E7">
        <w:t xml:space="preserve"> for all emissions</w:t>
      </w:r>
      <w:r>
        <w:t xml:space="preserve"> were statistically significant </w:t>
      </w:r>
      <w:r w:rsidR="00C226E7">
        <w:t xml:space="preserve">and negative </w:t>
      </w:r>
      <w:r>
        <w:t xml:space="preserve">for carbon mitigation stringency but only </w:t>
      </w:r>
      <w:r w:rsidR="0049664A">
        <w:t xml:space="preserve">negative and </w:t>
      </w:r>
      <w:r>
        <w:t>statistically significant for</w:t>
      </w:r>
      <w:r w:rsidR="0049664A">
        <w:t xml:space="preserve"> CO</w:t>
      </w:r>
      <w:r w:rsidR="0049664A">
        <w:rPr>
          <w:vertAlign w:val="subscript"/>
        </w:rPr>
        <w:t>2</w:t>
      </w:r>
      <w:r w:rsidR="0049664A">
        <w:t xml:space="preserve"> and PM</w:t>
      </w:r>
      <w:r w:rsidR="0049664A" w:rsidRPr="0049664A">
        <w:rPr>
          <w:vertAlign w:val="subscript"/>
        </w:rPr>
        <w:t xml:space="preserve">2.5 </w:t>
      </w:r>
      <w:r w:rsidR="0049664A">
        <w:t>for</w:t>
      </w:r>
      <w:r>
        <w:t xml:space="preserve"> OSW capacity.</w:t>
      </w:r>
      <w:r w:rsidR="0049664A">
        <w:t xml:space="preserve"> OSW capacity had a small but positive coefficient for SO</w:t>
      </w:r>
      <w:r w:rsidR="0049664A">
        <w:rPr>
          <w:vertAlign w:val="subscript"/>
        </w:rPr>
        <w:t>2</w:t>
      </w:r>
      <w:r w:rsidR="0049664A">
        <w:t>, however it was not statistically significant.</w:t>
      </w:r>
    </w:p>
    <w:p w14:paraId="7A9E57EB" w14:textId="77777777" w:rsidR="008A228F" w:rsidRDefault="008A228F" w:rsidP="003A4898">
      <w:pPr>
        <w:spacing w:after="0" w:line="240" w:lineRule="auto"/>
        <w:contextualSpacing/>
        <w:mirrorIndents/>
        <w:jc w:val="both"/>
      </w:pPr>
    </w:p>
    <w:p w14:paraId="37B9A161" w14:textId="2D795DF5" w:rsidR="008570E5" w:rsidRDefault="0049664A" w:rsidP="003A4898">
      <w:pPr>
        <w:spacing w:after="0" w:line="240" w:lineRule="auto"/>
        <w:contextualSpacing/>
        <w:mirrorIndents/>
        <w:jc w:val="both"/>
      </w:pPr>
      <w:r>
        <w:t xml:space="preserve">For all scenarios modeled, the market penetration for OSW varied, and with that, the market share of other generation resources. Table 4 shows the market share of electricity generation across eight major generation resources. </w:t>
      </w:r>
    </w:p>
    <w:p w14:paraId="0E45D4A5" w14:textId="27FB74DE" w:rsidR="000B2C52" w:rsidRDefault="000B2C52" w:rsidP="003A4898">
      <w:pPr>
        <w:spacing w:after="0" w:line="240" w:lineRule="auto"/>
        <w:contextualSpacing/>
        <w:mirrorIndents/>
        <w:jc w:val="both"/>
      </w:pPr>
    </w:p>
    <w:p w14:paraId="6529357D" w14:textId="5EBCCE03" w:rsidR="00B9202D" w:rsidRDefault="00B9202D" w:rsidP="003A4898">
      <w:pPr>
        <w:pStyle w:val="Heading2"/>
        <w:spacing w:before="0" w:line="240" w:lineRule="auto"/>
        <w:contextualSpacing/>
        <w:mirrorIndents/>
        <w:jc w:val="both"/>
      </w:pPr>
      <w:r>
        <w:t>Conclusions</w:t>
      </w:r>
    </w:p>
    <w:p w14:paraId="30CD43B1" w14:textId="47D0F25D" w:rsidR="007B7E11" w:rsidRDefault="0049664A" w:rsidP="003A4898">
      <w:pPr>
        <w:spacing w:line="240" w:lineRule="auto"/>
        <w:contextualSpacing/>
        <w:mirrorIndents/>
        <w:jc w:val="both"/>
      </w:pPr>
      <w:r>
        <w:t>In this research, a TIMES modeling framework was used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In order to assess the vast possibilities for future scenarios, we used a nested parametric sensitivity analysis with CO</w:t>
      </w:r>
      <w:r>
        <w:rPr>
          <w:vertAlign w:val="subscript"/>
        </w:rPr>
        <w:t xml:space="preserve">2 </w:t>
      </w:r>
      <w:r w:rsidR="00647DF6">
        <w:t>caps at 30%, 40%, 50%, 60%, 70%, and 80% below 2010 levels by 2050 and OSW cost reductions at 40%, 50%, 60%, 70%, and 80% below 201</w:t>
      </w:r>
      <w:r w:rsidR="002A2CC3">
        <w:t>8</w:t>
      </w:r>
      <w:r w:rsidR="00647DF6">
        <w:t xml:space="preserve"> costs by 2035. This research utilizes this methodology not only to investigate the potential for OSW, but to envision how this new technology in the U.S. will fit into our grid given uncertainties at this early stage of development. </w:t>
      </w:r>
    </w:p>
    <w:p w14:paraId="6AF1CE1D" w14:textId="597D30C3" w:rsidR="00647DF6" w:rsidRDefault="00647DF6" w:rsidP="003A4898">
      <w:pPr>
        <w:spacing w:line="240" w:lineRule="auto"/>
        <w:contextualSpacing/>
        <w:mirrorIndents/>
        <w:jc w:val="both"/>
      </w:pPr>
    </w:p>
    <w:p w14:paraId="0D1192ED" w14:textId="2D625415" w:rsidR="002A2CC3" w:rsidRDefault="00647DF6" w:rsidP="003A4898">
      <w:pPr>
        <w:spacing w:line="240" w:lineRule="auto"/>
        <w:contextualSpacing/>
        <w:mirrorIndents/>
        <w:jc w:val="both"/>
      </w:pPr>
      <w:r>
        <w:t>OSW in Europe, and now Asia, is a relatively established technology, but the conditions that elicited large investment in and build out of turbines are different in the U.S. We have different natural resources and costs of technology, different market shares of fossil fuels, and a hodge-podge of electricity markets. 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Many states have already adopted RPS which incentivize the expansion of renewable technologies,</w:t>
      </w:r>
      <w:r w:rsidR="002A2CC3">
        <w:t xml:space="preserve"> and some in the northeast U.S. have mandated OSW to varying degrees. This paper found that without mandates, costs for OSW will need to decrease by at least half </w:t>
      </w:r>
      <w:r w:rsidR="00A96EE5">
        <w:t>to compete on the market with other technologies, both renewable and fossil.</w:t>
      </w:r>
      <w:r w:rsidR="004F792C">
        <w:t xml:space="preserve"> When costs are reduced by 60%, substantially more OSW is built, as with 70% and 80%. OSW reaches its highest modeled market share at 37.4% with cost reductions and CO</w:t>
      </w:r>
      <w:r w:rsidR="004F792C">
        <w:rPr>
          <w:vertAlign w:val="subscript"/>
        </w:rPr>
        <w:t>2</w:t>
      </w:r>
      <w:r w:rsidR="004F792C">
        <w:t xml:space="preserve"> mitigation both at 80%.</w:t>
      </w:r>
    </w:p>
    <w:p w14:paraId="30406400" w14:textId="31491A95" w:rsidR="00FC28DF" w:rsidRDefault="00FC28DF" w:rsidP="003A4898">
      <w:pPr>
        <w:spacing w:line="240" w:lineRule="auto"/>
        <w:contextualSpacing/>
        <w:mirrorIndents/>
        <w:jc w:val="both"/>
      </w:pPr>
    </w:p>
    <w:p w14:paraId="08F59364" w14:textId="0FD3FAA2" w:rsidR="00112C0A" w:rsidRDefault="00FC28DF" w:rsidP="003A4898">
      <w:pPr>
        <w:spacing w:line="240" w:lineRule="auto"/>
        <w:contextualSpacing/>
        <w:mirrorIndents/>
        <w:jc w:val="both"/>
      </w:pPr>
      <w:r>
        <w:t>At lower penetrations and without CO</w:t>
      </w:r>
      <w:r>
        <w:rPr>
          <w:vertAlign w:val="subscript"/>
        </w:rPr>
        <w:t>2</w:t>
      </w:r>
      <w:r>
        <w:t xml:space="preserve"> restrictions, OSW displaces some solar and terrestrial wind resources. With even moderate CO</w:t>
      </w:r>
      <w:r>
        <w:rPr>
          <w:vertAlign w:val="subscript"/>
        </w:rPr>
        <w:t>2</w:t>
      </w:r>
      <w:r>
        <w:t xml:space="preserve"> restrictions, solar and terrestrial wind are no longer displaced, and only natural gas and coal are displaced. Greater capacity of OSW, especially in the 80% cost reduction scenarios, required a greater volume of dispatchable resources, keeping more coal online than would have been otherwise. Load balancing needs paired with high renewable resource capacity showed an increase in emissions, namely SO</w:t>
      </w:r>
      <w:r>
        <w:rPr>
          <w:vertAlign w:val="subscript"/>
        </w:rPr>
        <w:t>2</w:t>
      </w:r>
      <w:r>
        <w:t xml:space="preserve"> in the lowest cost OSW scenarios</w:t>
      </w:r>
      <w:r w:rsidR="00276DD5">
        <w:t>, over slightly higher cost scenarios. Overall, however, both OSW capacity expansion and CO</w:t>
      </w:r>
      <w:r w:rsidR="00276DD5">
        <w:rPr>
          <w:vertAlign w:val="subscript"/>
        </w:rPr>
        <w:t>2</w:t>
      </w:r>
      <w:r w:rsidR="00276DD5">
        <w:t xml:space="preserve"> emissions constraints elicited lower emissions across all scenarios. The CO</w:t>
      </w:r>
      <w:r w:rsidR="00276DD5">
        <w:rPr>
          <w:vertAlign w:val="subscript"/>
        </w:rPr>
        <w:t xml:space="preserve">2 </w:t>
      </w:r>
      <w:r w:rsidR="00276DD5">
        <w:t xml:space="preserve">caps had a greater effect on overall emissions mitigation than OSW capacity, but all else equal, OSW still led to a statistically significant reduction in emissions. This is </w:t>
      </w:r>
      <w:r w:rsidR="00BA3B73">
        <w:t>due namely</w:t>
      </w:r>
      <w:r w:rsidR="00276DD5">
        <w:t xml:space="preserve"> to the fact that in most scenarios modeled, OSW displaced primarily natural gas and coal</w:t>
      </w:r>
      <w:r w:rsidR="00112C0A">
        <w:t>.</w:t>
      </w:r>
    </w:p>
    <w:p w14:paraId="13385243" w14:textId="77777777" w:rsidR="00112C0A" w:rsidRDefault="00112C0A" w:rsidP="003A4898">
      <w:pPr>
        <w:spacing w:line="240" w:lineRule="auto"/>
        <w:contextualSpacing/>
        <w:mirrorIndents/>
        <w:jc w:val="both"/>
      </w:pPr>
    </w:p>
    <w:p w14:paraId="3AC69D97" w14:textId="34C723C3" w:rsidR="00214AC1" w:rsidRDefault="00214AC1" w:rsidP="003A4898">
      <w:pPr>
        <w:pStyle w:val="Heading2"/>
        <w:spacing w:before="0" w:line="240" w:lineRule="auto"/>
        <w:contextualSpacing/>
        <w:mirrorIndents/>
        <w:jc w:val="both"/>
      </w:pPr>
      <w:r>
        <w:t>Notes on Modeling</w:t>
      </w:r>
    </w:p>
    <w:p w14:paraId="4FD07A45" w14:textId="04DE7FDD"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37D5E041" w14:textId="5F16FA3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065C188C" w:rsidR="00087B87" w:rsidRDefault="00087B87"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6EB0CF2C" w14:textId="77777777"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FF1F3A" w:rsidP="003A4898">
      <w:pPr>
        <w:spacing w:after="0" w:line="240" w:lineRule="auto"/>
        <w:contextualSpacing/>
        <w:mirrorIndents/>
        <w:jc w:val="both"/>
      </w:pPr>
      <w:hyperlink r:id="rId29"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2B053393" w14:textId="77777777" w:rsidR="003A4898" w:rsidRPr="003A4898" w:rsidRDefault="005A2E07" w:rsidP="003A4898">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3A4898" w:rsidRPr="003A4898">
        <w:t>1.</w:t>
      </w:r>
      <w:r w:rsidR="003A4898" w:rsidRPr="003A4898">
        <w:tab/>
        <w:t xml:space="preserve">NOAA, </w:t>
      </w:r>
      <w:r w:rsidR="003A4898" w:rsidRPr="003A4898">
        <w:rPr>
          <w:i/>
        </w:rPr>
        <w:t>American Community Survey Five-Year Estimates [NOAA Office for Coastal Management, U.S. Census Bureau]</w:t>
      </w:r>
      <w:r w:rsidR="003A4898" w:rsidRPr="003A4898">
        <w:t>, NOAA, Editor. 2014.</w:t>
      </w:r>
    </w:p>
    <w:p w14:paraId="4B630C8B" w14:textId="77777777" w:rsidR="003A4898" w:rsidRPr="003A4898" w:rsidRDefault="003A4898" w:rsidP="003A4898">
      <w:pPr>
        <w:pStyle w:val="EndNoteBibliography"/>
        <w:spacing w:after="0"/>
        <w:ind w:left="720" w:hanging="720"/>
      </w:pPr>
      <w:r w:rsidRPr="003A4898">
        <w:t>2.</w:t>
      </w:r>
      <w:r w:rsidRPr="003A4898">
        <w:tab/>
        <w:t xml:space="preserve">NOAA, </w:t>
      </w:r>
      <w:r w:rsidRPr="003A4898">
        <w:rPr>
          <w:i/>
        </w:rPr>
        <w:t>National Coastal Population Report: Population Trends from 1970 to 2020</w:t>
      </w:r>
      <w:r w:rsidRPr="003A4898">
        <w:t xml:space="preserve">, in </w:t>
      </w:r>
      <w:r w:rsidRPr="003A4898">
        <w:rPr>
          <w:i/>
        </w:rPr>
        <w:t>NOAA's State of the Coast</w:t>
      </w:r>
      <w:r w:rsidRPr="003A4898">
        <w:t>. 2013.</w:t>
      </w:r>
    </w:p>
    <w:p w14:paraId="2423AC67" w14:textId="77777777" w:rsidR="003A4898" w:rsidRPr="003A4898" w:rsidRDefault="003A4898" w:rsidP="003A4898">
      <w:pPr>
        <w:pStyle w:val="EndNoteBibliography"/>
        <w:spacing w:after="0"/>
        <w:ind w:left="720" w:hanging="720"/>
      </w:pPr>
      <w:r w:rsidRPr="003A4898">
        <w:t>3.</w:t>
      </w:r>
      <w:r w:rsidRPr="003A4898">
        <w:tab/>
        <w:t xml:space="preserve">Musial, W., et al., </w:t>
      </w:r>
      <w:r w:rsidRPr="003A4898">
        <w:rPr>
          <w:i/>
        </w:rPr>
        <w:t>2016 Offshore Wind Energy Resource Assessment for the United States.</w:t>
      </w:r>
      <w:r w:rsidRPr="003A4898">
        <w:t xml:space="preserve"> National Renewable Energy Laboratory, 2016(NREL/TP-5000-66599).</w:t>
      </w:r>
    </w:p>
    <w:p w14:paraId="2FEF5522" w14:textId="77777777" w:rsidR="003A4898" w:rsidRPr="003A4898" w:rsidRDefault="003A4898" w:rsidP="003A4898">
      <w:pPr>
        <w:pStyle w:val="EndNoteBibliography"/>
        <w:spacing w:after="0"/>
        <w:ind w:left="720" w:hanging="720"/>
      </w:pPr>
      <w:r w:rsidRPr="003A4898">
        <w:t>4.</w:t>
      </w:r>
      <w:r w:rsidRPr="003A4898">
        <w:tab/>
        <w:t xml:space="preserve">Green, R. and N. Vasilakos, </w:t>
      </w:r>
      <w:r w:rsidRPr="003A4898">
        <w:rPr>
          <w:i/>
        </w:rPr>
        <w:t>The economics of offshore wind.</w:t>
      </w:r>
      <w:r w:rsidRPr="003A4898">
        <w:t xml:space="preserve"> Energy Policy, 2011. </w:t>
      </w:r>
      <w:r w:rsidRPr="003A4898">
        <w:rPr>
          <w:b/>
        </w:rPr>
        <w:t>39</w:t>
      </w:r>
      <w:r w:rsidRPr="003A4898">
        <w:t>: p. 496-502.</w:t>
      </w:r>
    </w:p>
    <w:p w14:paraId="461DAE41" w14:textId="77777777" w:rsidR="003A4898" w:rsidRPr="003A4898" w:rsidRDefault="003A4898" w:rsidP="003A4898">
      <w:pPr>
        <w:pStyle w:val="EndNoteBibliography"/>
        <w:spacing w:after="0"/>
        <w:ind w:left="720" w:hanging="720"/>
      </w:pPr>
      <w:r w:rsidRPr="003A4898">
        <w:t>5.</w:t>
      </w:r>
      <w:r w:rsidRPr="003A4898">
        <w:tab/>
        <w:t xml:space="preserve">Myhr, A., et al., </w:t>
      </w:r>
      <w:r w:rsidRPr="003A4898">
        <w:rPr>
          <w:i/>
        </w:rPr>
        <w:t>Levelised cost of energy for offshore floating wind turbines in a life cycle perspective.</w:t>
      </w:r>
      <w:r w:rsidRPr="003A4898">
        <w:t xml:space="preserve"> Renewable Energy, 2014. </w:t>
      </w:r>
      <w:r w:rsidRPr="003A4898">
        <w:rPr>
          <w:b/>
        </w:rPr>
        <w:t>66</w:t>
      </w:r>
      <w:r w:rsidRPr="003A4898">
        <w:t>: p. 714-728.</w:t>
      </w:r>
    </w:p>
    <w:p w14:paraId="1452DA65" w14:textId="77777777" w:rsidR="003A4898" w:rsidRPr="003A4898" w:rsidRDefault="003A4898" w:rsidP="003A4898">
      <w:pPr>
        <w:pStyle w:val="EndNoteBibliography"/>
        <w:spacing w:after="0"/>
        <w:ind w:left="720" w:hanging="720"/>
      </w:pPr>
      <w:r w:rsidRPr="003A4898">
        <w:t>6.</w:t>
      </w:r>
      <w:r w:rsidRPr="003A4898">
        <w:tab/>
        <w:t xml:space="preserve">Stehly, T., et al., </w:t>
      </w:r>
      <w:r w:rsidRPr="003A4898">
        <w:rPr>
          <w:i/>
        </w:rPr>
        <w:t>2017 Cost of Wind Energy Review</w:t>
      </w:r>
      <w:r w:rsidRPr="003A4898">
        <w:t>. 2017, National Renewable Energy Laboratory.</w:t>
      </w:r>
    </w:p>
    <w:p w14:paraId="0CC5CA8D" w14:textId="77777777" w:rsidR="003A4898" w:rsidRPr="003A4898" w:rsidRDefault="003A4898" w:rsidP="003A4898">
      <w:pPr>
        <w:pStyle w:val="EndNoteBibliography"/>
        <w:spacing w:after="0"/>
        <w:ind w:left="720" w:hanging="720"/>
      </w:pPr>
      <w:r w:rsidRPr="003A4898">
        <w:t>7.</w:t>
      </w:r>
      <w:r w:rsidRPr="003A4898">
        <w:tab/>
        <w:t xml:space="preserve">NCCETC, </w:t>
      </w:r>
      <w:r w:rsidRPr="003A4898">
        <w:rPr>
          <w:i/>
        </w:rPr>
        <w:t>Renewable and Clean Energy Standards: Database of State Incentives for Renewables and Efficiency</w:t>
      </w:r>
      <w:r w:rsidRPr="003A4898">
        <w:t>, N.C.C.E.T. Center, Editor. 2019.</w:t>
      </w:r>
    </w:p>
    <w:p w14:paraId="3F995FBA" w14:textId="77777777" w:rsidR="003A4898" w:rsidRPr="003A4898" w:rsidRDefault="003A4898" w:rsidP="003A4898">
      <w:pPr>
        <w:pStyle w:val="EndNoteBibliography"/>
        <w:spacing w:after="0"/>
        <w:ind w:left="720" w:hanging="720"/>
      </w:pPr>
      <w:r w:rsidRPr="003A4898">
        <w:t>8.</w:t>
      </w:r>
      <w:r w:rsidRPr="003A4898">
        <w:tab/>
        <w:t xml:space="preserve">C2ES, </w:t>
      </w:r>
      <w:r w:rsidRPr="003A4898">
        <w:rPr>
          <w:i/>
        </w:rPr>
        <w:t>U.S. State Greenhouse Gas Emissions Targets</w:t>
      </w:r>
      <w:r w:rsidRPr="003A4898">
        <w:t>, C.f.C.a.E. Solutions, Editor. 2019.</w:t>
      </w:r>
    </w:p>
    <w:p w14:paraId="134E5566" w14:textId="77777777" w:rsidR="003A4898" w:rsidRPr="003A4898" w:rsidRDefault="003A4898" w:rsidP="003A4898">
      <w:pPr>
        <w:pStyle w:val="EndNoteBibliography"/>
        <w:spacing w:after="0"/>
        <w:ind w:left="720" w:hanging="720"/>
      </w:pPr>
      <w:r w:rsidRPr="003A4898">
        <w:t>9.</w:t>
      </w:r>
      <w:r w:rsidRPr="003A4898">
        <w:tab/>
        <w:t xml:space="preserve">U.S. EIA, </w:t>
      </w:r>
      <w:r w:rsidRPr="003A4898">
        <w:rPr>
          <w:i/>
        </w:rPr>
        <w:t>US electricity generation by energy source</w:t>
      </w:r>
      <w:r w:rsidRPr="003A4898">
        <w:t>, U.S.E.I. Administration, Editor. 2018.</w:t>
      </w:r>
    </w:p>
    <w:p w14:paraId="06A47D2C" w14:textId="77777777" w:rsidR="003A4898" w:rsidRPr="003A4898" w:rsidRDefault="003A4898" w:rsidP="003A4898">
      <w:pPr>
        <w:pStyle w:val="EndNoteBibliography"/>
        <w:spacing w:after="0"/>
        <w:ind w:left="720" w:hanging="720"/>
      </w:pPr>
      <w:r w:rsidRPr="003A4898">
        <w:t>10.</w:t>
      </w:r>
      <w:r w:rsidRPr="003A4898">
        <w:tab/>
        <w:t xml:space="preserve">U.S. EIA, </w:t>
      </w:r>
      <w:r w:rsidRPr="003A4898">
        <w:rPr>
          <w:i/>
        </w:rPr>
        <w:t>U.S. primary energy consumption by energy source, 2018</w:t>
      </w:r>
      <w:r w:rsidRPr="003A4898">
        <w:t>, U.S.E.I. Administration, Editor. 2018.</w:t>
      </w:r>
    </w:p>
    <w:p w14:paraId="75E1F3FE" w14:textId="77777777" w:rsidR="003A4898" w:rsidRPr="003A4898" w:rsidRDefault="003A4898" w:rsidP="003A4898">
      <w:pPr>
        <w:pStyle w:val="EndNoteBibliography"/>
        <w:spacing w:after="0"/>
        <w:ind w:left="720" w:hanging="720"/>
      </w:pPr>
      <w:r w:rsidRPr="003A4898">
        <w:t>11.</w:t>
      </w:r>
      <w:r w:rsidRPr="003A4898">
        <w:tab/>
        <w:t xml:space="preserve">U.S. EIA, </w:t>
      </w:r>
      <w:r w:rsidRPr="003A4898">
        <w:rPr>
          <w:i/>
        </w:rPr>
        <w:t>Annual Energy Outlook 2019 - with projections to 2050</w:t>
      </w:r>
      <w:r w:rsidRPr="003A4898">
        <w:t>, U.S.E.I. Administration, Editor. 2019.</w:t>
      </w:r>
    </w:p>
    <w:p w14:paraId="39B2F97C" w14:textId="77777777" w:rsidR="003A4898" w:rsidRPr="003A4898" w:rsidRDefault="003A4898" w:rsidP="003A4898">
      <w:pPr>
        <w:pStyle w:val="EndNoteBibliography"/>
        <w:spacing w:after="0"/>
        <w:ind w:left="720" w:hanging="720"/>
      </w:pPr>
      <w:r w:rsidRPr="003A4898">
        <w:t>12.</w:t>
      </w:r>
      <w:r w:rsidRPr="003A4898">
        <w:tab/>
        <w:t xml:space="preserve">U.S. EPA, </w:t>
      </w:r>
      <w:r w:rsidRPr="003A4898">
        <w:rPr>
          <w:i/>
        </w:rPr>
        <w:t>National Emissions Inventory Report</w:t>
      </w:r>
      <w:r w:rsidRPr="003A4898">
        <w:t>, U.S.E.P. Agency, Editor. 2014.</w:t>
      </w:r>
    </w:p>
    <w:p w14:paraId="53A1EBA8" w14:textId="77777777" w:rsidR="003A4898" w:rsidRPr="003A4898" w:rsidRDefault="003A4898" w:rsidP="003A4898">
      <w:pPr>
        <w:pStyle w:val="EndNoteBibliography"/>
        <w:spacing w:after="0"/>
        <w:ind w:left="720" w:hanging="720"/>
      </w:pPr>
      <w:r w:rsidRPr="003A4898">
        <w:t>13.</w:t>
      </w:r>
      <w:r w:rsidRPr="003A4898">
        <w:tab/>
        <w:t xml:space="preserve">U.S. EPA, </w:t>
      </w:r>
      <w:r w:rsidRPr="003A4898">
        <w:rPr>
          <w:i/>
        </w:rPr>
        <w:t>Inventory of U.S. Greenhouse Gas Emissions and Sinks: 1990-2017 Inventory Report</w:t>
      </w:r>
      <w:r w:rsidRPr="003A4898">
        <w:t>, U.S.E.P. Agency, Editor. 2017.</w:t>
      </w:r>
    </w:p>
    <w:p w14:paraId="7BC124F0" w14:textId="77777777" w:rsidR="003A4898" w:rsidRPr="003A4898" w:rsidRDefault="003A4898" w:rsidP="003A4898">
      <w:pPr>
        <w:pStyle w:val="EndNoteBibliography"/>
        <w:spacing w:after="0"/>
        <w:ind w:left="720" w:hanging="720"/>
      </w:pPr>
      <w:r w:rsidRPr="003A4898">
        <w:t>14.</w:t>
      </w:r>
      <w:r w:rsidRPr="003A4898">
        <w:tab/>
        <w:t xml:space="preserve">Loughlin, D.H., et al., </w:t>
      </w:r>
      <w:r w:rsidRPr="003A4898">
        <w:rPr>
          <w:i/>
        </w:rPr>
        <w:t>Methodology for examining potential technology breakthroughs for mitigating CO2 and application to centralized solar phovoltaics.</w:t>
      </w:r>
      <w:r w:rsidRPr="003A4898">
        <w:t xml:space="preserve"> Clean Technologies and Environmental Policy, 2012. </w:t>
      </w:r>
      <w:r w:rsidRPr="003A4898">
        <w:rPr>
          <w:b/>
        </w:rPr>
        <w:t>15</w:t>
      </w:r>
      <w:r w:rsidRPr="003A4898">
        <w:t>(1): p. 9-20.</w:t>
      </w:r>
    </w:p>
    <w:p w14:paraId="3D7541EB" w14:textId="77777777" w:rsidR="003A4898" w:rsidRPr="003A4898" w:rsidRDefault="003A4898" w:rsidP="003A4898">
      <w:pPr>
        <w:pStyle w:val="EndNoteBibliography"/>
        <w:spacing w:after="0"/>
        <w:ind w:left="720" w:hanging="720"/>
      </w:pPr>
      <w:r w:rsidRPr="003A4898">
        <w:t>15.</w:t>
      </w:r>
      <w:r w:rsidRPr="003A4898">
        <w:tab/>
        <w:t xml:space="preserve">GWEC, </w:t>
      </w:r>
      <w:r w:rsidRPr="003A4898">
        <w:rPr>
          <w:i/>
        </w:rPr>
        <w:t>Global Wind Energy Council: Global Wind Report 2018</w:t>
      </w:r>
      <w:r w:rsidRPr="003A4898">
        <w:t>. 2019, Global Wind Energy Council.</w:t>
      </w:r>
    </w:p>
    <w:p w14:paraId="6C0A82B9" w14:textId="77777777" w:rsidR="003A4898" w:rsidRPr="003A4898" w:rsidRDefault="003A4898" w:rsidP="003A4898">
      <w:pPr>
        <w:pStyle w:val="EndNoteBibliography"/>
        <w:spacing w:after="0"/>
        <w:ind w:left="720" w:hanging="720"/>
      </w:pPr>
      <w:r w:rsidRPr="003A4898">
        <w:t>16.</w:t>
      </w:r>
      <w:r w:rsidRPr="003A4898">
        <w:tab/>
        <w:t xml:space="preserve">Beiter, P., et al., </w:t>
      </w:r>
      <w:r w:rsidRPr="003A4898">
        <w:rPr>
          <w:i/>
        </w:rPr>
        <w:t>An Assessment of the Economic Potential of Offshore Wind in the United States from 2015 to 2030.</w:t>
      </w:r>
      <w:r w:rsidRPr="003A4898">
        <w:t xml:space="preserve"> National Renewable Energy Laboratory, 2017(NREL/TP-6A20-67675).</w:t>
      </w:r>
    </w:p>
    <w:p w14:paraId="12649F8D" w14:textId="77777777" w:rsidR="003A4898" w:rsidRPr="003A4898" w:rsidRDefault="003A4898" w:rsidP="003A4898">
      <w:pPr>
        <w:pStyle w:val="EndNoteBibliography"/>
        <w:spacing w:after="0"/>
        <w:ind w:left="720" w:hanging="720"/>
      </w:pPr>
      <w:r w:rsidRPr="003A4898">
        <w:t>17.</w:t>
      </w:r>
      <w:r w:rsidRPr="003A4898">
        <w:tab/>
        <w:t xml:space="preserve">Bosch, J., I. Staffel, and A.D. Hawkes, </w:t>
      </w:r>
      <w:r w:rsidRPr="003A4898">
        <w:rPr>
          <w:i/>
        </w:rPr>
        <w:t>Temporally explicity and spatially resolved global offshore wind energy potentials.</w:t>
      </w:r>
      <w:r w:rsidRPr="003A4898">
        <w:t xml:space="preserve"> Energy, 2018. </w:t>
      </w:r>
      <w:r w:rsidRPr="003A4898">
        <w:rPr>
          <w:b/>
        </w:rPr>
        <w:t>163</w:t>
      </w:r>
      <w:r w:rsidRPr="003A4898">
        <w:t>: p. 766-781.</w:t>
      </w:r>
    </w:p>
    <w:p w14:paraId="09A0E447" w14:textId="77777777" w:rsidR="003A4898" w:rsidRPr="003A4898" w:rsidRDefault="003A4898" w:rsidP="003A4898">
      <w:pPr>
        <w:pStyle w:val="EndNoteBibliography"/>
        <w:spacing w:after="0"/>
        <w:ind w:left="720" w:hanging="720"/>
      </w:pPr>
      <w:r w:rsidRPr="003A4898">
        <w:t>18.</w:t>
      </w:r>
      <w:r w:rsidRPr="003A4898">
        <w:tab/>
        <w:t xml:space="preserve">Staid, A. and S.D. Guikema, </w:t>
      </w:r>
      <w:r w:rsidRPr="003A4898">
        <w:rPr>
          <w:i/>
        </w:rPr>
        <w:t>Risk Analysis for U.S. Offshore Wind Farms: The Need for an Integrated Approach.</w:t>
      </w:r>
      <w:r w:rsidRPr="003A4898">
        <w:t xml:space="preserve"> Risk Analysius, 2015. </w:t>
      </w:r>
      <w:r w:rsidRPr="003A4898">
        <w:rPr>
          <w:b/>
        </w:rPr>
        <w:t>35</w:t>
      </w:r>
      <w:r w:rsidRPr="003A4898">
        <w:t>(4): p. 587-593.</w:t>
      </w:r>
    </w:p>
    <w:p w14:paraId="5E3F5AEF" w14:textId="77777777" w:rsidR="003A4898" w:rsidRPr="003A4898" w:rsidRDefault="003A4898" w:rsidP="003A4898">
      <w:pPr>
        <w:pStyle w:val="EndNoteBibliography"/>
        <w:spacing w:after="0"/>
        <w:ind w:left="720" w:hanging="720"/>
      </w:pPr>
      <w:r w:rsidRPr="003A4898">
        <w:t>19.</w:t>
      </w:r>
      <w:r w:rsidRPr="003A4898">
        <w:tab/>
        <w:t xml:space="preserve">Dupont, E., R. Koppelaar, and H. Jeanmart, </w:t>
      </w:r>
      <w:r w:rsidRPr="003A4898">
        <w:rPr>
          <w:i/>
        </w:rPr>
        <w:t>Global available wind energy with physical and energy return on investment constraints.</w:t>
      </w:r>
      <w:r w:rsidRPr="003A4898">
        <w:t xml:space="preserve"> Applied Energy, 2018. </w:t>
      </w:r>
      <w:r w:rsidRPr="003A4898">
        <w:rPr>
          <w:b/>
        </w:rPr>
        <w:t>209</w:t>
      </w:r>
      <w:r w:rsidRPr="003A4898">
        <w:t>: p. 322-338.</w:t>
      </w:r>
    </w:p>
    <w:p w14:paraId="2D7C1874" w14:textId="77777777" w:rsidR="003A4898" w:rsidRPr="003A4898" w:rsidRDefault="003A4898" w:rsidP="003A4898">
      <w:pPr>
        <w:pStyle w:val="EndNoteBibliography"/>
        <w:spacing w:after="0"/>
        <w:ind w:left="720" w:hanging="720"/>
      </w:pPr>
      <w:r w:rsidRPr="003A4898">
        <w:t>20.</w:t>
      </w:r>
      <w:r w:rsidRPr="003A4898">
        <w:tab/>
        <w:t xml:space="preserve">Huang, F., H. Wang, and B. Wen, </w:t>
      </w:r>
      <w:r w:rsidRPr="003A4898">
        <w:rPr>
          <w:i/>
        </w:rPr>
        <w:t>A grid-side reactive power control strategy for highly offshore wind power penetrated systems.</w:t>
      </w:r>
      <w:r w:rsidRPr="003A4898">
        <w:t xml:space="preserve"> Renewable and Sustainable Energy Reviews, 2018. </w:t>
      </w:r>
      <w:r w:rsidRPr="003A4898">
        <w:rPr>
          <w:b/>
        </w:rPr>
        <w:t>10</w:t>
      </w:r>
      <w:r w:rsidRPr="003A4898">
        <w:t>.</w:t>
      </w:r>
    </w:p>
    <w:p w14:paraId="584E275C" w14:textId="77777777" w:rsidR="003A4898" w:rsidRPr="003A4898" w:rsidRDefault="003A4898" w:rsidP="003A4898">
      <w:pPr>
        <w:pStyle w:val="EndNoteBibliography"/>
        <w:spacing w:after="0"/>
        <w:ind w:left="720" w:hanging="720"/>
      </w:pPr>
      <w:r w:rsidRPr="003A4898">
        <w:t>21.</w:t>
      </w:r>
      <w:r w:rsidRPr="003A4898">
        <w:tab/>
        <w:t xml:space="preserve">Moller, B., </w:t>
      </w:r>
      <w:r w:rsidRPr="003A4898">
        <w:rPr>
          <w:i/>
        </w:rPr>
        <w:t>Continuous spatial modelling to analyse planning and economic consequences of offshore wind energy.</w:t>
      </w:r>
      <w:r w:rsidRPr="003A4898">
        <w:t xml:space="preserve"> Energy Policy, 2011. </w:t>
      </w:r>
      <w:r w:rsidRPr="003A4898">
        <w:rPr>
          <w:b/>
        </w:rPr>
        <w:t>39</w:t>
      </w:r>
      <w:r w:rsidRPr="003A4898">
        <w:t>: p. 511-517.</w:t>
      </w:r>
    </w:p>
    <w:p w14:paraId="09852D5C" w14:textId="77777777" w:rsidR="003A4898" w:rsidRPr="003A4898" w:rsidRDefault="003A4898" w:rsidP="003A4898">
      <w:pPr>
        <w:pStyle w:val="EndNoteBibliography"/>
        <w:spacing w:after="0"/>
        <w:ind w:left="720" w:hanging="720"/>
      </w:pPr>
      <w:r w:rsidRPr="003A4898">
        <w:t>22.</w:t>
      </w:r>
      <w:r w:rsidRPr="003A4898">
        <w:tab/>
        <w:t xml:space="preserve">Dedecca, J.G., R.A. Hakvoort, and P.M. Herder, </w:t>
      </w:r>
      <w:r w:rsidRPr="003A4898">
        <w:rPr>
          <w:i/>
        </w:rPr>
        <w:t>Transmission expansion simulation for the European Northern Seas offshore grid.</w:t>
      </w:r>
      <w:r w:rsidRPr="003A4898">
        <w:t xml:space="preserve"> Energy, 2017. </w:t>
      </w:r>
      <w:r w:rsidRPr="003A4898">
        <w:rPr>
          <w:b/>
        </w:rPr>
        <w:t>125</w:t>
      </w:r>
      <w:r w:rsidRPr="003A4898">
        <w:t>: p. 805-824.</w:t>
      </w:r>
    </w:p>
    <w:p w14:paraId="603FF1AE" w14:textId="77777777" w:rsidR="003A4898" w:rsidRPr="003A4898" w:rsidRDefault="003A4898" w:rsidP="003A4898">
      <w:pPr>
        <w:pStyle w:val="EndNoteBibliography"/>
        <w:spacing w:after="0"/>
        <w:ind w:left="720" w:hanging="720"/>
      </w:pPr>
      <w:r w:rsidRPr="003A4898">
        <w:t>23.</w:t>
      </w:r>
      <w:r w:rsidRPr="003A4898">
        <w:tab/>
        <w:t xml:space="preserve">Houghton, T., K.R.W. Bell, and M. Doquet, </w:t>
      </w:r>
      <w:r w:rsidRPr="003A4898">
        <w:rPr>
          <w:i/>
        </w:rPr>
        <w:t>Offshore transmission for wind: Comparing the economic benefits of different offshore network configurations.</w:t>
      </w:r>
      <w:r w:rsidRPr="003A4898">
        <w:t xml:space="preserve"> Renewable Energy, 2016. </w:t>
      </w:r>
      <w:r w:rsidRPr="003A4898">
        <w:rPr>
          <w:b/>
        </w:rPr>
        <w:t>94</w:t>
      </w:r>
      <w:r w:rsidRPr="003A4898">
        <w:t>: p. 268-279.</w:t>
      </w:r>
    </w:p>
    <w:p w14:paraId="3F441722" w14:textId="77777777" w:rsidR="003A4898" w:rsidRPr="003A4898" w:rsidRDefault="003A4898" w:rsidP="003A4898">
      <w:pPr>
        <w:pStyle w:val="EndNoteBibliography"/>
        <w:spacing w:after="0"/>
        <w:ind w:left="720" w:hanging="720"/>
      </w:pPr>
      <w:r w:rsidRPr="003A4898">
        <w:t>24.</w:t>
      </w:r>
      <w:r w:rsidRPr="003A4898">
        <w:tab/>
        <w:t xml:space="preserve">Jin, R., et al., </w:t>
      </w:r>
      <w:r w:rsidRPr="003A4898">
        <w:rPr>
          <w:i/>
        </w:rPr>
        <w:t>Cable routing optimization for offshore wind power plants via wind scenarios considering power loss cost model.</w:t>
      </w:r>
      <w:r w:rsidRPr="003A4898">
        <w:t xml:space="preserve"> Applied Energy, 2019. </w:t>
      </w:r>
      <w:r w:rsidRPr="003A4898">
        <w:rPr>
          <w:b/>
        </w:rPr>
        <w:t>254</w:t>
      </w:r>
      <w:r w:rsidRPr="003A4898">
        <w:t>: p. 113719.</w:t>
      </w:r>
    </w:p>
    <w:p w14:paraId="362C9482" w14:textId="77777777" w:rsidR="003A4898" w:rsidRPr="003A4898" w:rsidRDefault="003A4898" w:rsidP="003A4898">
      <w:pPr>
        <w:pStyle w:val="EndNoteBibliography"/>
        <w:spacing w:after="0"/>
        <w:ind w:left="720" w:hanging="720"/>
      </w:pPr>
      <w:r w:rsidRPr="003A4898">
        <w:t>25.</w:t>
      </w:r>
      <w:r w:rsidRPr="003A4898">
        <w:tab/>
        <w:t xml:space="preserve">Daniel, J.P., et al., </w:t>
      </w:r>
      <w:r w:rsidRPr="003A4898">
        <w:rPr>
          <w:i/>
        </w:rPr>
        <w:t>National Offshore Wind Energy Grid Interconnection Summary.</w:t>
      </w:r>
      <w:r w:rsidRPr="003A4898">
        <w:t xml:space="preserve"> U.S. Department of Energy, 2014.</w:t>
      </w:r>
    </w:p>
    <w:p w14:paraId="69D4E68D" w14:textId="77777777" w:rsidR="003A4898" w:rsidRPr="003A4898" w:rsidRDefault="003A4898" w:rsidP="003A4898">
      <w:pPr>
        <w:pStyle w:val="EndNoteBibliography"/>
        <w:spacing w:after="0"/>
        <w:ind w:left="720" w:hanging="720"/>
      </w:pPr>
      <w:r w:rsidRPr="003A4898">
        <w:t>26.</w:t>
      </w:r>
      <w:r w:rsidRPr="003A4898">
        <w:tab/>
        <w:t xml:space="preserve">St. John, J., </w:t>
      </w:r>
      <w:r w:rsidRPr="003A4898">
        <w:rPr>
          <w:i/>
        </w:rPr>
        <w:t>Offshore Wind Reaches Cost-Competitiveness withouth Subsidies</w:t>
      </w:r>
      <w:r w:rsidRPr="003A4898">
        <w:t xml:space="preserve">, in </w:t>
      </w:r>
      <w:r w:rsidRPr="003A4898">
        <w:rPr>
          <w:i/>
        </w:rPr>
        <w:t>Greentech Media</w:t>
      </w:r>
      <w:r w:rsidRPr="003A4898">
        <w:t>. 2017.</w:t>
      </w:r>
    </w:p>
    <w:p w14:paraId="654072B6" w14:textId="701E3F55" w:rsidR="003A4898" w:rsidRPr="003A4898" w:rsidRDefault="003A4898" w:rsidP="003A4898">
      <w:pPr>
        <w:pStyle w:val="EndNoteBibliography"/>
        <w:spacing w:after="0"/>
        <w:ind w:left="720" w:hanging="720"/>
      </w:pPr>
      <w:r w:rsidRPr="003A4898">
        <w:t>27.</w:t>
      </w:r>
      <w:r w:rsidRPr="003A4898">
        <w:tab/>
        <w:t xml:space="preserve">General Electric. </w:t>
      </w:r>
      <w:r w:rsidRPr="003A4898">
        <w:rPr>
          <w:i/>
        </w:rPr>
        <w:t>Haliade-X Offshore Wind Turbine</w:t>
      </w:r>
      <w:r w:rsidRPr="003A4898">
        <w:t xml:space="preserve">. 2019; Available from: </w:t>
      </w:r>
      <w:hyperlink r:id="rId30" w:history="1">
        <w:r w:rsidRPr="003A4898">
          <w:rPr>
            <w:rStyle w:val="Hyperlink"/>
          </w:rPr>
          <w:t>https://www.ge.com/renewableenergy/wind-energy/offshore-wind/haliade-x-offshore-turbine</w:t>
        </w:r>
      </w:hyperlink>
      <w:r w:rsidRPr="003A4898">
        <w:t>.</w:t>
      </w:r>
    </w:p>
    <w:p w14:paraId="61066105" w14:textId="77777777" w:rsidR="003A4898" w:rsidRPr="003A4898" w:rsidRDefault="003A4898" w:rsidP="003A4898">
      <w:pPr>
        <w:pStyle w:val="EndNoteBibliography"/>
        <w:spacing w:after="0"/>
        <w:ind w:left="720" w:hanging="720"/>
      </w:pPr>
      <w:r w:rsidRPr="003A4898">
        <w:t>28.</w:t>
      </w:r>
      <w:r w:rsidRPr="003A4898">
        <w:tab/>
        <w:t xml:space="preserve">Lazard, </w:t>
      </w:r>
      <w:r w:rsidRPr="003A4898">
        <w:rPr>
          <w:i/>
        </w:rPr>
        <w:t>Lazard's Levelized Cost fo Energy Analysis - Version 12.0</w:t>
      </w:r>
      <w:r w:rsidRPr="003A4898">
        <w:t>. 2018.</w:t>
      </w:r>
    </w:p>
    <w:p w14:paraId="38574697" w14:textId="77777777" w:rsidR="003A4898" w:rsidRPr="003A4898" w:rsidRDefault="003A4898" w:rsidP="003A4898">
      <w:pPr>
        <w:pStyle w:val="EndNoteBibliography"/>
        <w:spacing w:after="0"/>
        <w:ind w:left="720" w:hanging="720"/>
      </w:pPr>
      <w:r w:rsidRPr="003A4898">
        <w:t>29.</w:t>
      </w:r>
      <w:r w:rsidRPr="003A4898">
        <w:tab/>
        <w:t xml:space="preserve">Mora, E.B., et al., </w:t>
      </w:r>
      <w:r w:rsidRPr="003A4898">
        <w:rPr>
          <w:i/>
        </w:rPr>
        <w:t>The effects of mean wind speed uncertainty on project finance debt sizing for offshore wind farms.</w:t>
      </w:r>
      <w:r w:rsidRPr="003A4898">
        <w:t xml:space="preserve"> Applied Energy, 2019. </w:t>
      </w:r>
      <w:r w:rsidRPr="003A4898">
        <w:rPr>
          <w:b/>
        </w:rPr>
        <w:t>252</w:t>
      </w:r>
      <w:r w:rsidRPr="003A4898">
        <w:t>: p. 113419.</w:t>
      </w:r>
    </w:p>
    <w:p w14:paraId="55D501F4" w14:textId="77777777" w:rsidR="003A4898" w:rsidRPr="003A4898" w:rsidRDefault="003A4898" w:rsidP="003A4898">
      <w:pPr>
        <w:pStyle w:val="EndNoteBibliography"/>
        <w:spacing w:after="0"/>
        <w:ind w:left="720" w:hanging="720"/>
      </w:pPr>
      <w:r w:rsidRPr="003A4898">
        <w:t>30.</w:t>
      </w:r>
      <w:r w:rsidRPr="003A4898">
        <w:tab/>
        <w:t xml:space="preserve">AWEA, </w:t>
      </w:r>
      <w:r w:rsidRPr="003A4898">
        <w:rPr>
          <w:i/>
        </w:rPr>
        <w:t>U.S. Offshore Wind Industry Status Update</w:t>
      </w:r>
      <w:r w:rsidRPr="003A4898">
        <w:t>, A.W.E. Association, Editor. 2019.</w:t>
      </w:r>
    </w:p>
    <w:p w14:paraId="3598D911" w14:textId="77777777" w:rsidR="003A4898" w:rsidRPr="003A4898" w:rsidRDefault="003A4898" w:rsidP="003A4898">
      <w:pPr>
        <w:pStyle w:val="EndNoteBibliography"/>
        <w:spacing w:after="0"/>
        <w:ind w:left="720" w:hanging="720"/>
      </w:pPr>
      <w:r w:rsidRPr="003A4898">
        <w:t>31.</w:t>
      </w:r>
      <w:r w:rsidRPr="003A4898">
        <w:tab/>
        <w:t xml:space="preserve">Castle Wind, </w:t>
      </w:r>
      <w:r w:rsidRPr="003A4898">
        <w:rPr>
          <w:i/>
        </w:rPr>
        <w:t>Castle Wind and Monterey Bay Community Power Sign Agreement in Anticipation of Offshore Wind Project Off the Coast of Morro Bay</w:t>
      </w:r>
      <w:r w:rsidRPr="003A4898">
        <w:t>. 2019, Castle Wind.</w:t>
      </w:r>
    </w:p>
    <w:p w14:paraId="09690383" w14:textId="77777777" w:rsidR="003A4898" w:rsidRPr="003A4898" w:rsidRDefault="003A4898" w:rsidP="003A4898">
      <w:pPr>
        <w:pStyle w:val="EndNoteBibliography"/>
        <w:spacing w:after="0"/>
        <w:ind w:left="720" w:hanging="720"/>
      </w:pPr>
      <w:r w:rsidRPr="003A4898">
        <w:t>32.</w:t>
      </w:r>
      <w:r w:rsidRPr="003A4898">
        <w:tab/>
      </w:r>
      <w:r w:rsidRPr="003A4898">
        <w:rPr>
          <w:i/>
        </w:rPr>
        <w:t>An Act Concerning the Procurement of Energy Derived from Offshore Wind</w:t>
      </w:r>
      <w:r w:rsidRPr="003A4898">
        <w:t>. 2019.</w:t>
      </w:r>
    </w:p>
    <w:p w14:paraId="6C2D41CA" w14:textId="77777777" w:rsidR="003A4898" w:rsidRPr="003A4898" w:rsidRDefault="003A4898" w:rsidP="003A4898">
      <w:pPr>
        <w:pStyle w:val="EndNoteBibliography"/>
        <w:spacing w:after="0"/>
        <w:ind w:left="720" w:hanging="720"/>
      </w:pPr>
      <w:r w:rsidRPr="003A4898">
        <w:t>33.</w:t>
      </w:r>
      <w:r w:rsidRPr="003A4898">
        <w:tab/>
      </w:r>
      <w:r w:rsidRPr="003A4898">
        <w:rPr>
          <w:i/>
        </w:rPr>
        <w:t>An Act Concerning Clean Energy Jobs</w:t>
      </w:r>
      <w:r w:rsidRPr="003A4898">
        <w:t>. 2019.</w:t>
      </w:r>
    </w:p>
    <w:p w14:paraId="3DA9E5B9" w14:textId="77777777" w:rsidR="003A4898" w:rsidRPr="003A4898" w:rsidRDefault="003A4898" w:rsidP="003A4898">
      <w:pPr>
        <w:pStyle w:val="EndNoteBibliography"/>
        <w:spacing w:after="0"/>
        <w:ind w:left="720" w:hanging="720"/>
      </w:pPr>
      <w:r w:rsidRPr="003A4898">
        <w:t>34.</w:t>
      </w:r>
      <w:r w:rsidRPr="003A4898">
        <w:tab/>
      </w:r>
      <w:r w:rsidRPr="003A4898">
        <w:rPr>
          <w:i/>
        </w:rPr>
        <w:t>An Act to Advance Clean Energy</w:t>
      </w:r>
      <w:r w:rsidRPr="003A4898">
        <w:t>. 2018.</w:t>
      </w:r>
    </w:p>
    <w:p w14:paraId="72D852D6" w14:textId="77777777" w:rsidR="003A4898" w:rsidRPr="003A4898" w:rsidRDefault="003A4898" w:rsidP="003A4898">
      <w:pPr>
        <w:pStyle w:val="EndNoteBibliography"/>
        <w:spacing w:after="0"/>
        <w:ind w:left="720" w:hanging="720"/>
      </w:pPr>
      <w:r w:rsidRPr="003A4898">
        <w:t>35.</w:t>
      </w:r>
      <w:r w:rsidRPr="003A4898">
        <w:tab/>
        <w:t xml:space="preserve">NJ Board of Public Utilities, </w:t>
      </w:r>
      <w:r w:rsidRPr="003A4898">
        <w:rPr>
          <w:i/>
        </w:rPr>
        <w:t>New Jersey Board of Public Utilities Awards Historic 1,100 MW Offshore Wind Soliciation to Orstead's Ocean Wind Project</w:t>
      </w:r>
      <w:r w:rsidRPr="003A4898">
        <w:t>, S.o.N.J.B.o.P. Utilities, Editor. 2019.</w:t>
      </w:r>
    </w:p>
    <w:p w14:paraId="36034C7E" w14:textId="77777777" w:rsidR="003A4898" w:rsidRPr="003A4898" w:rsidRDefault="003A4898" w:rsidP="003A4898">
      <w:pPr>
        <w:pStyle w:val="EndNoteBibliography"/>
        <w:spacing w:after="0"/>
        <w:ind w:left="720" w:hanging="720"/>
      </w:pPr>
      <w:r w:rsidRPr="003A4898">
        <w:t>36.</w:t>
      </w:r>
      <w:r w:rsidRPr="003A4898">
        <w:tab/>
      </w:r>
      <w:r w:rsidRPr="003A4898">
        <w:rPr>
          <w:i/>
        </w:rPr>
        <w:t>Climate Leadership and Community Protection Act</w:t>
      </w:r>
      <w:r w:rsidRPr="003A4898">
        <w:t>. 2019.</w:t>
      </w:r>
    </w:p>
    <w:p w14:paraId="3C23D9B6" w14:textId="5E2F2EE6" w:rsidR="003A4898" w:rsidRPr="003A4898" w:rsidRDefault="003A4898" w:rsidP="003A4898">
      <w:pPr>
        <w:pStyle w:val="EndNoteBibliography"/>
        <w:spacing w:after="0"/>
        <w:ind w:left="720" w:hanging="720"/>
      </w:pPr>
      <w:r w:rsidRPr="003A4898">
        <w:t>37.</w:t>
      </w:r>
      <w:r w:rsidRPr="003A4898">
        <w:tab/>
        <w:t xml:space="preserve">Dominion Energy, </w:t>
      </w:r>
      <w:r w:rsidRPr="003A4898">
        <w:rPr>
          <w:i/>
        </w:rPr>
        <w:t>Dominion Energy Announces Largest Offshore Wind Project in US</w:t>
      </w:r>
      <w:r w:rsidRPr="003A4898">
        <w:t xml:space="preserve">. 2019: </w:t>
      </w:r>
      <w:hyperlink r:id="rId31" w:history="1">
        <w:r w:rsidRPr="003A4898">
          <w:rPr>
            <w:rStyle w:val="Hyperlink"/>
          </w:rPr>
          <w:t>https://www.virginiamercury.com/2019/09/24/four-things-to-know-about-dominions-massive-wind-farm-proposal/</w:t>
        </w:r>
      </w:hyperlink>
      <w:r w:rsidRPr="003A4898">
        <w:t>.</w:t>
      </w:r>
    </w:p>
    <w:p w14:paraId="03A50D96" w14:textId="77777777" w:rsidR="003A4898" w:rsidRPr="003A4898" w:rsidRDefault="003A4898" w:rsidP="003A4898">
      <w:pPr>
        <w:pStyle w:val="EndNoteBibliography"/>
        <w:spacing w:after="0"/>
        <w:ind w:left="720" w:hanging="720"/>
      </w:pPr>
      <w:r w:rsidRPr="003A4898">
        <w:t>38.</w:t>
      </w:r>
      <w:r w:rsidRPr="003A4898">
        <w:tab/>
        <w:t xml:space="preserve">Liu, J., et al., </w:t>
      </w:r>
      <w:r w:rsidRPr="003A4898">
        <w:rPr>
          <w:i/>
        </w:rPr>
        <w:t>Mitigation pathways of air pollution from residential emissions in the Beijing-Tianjin-Hebei region in China.</w:t>
      </w:r>
      <w:r w:rsidRPr="003A4898">
        <w:t xml:space="preserve"> Environment International, 2019. </w:t>
      </w:r>
      <w:r w:rsidRPr="003A4898">
        <w:rPr>
          <w:b/>
        </w:rPr>
        <w:t>125</w:t>
      </w:r>
      <w:r w:rsidRPr="003A4898">
        <w:t>: p. 236-244.</w:t>
      </w:r>
    </w:p>
    <w:p w14:paraId="3237FA36" w14:textId="77777777" w:rsidR="003A4898" w:rsidRPr="003A4898" w:rsidRDefault="003A4898" w:rsidP="003A4898">
      <w:pPr>
        <w:pStyle w:val="EndNoteBibliography"/>
        <w:spacing w:after="0"/>
        <w:ind w:left="720" w:hanging="720"/>
      </w:pPr>
      <w:r w:rsidRPr="003A4898">
        <w:t>39.</w:t>
      </w:r>
      <w:r w:rsidRPr="003A4898">
        <w:tab/>
        <w:t xml:space="preserve">Guan, D., et al., </w:t>
      </w:r>
      <w:r w:rsidRPr="003A4898">
        <w:rPr>
          <w:i/>
        </w:rPr>
        <w:t>Structural decline in China’s CO2 emissions through transitions in industry and energy systems.</w:t>
      </w:r>
      <w:r w:rsidRPr="003A4898">
        <w:t xml:space="preserve"> Nature Geoscience, 2018. </w:t>
      </w:r>
      <w:r w:rsidRPr="003A4898">
        <w:rPr>
          <w:b/>
        </w:rPr>
        <w:t>11</w:t>
      </w:r>
      <w:r w:rsidRPr="003A4898">
        <w:t>(8): p. 551-555.</w:t>
      </w:r>
    </w:p>
    <w:p w14:paraId="2619763F" w14:textId="77777777" w:rsidR="003A4898" w:rsidRPr="003A4898" w:rsidRDefault="003A4898" w:rsidP="003A4898">
      <w:pPr>
        <w:pStyle w:val="EndNoteBibliography"/>
        <w:spacing w:after="0"/>
        <w:ind w:left="720" w:hanging="720"/>
      </w:pPr>
      <w:r w:rsidRPr="003A4898">
        <w:t>40.</w:t>
      </w:r>
      <w:r w:rsidRPr="003A4898">
        <w:tab/>
        <w:t xml:space="preserve">Lu, X., et al., </w:t>
      </w:r>
      <w:r w:rsidRPr="003A4898">
        <w:rPr>
          <w:i/>
        </w:rPr>
        <w:t>Opportunity for Offshore Wind to Reduce Future Demand for Coal-Fired Power Plants in China with Consequent Savings in Emissions of CO2.</w:t>
      </w:r>
      <w:r w:rsidRPr="003A4898">
        <w:t xml:space="preserve"> Environmental Science and Technology, 2014. </w:t>
      </w:r>
      <w:r w:rsidRPr="003A4898">
        <w:rPr>
          <w:b/>
        </w:rPr>
        <w:t>48</w:t>
      </w:r>
      <w:r w:rsidRPr="003A4898">
        <w:t>: p. 14764-14771.</w:t>
      </w:r>
    </w:p>
    <w:p w14:paraId="7F0913E1" w14:textId="77777777" w:rsidR="003A4898" w:rsidRPr="003A4898" w:rsidRDefault="003A4898" w:rsidP="003A4898">
      <w:pPr>
        <w:pStyle w:val="EndNoteBibliography"/>
        <w:spacing w:after="0"/>
        <w:ind w:left="720" w:hanging="720"/>
      </w:pPr>
      <w:r w:rsidRPr="003A4898">
        <w:t>41.</w:t>
      </w:r>
      <w:r w:rsidRPr="003A4898">
        <w:tab/>
        <w:t xml:space="preserve">Zeng, J., et al., </w:t>
      </w:r>
      <w:r w:rsidRPr="003A4898">
        <w:rPr>
          <w:i/>
        </w:rPr>
        <w:t>The impacts of China's provincial energy policies on major air pollutants: A spatial econometric analysis.</w:t>
      </w:r>
      <w:r w:rsidRPr="003A4898">
        <w:t xml:space="preserve"> Energy Policy, 2019. </w:t>
      </w:r>
      <w:r w:rsidRPr="003A4898">
        <w:rPr>
          <w:b/>
        </w:rPr>
        <w:t>132</w:t>
      </w:r>
      <w:r w:rsidRPr="003A4898">
        <w:t>: p. 392-403.</w:t>
      </w:r>
    </w:p>
    <w:p w14:paraId="30A7F669" w14:textId="77777777" w:rsidR="003A4898" w:rsidRPr="003A4898" w:rsidRDefault="003A4898" w:rsidP="003A4898">
      <w:pPr>
        <w:pStyle w:val="EndNoteBibliography"/>
        <w:spacing w:after="0"/>
        <w:ind w:left="720" w:hanging="720"/>
      </w:pPr>
      <w:r w:rsidRPr="003A4898">
        <w:t>42.</w:t>
      </w:r>
      <w:r w:rsidRPr="003A4898">
        <w:tab/>
        <w:t xml:space="preserve">Lu, X., et al., </w:t>
      </w:r>
      <w:r w:rsidRPr="003A4898">
        <w:rPr>
          <w:i/>
        </w:rPr>
        <w:t>Optimal integration of offshore wind power for a steadier, environmentally friendlier, supply of electricity in China.</w:t>
      </w:r>
      <w:r w:rsidRPr="003A4898">
        <w:t xml:space="preserve"> Energy Policy, 2013. </w:t>
      </w:r>
      <w:r w:rsidRPr="003A4898">
        <w:rPr>
          <w:b/>
        </w:rPr>
        <w:t>62</w:t>
      </w:r>
      <w:r w:rsidRPr="003A4898">
        <w:t>: p. 131-138.</w:t>
      </w:r>
    </w:p>
    <w:p w14:paraId="326A9BE0" w14:textId="77777777" w:rsidR="003A4898" w:rsidRPr="003A4898" w:rsidRDefault="003A4898" w:rsidP="003A4898">
      <w:pPr>
        <w:pStyle w:val="EndNoteBibliography"/>
        <w:spacing w:after="0"/>
        <w:ind w:left="720" w:hanging="720"/>
      </w:pPr>
      <w:r w:rsidRPr="003A4898">
        <w:t>43.</w:t>
      </w:r>
      <w:r w:rsidRPr="003A4898">
        <w:tab/>
        <w:t xml:space="preserve">Cali, U., et al., </w:t>
      </w:r>
      <w:r w:rsidRPr="003A4898">
        <w:rPr>
          <w:i/>
        </w:rPr>
        <w:t>Techno-economic analysis of high potential offshore wind farm locations in Turkey.</w:t>
      </w:r>
      <w:r w:rsidRPr="003A4898">
        <w:t xml:space="preserve"> Energy Strategy Reviews, 2018.</w:t>
      </w:r>
    </w:p>
    <w:p w14:paraId="4B89BD96" w14:textId="77777777" w:rsidR="003A4898" w:rsidRPr="003A4898" w:rsidRDefault="003A4898" w:rsidP="003A4898">
      <w:pPr>
        <w:pStyle w:val="EndNoteBibliography"/>
        <w:spacing w:after="0"/>
        <w:ind w:left="720" w:hanging="720"/>
      </w:pPr>
      <w:r w:rsidRPr="003A4898">
        <w:t>44.</w:t>
      </w:r>
      <w:r w:rsidRPr="003A4898">
        <w:tab/>
        <w:t xml:space="preserve">Clancy, J.M., et al., </w:t>
      </w:r>
      <w:r w:rsidRPr="003A4898">
        <w:rPr>
          <w:i/>
        </w:rPr>
        <w:t>Fossil fuel and CO2 emissions savings on a high renewable electricity system - A single year case study for Ireland.</w:t>
      </w:r>
      <w:r w:rsidRPr="003A4898">
        <w:t xml:space="preserve"> Energy Policy, 2015. </w:t>
      </w:r>
      <w:r w:rsidRPr="003A4898">
        <w:rPr>
          <w:b/>
        </w:rPr>
        <w:t>83</w:t>
      </w:r>
      <w:r w:rsidRPr="003A4898">
        <w:t>: p. 151-164.</w:t>
      </w:r>
    </w:p>
    <w:p w14:paraId="618CBEE5" w14:textId="77777777" w:rsidR="003A4898" w:rsidRPr="003A4898" w:rsidRDefault="003A4898" w:rsidP="003A4898">
      <w:pPr>
        <w:pStyle w:val="EndNoteBibliography"/>
        <w:spacing w:after="0"/>
        <w:ind w:left="720" w:hanging="720"/>
      </w:pPr>
      <w:r w:rsidRPr="003A4898">
        <w:t>45.</w:t>
      </w:r>
      <w:r w:rsidRPr="003A4898">
        <w:tab/>
        <w:t xml:space="preserve">Lu, X., et al., </w:t>
      </w:r>
      <w:r w:rsidRPr="003A4898">
        <w:rPr>
          <w:i/>
        </w:rPr>
        <w:t>Challenges faced by China compared with the US in developing wind power.</w:t>
      </w:r>
      <w:r w:rsidRPr="003A4898">
        <w:t xml:space="preserve"> Nature Energy, 2016. </w:t>
      </w:r>
      <w:r w:rsidRPr="003A4898">
        <w:rPr>
          <w:b/>
        </w:rPr>
        <w:t>1</w:t>
      </w:r>
      <w:r w:rsidRPr="003A4898">
        <w:t>(6): p. 16061.</w:t>
      </w:r>
    </w:p>
    <w:p w14:paraId="411CC641" w14:textId="77777777" w:rsidR="003A4898" w:rsidRPr="003A4898" w:rsidRDefault="003A4898" w:rsidP="003A4898">
      <w:pPr>
        <w:pStyle w:val="EndNoteBibliography"/>
        <w:spacing w:after="0"/>
        <w:ind w:left="720" w:hanging="720"/>
      </w:pPr>
      <w:r w:rsidRPr="003A4898">
        <w:t>46.</w:t>
      </w:r>
      <w:r w:rsidRPr="003A4898">
        <w:tab/>
        <w:t xml:space="preserve">Holttinen, H. and S. Tuhkanen, </w:t>
      </w:r>
      <w:r w:rsidRPr="003A4898">
        <w:rPr>
          <w:i/>
        </w:rPr>
        <w:t>The effect of wind power of CO2 abatement in the Nordic Countries.</w:t>
      </w:r>
      <w:r w:rsidRPr="003A4898">
        <w:t xml:space="preserve"> Energy Policy, 2004. </w:t>
      </w:r>
      <w:r w:rsidRPr="003A4898">
        <w:rPr>
          <w:b/>
        </w:rPr>
        <w:t>32</w:t>
      </w:r>
      <w:r w:rsidRPr="003A4898">
        <w:t>: p. 1639-1652.</w:t>
      </w:r>
    </w:p>
    <w:p w14:paraId="5ABACCBB" w14:textId="77777777" w:rsidR="003A4898" w:rsidRPr="003A4898" w:rsidRDefault="003A4898" w:rsidP="003A4898">
      <w:pPr>
        <w:pStyle w:val="EndNoteBibliography"/>
        <w:spacing w:after="0"/>
        <w:ind w:left="720" w:hanging="720"/>
      </w:pPr>
      <w:r w:rsidRPr="003A4898">
        <w:t>47.</w:t>
      </w:r>
      <w:r w:rsidRPr="003A4898">
        <w:tab/>
        <w:t xml:space="preserve">Zhang, S., et al., </w:t>
      </w:r>
      <w:r w:rsidRPr="003A4898">
        <w:rPr>
          <w:i/>
        </w:rPr>
        <w:t>Modeling energy efficiency to improve air quality and health effects of China's cement industry.</w:t>
      </w:r>
      <w:r w:rsidRPr="003A4898">
        <w:t xml:space="preserve"> Applied Energy, 2016.</w:t>
      </w:r>
    </w:p>
    <w:p w14:paraId="18D33736" w14:textId="77777777" w:rsidR="003A4898" w:rsidRPr="003A4898" w:rsidRDefault="003A4898" w:rsidP="003A4898">
      <w:pPr>
        <w:pStyle w:val="EndNoteBibliography"/>
        <w:spacing w:after="0"/>
        <w:ind w:left="720" w:hanging="720"/>
      </w:pPr>
      <w:r w:rsidRPr="003A4898">
        <w:t>48.</w:t>
      </w:r>
      <w:r w:rsidRPr="003A4898">
        <w:tab/>
        <w:t xml:space="preserve">Peng, W., et al., </w:t>
      </w:r>
      <w:r w:rsidRPr="003A4898">
        <w:rPr>
          <w:i/>
        </w:rPr>
        <w:t>Substantial air quality and climate co-benefits achievable now with sectoral mitigation strategies in China.</w:t>
      </w:r>
      <w:r w:rsidRPr="003A4898">
        <w:t xml:space="preserve"> Science of the Total Environment, 2017. </w:t>
      </w:r>
      <w:r w:rsidRPr="003A4898">
        <w:rPr>
          <w:b/>
        </w:rPr>
        <w:t>598</w:t>
      </w:r>
      <w:r w:rsidRPr="003A4898">
        <w:t>: p. 1076-1084.</w:t>
      </w:r>
    </w:p>
    <w:p w14:paraId="7FCF45C4" w14:textId="77777777" w:rsidR="003A4898" w:rsidRPr="003A4898" w:rsidRDefault="003A4898" w:rsidP="003A4898">
      <w:pPr>
        <w:pStyle w:val="EndNoteBibliography"/>
        <w:spacing w:after="0"/>
        <w:ind w:left="720" w:hanging="720"/>
      </w:pPr>
      <w:r w:rsidRPr="003A4898">
        <w:t>49.</w:t>
      </w:r>
      <w:r w:rsidRPr="003A4898">
        <w:tab/>
        <w:t xml:space="preserve">Xie, Y., et al., </w:t>
      </w:r>
      <w:r w:rsidRPr="003A4898">
        <w:rPr>
          <w:i/>
        </w:rPr>
        <w:t>Co-benefits of climate mitigation on air quality and human health in Asian countries.</w:t>
      </w:r>
      <w:r w:rsidRPr="003A4898">
        <w:t xml:space="preserve"> Environment International, 2018. </w:t>
      </w:r>
      <w:r w:rsidRPr="003A4898">
        <w:rPr>
          <w:b/>
        </w:rPr>
        <w:t>119</w:t>
      </w:r>
      <w:r w:rsidRPr="003A4898">
        <w:t>: p. 309-318.</w:t>
      </w:r>
    </w:p>
    <w:p w14:paraId="59FB8914" w14:textId="77777777" w:rsidR="003A4898" w:rsidRPr="003A4898" w:rsidRDefault="003A4898" w:rsidP="003A4898">
      <w:pPr>
        <w:pStyle w:val="EndNoteBibliography"/>
        <w:spacing w:after="0"/>
        <w:ind w:left="720" w:hanging="720"/>
      </w:pPr>
      <w:r w:rsidRPr="003A4898">
        <w:t>50.</w:t>
      </w:r>
      <w:r w:rsidRPr="003A4898">
        <w:tab/>
        <w:t xml:space="preserve">Peng, W., et al., </w:t>
      </w:r>
      <w:r w:rsidRPr="003A4898">
        <w:rPr>
          <w:i/>
        </w:rPr>
        <w:t>Potential co-benefits of electrification for air quality, health, and CO2 mitigation in 2030 China.</w:t>
      </w:r>
      <w:r w:rsidRPr="003A4898">
        <w:t xml:space="preserve"> Applied Energy, 2018. </w:t>
      </w:r>
      <w:r w:rsidRPr="003A4898">
        <w:rPr>
          <w:b/>
        </w:rPr>
        <w:t>218</w:t>
      </w:r>
      <w:r w:rsidRPr="003A4898">
        <w:t>: p. 511-519.</w:t>
      </w:r>
    </w:p>
    <w:p w14:paraId="23CD777C" w14:textId="77777777" w:rsidR="003A4898" w:rsidRPr="003A4898" w:rsidRDefault="003A4898" w:rsidP="003A4898">
      <w:pPr>
        <w:pStyle w:val="EndNoteBibliography"/>
        <w:spacing w:after="0"/>
        <w:ind w:left="720" w:hanging="720"/>
      </w:pPr>
      <w:r w:rsidRPr="003A4898">
        <w:t>51.</w:t>
      </w:r>
      <w:r w:rsidRPr="003A4898">
        <w:tab/>
        <w:t xml:space="preserve">Yang, J., D. Song, and F. Wu, </w:t>
      </w:r>
      <w:r w:rsidRPr="003A4898">
        <w:rPr>
          <w:i/>
        </w:rPr>
        <w:t>Regional variations of environmental co-benefits of wind power generation in China.</w:t>
      </w:r>
      <w:r w:rsidRPr="003A4898">
        <w:t xml:space="preserve"> Applied Energy, 2017. </w:t>
      </w:r>
      <w:r w:rsidRPr="003A4898">
        <w:rPr>
          <w:b/>
        </w:rPr>
        <w:t>206</w:t>
      </w:r>
      <w:r w:rsidRPr="003A4898">
        <w:t>: p. 1267-1281.</w:t>
      </w:r>
    </w:p>
    <w:p w14:paraId="34916CDB" w14:textId="77777777" w:rsidR="003A4898" w:rsidRPr="003A4898" w:rsidRDefault="003A4898" w:rsidP="003A4898">
      <w:pPr>
        <w:pStyle w:val="EndNoteBibliography"/>
        <w:spacing w:after="0"/>
        <w:ind w:left="720" w:hanging="720"/>
      </w:pPr>
      <w:r w:rsidRPr="003A4898">
        <w:t>52.</w:t>
      </w:r>
      <w:r w:rsidRPr="003A4898">
        <w:tab/>
        <w:t xml:space="preserve">Yang, J., </w:t>
      </w:r>
      <w:r w:rsidRPr="003A4898">
        <w:rPr>
          <w:i/>
        </w:rPr>
        <w:t>Environmental and Climate Change Co-Benefits Analysis of Wind Power Generation in China.</w:t>
      </w:r>
      <w:r w:rsidRPr="003A4898">
        <w:t xml:space="preserve"> Energy Procedia, 2016. </w:t>
      </w:r>
      <w:r w:rsidRPr="003A4898">
        <w:rPr>
          <w:b/>
        </w:rPr>
        <w:t>88</w:t>
      </w:r>
      <w:r w:rsidRPr="003A4898">
        <w:t>: p. 76-81.</w:t>
      </w:r>
    </w:p>
    <w:p w14:paraId="5F031478" w14:textId="77777777" w:rsidR="003A4898" w:rsidRPr="003A4898" w:rsidRDefault="003A4898" w:rsidP="003A4898">
      <w:pPr>
        <w:pStyle w:val="EndNoteBibliography"/>
        <w:spacing w:after="0"/>
        <w:ind w:left="720" w:hanging="720"/>
      </w:pPr>
      <w:r w:rsidRPr="003A4898">
        <w:t>53.</w:t>
      </w:r>
      <w:r w:rsidRPr="003A4898">
        <w:tab/>
        <w:t xml:space="preserve">Yuan, J., Z. Yuan, and X. Ou, </w:t>
      </w:r>
      <w:r w:rsidRPr="003A4898">
        <w:rPr>
          <w:i/>
        </w:rPr>
        <w:t>Modeling of environmental benefit evaluation of energy transition to multi-energy complementary system.</w:t>
      </w:r>
      <w:r w:rsidRPr="003A4898">
        <w:t xml:space="preserve"> Energy Procedia, 2019. </w:t>
      </w:r>
      <w:r w:rsidRPr="003A4898">
        <w:rPr>
          <w:b/>
        </w:rPr>
        <w:t>158</w:t>
      </w:r>
      <w:r w:rsidRPr="003A4898">
        <w:t>: p. 4882-4888.</w:t>
      </w:r>
    </w:p>
    <w:p w14:paraId="04057359" w14:textId="77777777" w:rsidR="003A4898" w:rsidRPr="003A4898" w:rsidRDefault="003A4898" w:rsidP="003A4898">
      <w:pPr>
        <w:pStyle w:val="EndNoteBibliography"/>
        <w:spacing w:after="0"/>
        <w:ind w:left="720" w:hanging="720"/>
      </w:pPr>
      <w:r w:rsidRPr="003A4898">
        <w:t>54.</w:t>
      </w:r>
      <w:r w:rsidRPr="003A4898">
        <w:tab/>
        <w:t xml:space="preserve">Ou, Y., et al., </w:t>
      </w:r>
      <w:r w:rsidRPr="003A4898">
        <w:rPr>
          <w:i/>
        </w:rPr>
        <w:t>Estimating environmental co-benefits of U.S. low-carbon pathways using an integrated assessment model with state-level resolution.</w:t>
      </w:r>
      <w:r w:rsidRPr="003A4898">
        <w:t xml:space="preserve"> Applied Energy, 2018. </w:t>
      </w:r>
      <w:r w:rsidRPr="003A4898">
        <w:rPr>
          <w:b/>
        </w:rPr>
        <w:t>216</w:t>
      </w:r>
      <w:r w:rsidRPr="003A4898">
        <w:t>: p. 482-493.</w:t>
      </w:r>
    </w:p>
    <w:p w14:paraId="4B2B521F" w14:textId="77777777" w:rsidR="003A4898" w:rsidRPr="003A4898" w:rsidRDefault="003A4898" w:rsidP="003A4898">
      <w:pPr>
        <w:pStyle w:val="EndNoteBibliography"/>
        <w:spacing w:after="0"/>
        <w:ind w:left="720" w:hanging="720"/>
      </w:pPr>
      <w:r w:rsidRPr="003A4898">
        <w:t>55.</w:t>
      </w:r>
      <w:r w:rsidRPr="003A4898">
        <w:tab/>
        <w:t xml:space="preserve">Dimanchev, E.G., et al., </w:t>
      </w:r>
      <w:r w:rsidRPr="003A4898">
        <w:rPr>
          <w:i/>
        </w:rPr>
        <w:t>Health co-benefits of sub-national renewable energy policy in the US.</w:t>
      </w:r>
      <w:r w:rsidRPr="003A4898">
        <w:t xml:space="preserve"> Environmental Research Letters, 2019. </w:t>
      </w:r>
      <w:r w:rsidRPr="003A4898">
        <w:rPr>
          <w:b/>
        </w:rPr>
        <w:t>14</w:t>
      </w:r>
      <w:r w:rsidRPr="003A4898">
        <w:t>.</w:t>
      </w:r>
    </w:p>
    <w:p w14:paraId="66BEDF97" w14:textId="77777777" w:rsidR="003A4898" w:rsidRPr="003A4898" w:rsidRDefault="003A4898" w:rsidP="003A4898">
      <w:pPr>
        <w:pStyle w:val="EndNoteBibliography"/>
        <w:spacing w:after="0"/>
        <w:ind w:left="720" w:hanging="720"/>
      </w:pPr>
      <w:r w:rsidRPr="003A4898">
        <w:t>56.</w:t>
      </w:r>
      <w:r w:rsidRPr="003A4898">
        <w:tab/>
        <w:t xml:space="preserve">Novan, K., </w:t>
      </w:r>
      <w:r w:rsidRPr="003A4898">
        <w:rPr>
          <w:i/>
        </w:rPr>
        <w:t>Valuing the Wind: Renewable Energy Policies and Air Pollution Avoided.</w:t>
      </w:r>
      <w:r w:rsidRPr="003A4898">
        <w:t xml:space="preserve"> American Economic Journal: Economic Policy, 2015. </w:t>
      </w:r>
      <w:r w:rsidRPr="003A4898">
        <w:rPr>
          <w:b/>
        </w:rPr>
        <w:t>7</w:t>
      </w:r>
      <w:r w:rsidRPr="003A4898">
        <w:t>(3): p. 291-326.</w:t>
      </w:r>
    </w:p>
    <w:p w14:paraId="34C34F06" w14:textId="77777777" w:rsidR="003A4898" w:rsidRPr="003A4898" w:rsidRDefault="003A4898" w:rsidP="003A4898">
      <w:pPr>
        <w:pStyle w:val="EndNoteBibliography"/>
        <w:spacing w:after="0"/>
        <w:ind w:left="720" w:hanging="720"/>
      </w:pPr>
      <w:r w:rsidRPr="003A4898">
        <w:t>57.</w:t>
      </w:r>
      <w:r w:rsidRPr="003A4898">
        <w:tab/>
        <w:t xml:space="preserve">Millstein, D., et al., </w:t>
      </w:r>
      <w:r w:rsidRPr="003A4898">
        <w:rPr>
          <w:i/>
        </w:rPr>
        <w:t>The climate and air-quality benefits of wind and solar power in the United States.</w:t>
      </w:r>
      <w:r w:rsidRPr="003A4898">
        <w:t xml:space="preserve"> Nature Energy, 2017. </w:t>
      </w:r>
      <w:r w:rsidRPr="003A4898">
        <w:rPr>
          <w:b/>
        </w:rPr>
        <w:t>2</w:t>
      </w:r>
      <w:r w:rsidRPr="003A4898">
        <w:t>: p. 17134.</w:t>
      </w:r>
    </w:p>
    <w:p w14:paraId="287FB464" w14:textId="77777777" w:rsidR="003A4898" w:rsidRPr="003A4898" w:rsidRDefault="003A4898" w:rsidP="003A4898">
      <w:pPr>
        <w:pStyle w:val="EndNoteBibliography"/>
        <w:ind w:left="720" w:hanging="720"/>
      </w:pPr>
      <w:r w:rsidRPr="003A4898">
        <w:t>58.</w:t>
      </w:r>
      <w:r w:rsidRPr="003A4898">
        <w:tab/>
        <w:t xml:space="preserve">U.S. Department of the Interior and Bureau of Ocean Energy Management, </w:t>
      </w:r>
      <w:r w:rsidRPr="003A4898">
        <w:rPr>
          <w:i/>
        </w:rPr>
        <w:t>Evaluating Benefits of Offshore Wind Energy Projects in NEPA</w:t>
      </w:r>
      <w:r w:rsidRPr="003A4898">
        <w:t>. Headquarters,</w:t>
      </w:r>
    </w:p>
    <w:p w14:paraId="742B0BAA" w14:textId="77777777" w:rsidR="003A4898" w:rsidRPr="003A4898" w:rsidRDefault="003A4898" w:rsidP="003A4898">
      <w:pPr>
        <w:pStyle w:val="EndNoteBibliography"/>
        <w:spacing w:after="0"/>
        <w:ind w:left="720" w:hanging="720"/>
      </w:pPr>
      <w:r w:rsidRPr="003A4898">
        <w:t>Sterling VA,.</w:t>
      </w:r>
    </w:p>
    <w:p w14:paraId="5D96C35C" w14:textId="77777777" w:rsidR="003A4898" w:rsidRPr="003A4898" w:rsidRDefault="003A4898" w:rsidP="003A4898">
      <w:pPr>
        <w:pStyle w:val="EndNoteBibliography"/>
        <w:spacing w:after="0"/>
        <w:ind w:left="720" w:hanging="720"/>
      </w:pPr>
      <w:r w:rsidRPr="003A4898">
        <w:t>59.</w:t>
      </w:r>
      <w:r w:rsidRPr="003A4898">
        <w:tab/>
        <w:t xml:space="preserve">AWEA, </w:t>
      </w:r>
      <w:r w:rsidRPr="003A4898">
        <w:rPr>
          <w:i/>
        </w:rPr>
        <w:t>U.S. Wind Industry Annual Market Report, Year Ending 2018</w:t>
      </w:r>
      <w:r w:rsidRPr="003A4898">
        <w:t>. 2018.</w:t>
      </w:r>
    </w:p>
    <w:p w14:paraId="05E4CBCD" w14:textId="77777777" w:rsidR="003A4898" w:rsidRPr="003A4898" w:rsidRDefault="003A4898" w:rsidP="003A4898">
      <w:pPr>
        <w:pStyle w:val="EndNoteBibliography"/>
        <w:spacing w:after="0"/>
        <w:ind w:left="720" w:hanging="720"/>
      </w:pPr>
      <w:r w:rsidRPr="003A4898">
        <w:t>60.</w:t>
      </w:r>
      <w:r w:rsidRPr="003A4898">
        <w:tab/>
        <w:t xml:space="preserve">Greene, J.S. and M. Morrissey, </w:t>
      </w:r>
      <w:r w:rsidRPr="003A4898">
        <w:rPr>
          <w:i/>
        </w:rPr>
        <w:t>Estimated Pollution Reduction from Wind Farms in Oklahoma and Associated Economic and Human Health Benefits.</w:t>
      </w:r>
      <w:r w:rsidRPr="003A4898">
        <w:t xml:space="preserve"> Journal of Renewable Energy, 2012. </w:t>
      </w:r>
      <w:r w:rsidRPr="003A4898">
        <w:rPr>
          <w:b/>
        </w:rPr>
        <w:t>2013</w:t>
      </w:r>
      <w:r w:rsidRPr="003A4898">
        <w:t>.</w:t>
      </w:r>
    </w:p>
    <w:p w14:paraId="54F865A1" w14:textId="77777777" w:rsidR="003A4898" w:rsidRPr="003A4898" w:rsidRDefault="003A4898" w:rsidP="003A4898">
      <w:pPr>
        <w:pStyle w:val="EndNoteBibliography"/>
        <w:spacing w:after="0"/>
        <w:ind w:left="720" w:hanging="720"/>
      </w:pPr>
      <w:r w:rsidRPr="003A4898">
        <w:t>61.</w:t>
      </w:r>
      <w:r w:rsidRPr="003A4898">
        <w:tab/>
        <w:t xml:space="preserve">Lu, X., M.B. McElroy, and N.A. Sluzas, </w:t>
      </w:r>
      <w:r w:rsidRPr="003A4898">
        <w:rPr>
          <w:i/>
        </w:rPr>
        <w:t>Costs for Integrating Wind into the Future ERCOT System with Related Costs for Savings in CO2 Emissions.</w:t>
      </w:r>
      <w:r w:rsidRPr="003A4898">
        <w:t xml:space="preserve"> Environmental Science and Technology, 2011. </w:t>
      </w:r>
      <w:r w:rsidRPr="003A4898">
        <w:rPr>
          <w:b/>
        </w:rPr>
        <w:t>45</w:t>
      </w:r>
      <w:r w:rsidRPr="003A4898">
        <w:t>: p. 3160-3166.</w:t>
      </w:r>
    </w:p>
    <w:p w14:paraId="094DD954" w14:textId="77777777" w:rsidR="003A4898" w:rsidRPr="003A4898" w:rsidRDefault="003A4898" w:rsidP="003A4898">
      <w:pPr>
        <w:pStyle w:val="EndNoteBibliography"/>
        <w:spacing w:after="0"/>
        <w:ind w:left="720" w:hanging="720"/>
      </w:pPr>
      <w:r w:rsidRPr="003A4898">
        <w:t>62.</w:t>
      </w:r>
      <w:r w:rsidRPr="003A4898">
        <w:tab/>
        <w:t xml:space="preserve">Nordman, E., et al., </w:t>
      </w:r>
      <w:r w:rsidRPr="003A4898">
        <w:rPr>
          <w:i/>
        </w:rPr>
        <w:t>An Integrated Assessment for Wind Energy in Lake Michigan Coastal Counties.</w:t>
      </w:r>
      <w:r w:rsidRPr="003A4898">
        <w:t xml:space="preserve"> Integrated Environmental Assessment and Management, 2014. </w:t>
      </w:r>
      <w:r w:rsidRPr="003A4898">
        <w:rPr>
          <w:b/>
        </w:rPr>
        <w:t>11</w:t>
      </w:r>
      <w:r w:rsidRPr="003A4898">
        <w:t>(2): p. 287-297.</w:t>
      </w:r>
    </w:p>
    <w:p w14:paraId="64C30E77" w14:textId="77777777" w:rsidR="003A4898" w:rsidRPr="003A4898" w:rsidRDefault="003A4898" w:rsidP="003A4898">
      <w:pPr>
        <w:pStyle w:val="EndNoteBibliography"/>
        <w:spacing w:after="0"/>
        <w:ind w:left="720" w:hanging="720"/>
      </w:pPr>
      <w:r w:rsidRPr="003A4898">
        <w:t>63.</w:t>
      </w:r>
      <w:r w:rsidRPr="003A4898">
        <w:tab/>
        <w:t xml:space="preserve">Chiang, A.C., et al., </w:t>
      </w:r>
      <w:r w:rsidRPr="003A4898">
        <w:rPr>
          <w:i/>
        </w:rPr>
        <w:t>Emissions reduction benefits of siting an offshore wind farm: A temporal and spatial analysis of Lake Michigan.</w:t>
      </w:r>
      <w:r w:rsidRPr="003A4898">
        <w:t xml:space="preserve"> Ecological Economics, 2016. </w:t>
      </w:r>
      <w:r w:rsidRPr="003A4898">
        <w:rPr>
          <w:b/>
        </w:rPr>
        <w:t>130</w:t>
      </w:r>
      <w:r w:rsidRPr="003A4898">
        <w:t>: p. 263-276.</w:t>
      </w:r>
    </w:p>
    <w:p w14:paraId="5BB289C1" w14:textId="77777777" w:rsidR="003A4898" w:rsidRPr="003A4898" w:rsidRDefault="003A4898" w:rsidP="003A4898">
      <w:pPr>
        <w:pStyle w:val="EndNoteBibliography"/>
        <w:spacing w:after="0"/>
        <w:ind w:left="720" w:hanging="720"/>
      </w:pPr>
      <w:r w:rsidRPr="003A4898">
        <w:t>64.</w:t>
      </w:r>
      <w:r w:rsidRPr="003A4898">
        <w:tab/>
        <w:t xml:space="preserve">Buonocore, J.J., et al., </w:t>
      </w:r>
      <w:r w:rsidRPr="003A4898">
        <w:rPr>
          <w:i/>
        </w:rPr>
        <w:t>Health and climate benefits of offshore wind facilities in the Mid-Atlantic United States.</w:t>
      </w:r>
      <w:r w:rsidRPr="003A4898">
        <w:t xml:space="preserve"> Environmental Research Letters, 2016. </w:t>
      </w:r>
      <w:r w:rsidRPr="003A4898">
        <w:rPr>
          <w:b/>
        </w:rPr>
        <w:t>11</w:t>
      </w:r>
      <w:r w:rsidRPr="003A4898">
        <w:t>(7).</w:t>
      </w:r>
    </w:p>
    <w:p w14:paraId="4AF62C3E" w14:textId="77777777" w:rsidR="003A4898" w:rsidRPr="003A4898" w:rsidRDefault="003A4898" w:rsidP="003A4898">
      <w:pPr>
        <w:pStyle w:val="EndNoteBibliography"/>
        <w:spacing w:after="0"/>
        <w:ind w:left="720" w:hanging="720"/>
      </w:pPr>
      <w:r w:rsidRPr="003A4898">
        <w:t>65.</w:t>
      </w:r>
      <w:r w:rsidRPr="003A4898">
        <w:tab/>
        <w:t xml:space="preserve">Reimers, B., B. Ozdirik, and M. Kaltschmitt, </w:t>
      </w:r>
      <w:r w:rsidRPr="003A4898">
        <w:rPr>
          <w:i/>
        </w:rPr>
        <w:t>Greenhouse gas emissions from electricity generated by offshore wind farms.</w:t>
      </w:r>
      <w:r w:rsidRPr="003A4898">
        <w:t xml:space="preserve"> Renewable Energy, 2014. </w:t>
      </w:r>
      <w:r w:rsidRPr="003A4898">
        <w:rPr>
          <w:b/>
        </w:rPr>
        <w:t>72</w:t>
      </w:r>
      <w:r w:rsidRPr="003A4898">
        <w:t>: p. 428-438.</w:t>
      </w:r>
    </w:p>
    <w:p w14:paraId="2A6A7423" w14:textId="77777777" w:rsidR="003A4898" w:rsidRPr="003A4898" w:rsidRDefault="003A4898" w:rsidP="003A4898">
      <w:pPr>
        <w:pStyle w:val="EndNoteBibliography"/>
        <w:spacing w:after="0"/>
        <w:ind w:left="720" w:hanging="720"/>
      </w:pPr>
      <w:r w:rsidRPr="003A4898">
        <w:t>66.</w:t>
      </w:r>
      <w:r w:rsidRPr="003A4898">
        <w:tab/>
        <w:t xml:space="preserve">Huque, J.C.V.S.V.B.H.D.R.R.K.Z., </w:t>
      </w:r>
      <w:r w:rsidRPr="003A4898">
        <w:rPr>
          <w:i/>
        </w:rPr>
        <w:t>Life Cycle Environmental Impact of Onshore and Offshore Wind Farms in Texas.</w:t>
      </w:r>
      <w:r w:rsidRPr="003A4898">
        <w:t xml:space="preserve"> Sustainability, 2018. </w:t>
      </w:r>
      <w:r w:rsidRPr="003A4898">
        <w:rPr>
          <w:b/>
        </w:rPr>
        <w:t>10</w:t>
      </w:r>
      <w:r w:rsidRPr="003A4898">
        <w:t>: p. 2022-2039.</w:t>
      </w:r>
    </w:p>
    <w:p w14:paraId="5916CCA1" w14:textId="77777777" w:rsidR="003A4898" w:rsidRPr="003A4898" w:rsidRDefault="003A4898" w:rsidP="003A4898">
      <w:pPr>
        <w:pStyle w:val="EndNoteBibliography"/>
        <w:spacing w:after="0"/>
        <w:ind w:left="720" w:hanging="720"/>
      </w:pPr>
      <w:r w:rsidRPr="003A4898">
        <w:t>67.</w:t>
      </w:r>
      <w:r w:rsidRPr="003A4898">
        <w:tab/>
        <w:t xml:space="preserve">Kaldellis, J.K. and D. Apostolou, </w:t>
      </w:r>
      <w:r w:rsidRPr="003A4898">
        <w:rPr>
          <w:i/>
        </w:rPr>
        <w:t>Life cycle energy and carbon footprint of offshore wind energy. Compariosn with onshore counterpart.</w:t>
      </w:r>
      <w:r w:rsidRPr="003A4898">
        <w:t xml:space="preserve"> Renewable Energy, 2017. </w:t>
      </w:r>
      <w:r w:rsidRPr="003A4898">
        <w:rPr>
          <w:b/>
        </w:rPr>
        <w:t>108</w:t>
      </w:r>
      <w:r w:rsidRPr="003A4898">
        <w:t>: p. 72-84.</w:t>
      </w:r>
    </w:p>
    <w:p w14:paraId="71F8113C" w14:textId="77777777" w:rsidR="003A4898" w:rsidRPr="003A4898" w:rsidRDefault="003A4898" w:rsidP="003A4898">
      <w:pPr>
        <w:pStyle w:val="EndNoteBibliography"/>
        <w:spacing w:after="0"/>
        <w:ind w:left="720" w:hanging="720"/>
      </w:pPr>
      <w:r w:rsidRPr="003A4898">
        <w:t>68.</w:t>
      </w:r>
      <w:r w:rsidRPr="003A4898">
        <w:tab/>
        <w:t xml:space="preserve">Apt, W.K.J., </w:t>
      </w:r>
      <w:r w:rsidRPr="003A4898">
        <w:rPr>
          <w:i/>
        </w:rPr>
        <w:t>Air Emissions Due to Wind and Solar Power.</w:t>
      </w:r>
      <w:r w:rsidRPr="003A4898">
        <w:t xml:space="preserve"> Environmental Science and Technology, 2008. </w:t>
      </w:r>
      <w:r w:rsidRPr="003A4898">
        <w:rPr>
          <w:b/>
        </w:rPr>
        <w:t>43</w:t>
      </w:r>
      <w:r w:rsidRPr="003A4898">
        <w:t>: p. 253-258.</w:t>
      </w:r>
    </w:p>
    <w:p w14:paraId="10727EED" w14:textId="77777777" w:rsidR="003A4898" w:rsidRPr="003A4898" w:rsidRDefault="003A4898" w:rsidP="003A4898">
      <w:pPr>
        <w:pStyle w:val="EndNoteBibliography"/>
        <w:spacing w:after="0"/>
        <w:ind w:left="720" w:hanging="720"/>
      </w:pPr>
      <w:r w:rsidRPr="003A4898">
        <w:t>69.</w:t>
      </w:r>
      <w:r w:rsidRPr="003A4898">
        <w:tab/>
        <w:t xml:space="preserve">Bureau of Ocean Energy Management, </w:t>
      </w:r>
      <w:r w:rsidRPr="003A4898">
        <w:rPr>
          <w:i/>
        </w:rPr>
        <w:t>BOEM Announces Next Steps for Proposed New York - New Jersey Wind Energy Transmission Line: Includes Opportunity for Expressions of Competitive Interest and Public Comments</w:t>
      </w:r>
      <w:r w:rsidRPr="003A4898">
        <w:t>. 2019.</w:t>
      </w:r>
    </w:p>
    <w:p w14:paraId="54ADAB81" w14:textId="77777777" w:rsidR="003A4898" w:rsidRPr="003A4898" w:rsidRDefault="003A4898" w:rsidP="003A4898">
      <w:pPr>
        <w:pStyle w:val="EndNoteBibliography"/>
        <w:spacing w:after="0"/>
        <w:ind w:left="720" w:hanging="720"/>
      </w:pPr>
      <w:r w:rsidRPr="003A4898">
        <w:t>70.</w:t>
      </w:r>
      <w:r w:rsidRPr="003A4898">
        <w:tab/>
        <w:t xml:space="preserve">Lenox, C., </w:t>
      </w:r>
      <w:r w:rsidRPr="003A4898">
        <w:rPr>
          <w:i/>
        </w:rPr>
        <w:t>EPAUS9rT database for use with the TIMES modeling platform</w:t>
      </w:r>
      <w:r w:rsidRPr="003A4898">
        <w:t>. 2019: U.S. Environmental Protection Agency, Washington, DC.</w:t>
      </w:r>
    </w:p>
    <w:p w14:paraId="07186F1E" w14:textId="77777777" w:rsidR="003A4898" w:rsidRPr="003A4898" w:rsidRDefault="003A4898" w:rsidP="003A4898">
      <w:pPr>
        <w:pStyle w:val="EndNoteBibliography"/>
        <w:spacing w:after="0"/>
        <w:ind w:left="720" w:hanging="720"/>
      </w:pPr>
      <w:r w:rsidRPr="003A4898">
        <w:t>71.</w:t>
      </w:r>
      <w:r w:rsidRPr="003A4898">
        <w:tab/>
        <w:t xml:space="preserve">Loulou, R., et al., </w:t>
      </w:r>
      <w:r w:rsidRPr="003A4898">
        <w:rPr>
          <w:i/>
        </w:rPr>
        <w:t>Documentation for the TIMES model. .</w:t>
      </w:r>
      <w:r w:rsidRPr="003A4898">
        <w:t xml:space="preserve"> Tech. Rep. Energy Technology Systems Analysis Programme (ETSAP), 2005.</w:t>
      </w:r>
    </w:p>
    <w:p w14:paraId="2308746E" w14:textId="77777777" w:rsidR="003A4898" w:rsidRPr="003A4898" w:rsidRDefault="003A4898" w:rsidP="003A4898">
      <w:pPr>
        <w:pStyle w:val="EndNoteBibliography"/>
        <w:ind w:left="720" w:hanging="720"/>
      </w:pPr>
      <w:r w:rsidRPr="003A4898">
        <w:t>72.</w:t>
      </w:r>
      <w:r w:rsidRPr="003A4898">
        <w:tab/>
        <w:t xml:space="preserve">Ringkjob, H.-K., P.M. Haugan, and I.M. Solbrekke, </w:t>
      </w:r>
      <w:r w:rsidRPr="003A4898">
        <w:rPr>
          <w:i/>
        </w:rPr>
        <w:t>A review of modelling tools for energy and electricity systems with large shares of variable renewables.</w:t>
      </w:r>
      <w:r w:rsidRPr="003A4898">
        <w:t xml:space="preserve"> Renewable and Sustainable Energy Reviews, 2018. </w:t>
      </w:r>
      <w:r w:rsidRPr="003A4898">
        <w:rPr>
          <w:b/>
        </w:rPr>
        <w:t>96</w:t>
      </w:r>
      <w:r w:rsidRPr="003A4898">
        <w:t>: p. 440-459.</w:t>
      </w:r>
    </w:p>
    <w:p w14:paraId="0366F77F" w14:textId="688720F6"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FF1F3A" w:rsidRDefault="00FF1F3A" w:rsidP="00B72FB6">
      <w:pPr>
        <w:spacing w:after="0" w:line="240" w:lineRule="auto"/>
      </w:pPr>
      <w:r>
        <w:separator/>
      </w:r>
    </w:p>
  </w:endnote>
  <w:endnote w:type="continuationSeparator" w:id="0">
    <w:p w14:paraId="43FFD76F" w14:textId="77777777" w:rsidR="00FF1F3A" w:rsidRDefault="00FF1F3A"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FF1F3A" w:rsidRDefault="00FF1F3A">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FF1F3A" w:rsidRDefault="00FF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FF1F3A" w:rsidRDefault="00FF1F3A" w:rsidP="00B72FB6">
      <w:pPr>
        <w:spacing w:after="0" w:line="240" w:lineRule="auto"/>
      </w:pPr>
      <w:r>
        <w:separator/>
      </w:r>
    </w:p>
  </w:footnote>
  <w:footnote w:type="continuationSeparator" w:id="0">
    <w:p w14:paraId="572982D1" w14:textId="77777777" w:rsidR="00FF1F3A" w:rsidRDefault="00FF1F3A"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35C5"/>
    <w:rsid w:val="00016433"/>
    <w:rsid w:val="00016F8D"/>
    <w:rsid w:val="00017FCB"/>
    <w:rsid w:val="000200CA"/>
    <w:rsid w:val="00024089"/>
    <w:rsid w:val="00025FAC"/>
    <w:rsid w:val="00026FCC"/>
    <w:rsid w:val="00032256"/>
    <w:rsid w:val="00032FA4"/>
    <w:rsid w:val="00037BFA"/>
    <w:rsid w:val="00045D45"/>
    <w:rsid w:val="00047FA1"/>
    <w:rsid w:val="00050729"/>
    <w:rsid w:val="00050B11"/>
    <w:rsid w:val="00052A48"/>
    <w:rsid w:val="00053CE8"/>
    <w:rsid w:val="00057B1D"/>
    <w:rsid w:val="000600C5"/>
    <w:rsid w:val="000669A9"/>
    <w:rsid w:val="00067A54"/>
    <w:rsid w:val="0007143F"/>
    <w:rsid w:val="000725AD"/>
    <w:rsid w:val="000755E8"/>
    <w:rsid w:val="00075C47"/>
    <w:rsid w:val="00075C61"/>
    <w:rsid w:val="00076820"/>
    <w:rsid w:val="000769F0"/>
    <w:rsid w:val="0007766E"/>
    <w:rsid w:val="00084137"/>
    <w:rsid w:val="00084336"/>
    <w:rsid w:val="0008787D"/>
    <w:rsid w:val="00087B87"/>
    <w:rsid w:val="000943DC"/>
    <w:rsid w:val="000965E5"/>
    <w:rsid w:val="0009765E"/>
    <w:rsid w:val="000A0946"/>
    <w:rsid w:val="000A2921"/>
    <w:rsid w:val="000A603B"/>
    <w:rsid w:val="000A6265"/>
    <w:rsid w:val="000A6BF9"/>
    <w:rsid w:val="000A7D33"/>
    <w:rsid w:val="000B0F98"/>
    <w:rsid w:val="000B2C52"/>
    <w:rsid w:val="000B38A2"/>
    <w:rsid w:val="000B4C60"/>
    <w:rsid w:val="000B4F1B"/>
    <w:rsid w:val="000B54C2"/>
    <w:rsid w:val="000C27A7"/>
    <w:rsid w:val="000C542B"/>
    <w:rsid w:val="000C5A1F"/>
    <w:rsid w:val="000C6AE2"/>
    <w:rsid w:val="000C7235"/>
    <w:rsid w:val="000D2624"/>
    <w:rsid w:val="000D3080"/>
    <w:rsid w:val="000D427B"/>
    <w:rsid w:val="000E0CE0"/>
    <w:rsid w:val="000E1F1A"/>
    <w:rsid w:val="000E26CC"/>
    <w:rsid w:val="000E2776"/>
    <w:rsid w:val="000E2D56"/>
    <w:rsid w:val="000E302E"/>
    <w:rsid w:val="000E4BAA"/>
    <w:rsid w:val="000E5F81"/>
    <w:rsid w:val="000E6B42"/>
    <w:rsid w:val="000F5336"/>
    <w:rsid w:val="000F7624"/>
    <w:rsid w:val="000F76F5"/>
    <w:rsid w:val="00102508"/>
    <w:rsid w:val="00103284"/>
    <w:rsid w:val="00103CE5"/>
    <w:rsid w:val="0010750A"/>
    <w:rsid w:val="0010799C"/>
    <w:rsid w:val="00112C0A"/>
    <w:rsid w:val="00113103"/>
    <w:rsid w:val="00113F30"/>
    <w:rsid w:val="00114506"/>
    <w:rsid w:val="00120A06"/>
    <w:rsid w:val="0012116C"/>
    <w:rsid w:val="001239DB"/>
    <w:rsid w:val="00124EB0"/>
    <w:rsid w:val="00127847"/>
    <w:rsid w:val="00130066"/>
    <w:rsid w:val="00130DCA"/>
    <w:rsid w:val="0013129D"/>
    <w:rsid w:val="00131414"/>
    <w:rsid w:val="00132537"/>
    <w:rsid w:val="00134E75"/>
    <w:rsid w:val="00140060"/>
    <w:rsid w:val="00142670"/>
    <w:rsid w:val="00144373"/>
    <w:rsid w:val="00145B55"/>
    <w:rsid w:val="00146EC8"/>
    <w:rsid w:val="001471FB"/>
    <w:rsid w:val="00147735"/>
    <w:rsid w:val="001500E0"/>
    <w:rsid w:val="0015043D"/>
    <w:rsid w:val="0015075E"/>
    <w:rsid w:val="001507A4"/>
    <w:rsid w:val="001528DE"/>
    <w:rsid w:val="001533B4"/>
    <w:rsid w:val="00153891"/>
    <w:rsid w:val="0015437C"/>
    <w:rsid w:val="00156027"/>
    <w:rsid w:val="0015724F"/>
    <w:rsid w:val="00157557"/>
    <w:rsid w:val="00157A24"/>
    <w:rsid w:val="0016033D"/>
    <w:rsid w:val="00160BB6"/>
    <w:rsid w:val="00164EF7"/>
    <w:rsid w:val="00167633"/>
    <w:rsid w:val="00171158"/>
    <w:rsid w:val="00172072"/>
    <w:rsid w:val="00175A9B"/>
    <w:rsid w:val="001774F1"/>
    <w:rsid w:val="00184AA2"/>
    <w:rsid w:val="00186E7C"/>
    <w:rsid w:val="00186F5A"/>
    <w:rsid w:val="00190E97"/>
    <w:rsid w:val="00191DB4"/>
    <w:rsid w:val="00192CAB"/>
    <w:rsid w:val="00194E9D"/>
    <w:rsid w:val="00196BFC"/>
    <w:rsid w:val="001A19F3"/>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53F0"/>
    <w:rsid w:val="001E6735"/>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4AC1"/>
    <w:rsid w:val="00216F3E"/>
    <w:rsid w:val="00217FC3"/>
    <w:rsid w:val="00221AA7"/>
    <w:rsid w:val="00222298"/>
    <w:rsid w:val="00222399"/>
    <w:rsid w:val="00222CC0"/>
    <w:rsid w:val="00227531"/>
    <w:rsid w:val="00227BC5"/>
    <w:rsid w:val="00231A17"/>
    <w:rsid w:val="0023222D"/>
    <w:rsid w:val="00232FEC"/>
    <w:rsid w:val="00233234"/>
    <w:rsid w:val="002371AE"/>
    <w:rsid w:val="0024102A"/>
    <w:rsid w:val="00242B57"/>
    <w:rsid w:val="00243441"/>
    <w:rsid w:val="0024405C"/>
    <w:rsid w:val="00245398"/>
    <w:rsid w:val="00253F3A"/>
    <w:rsid w:val="00254039"/>
    <w:rsid w:val="002565B4"/>
    <w:rsid w:val="00256ABB"/>
    <w:rsid w:val="00256CE3"/>
    <w:rsid w:val="00260C85"/>
    <w:rsid w:val="00262471"/>
    <w:rsid w:val="0027022E"/>
    <w:rsid w:val="00273CA5"/>
    <w:rsid w:val="00274248"/>
    <w:rsid w:val="00275074"/>
    <w:rsid w:val="00276DD5"/>
    <w:rsid w:val="00280D71"/>
    <w:rsid w:val="00281D73"/>
    <w:rsid w:val="002A2CC3"/>
    <w:rsid w:val="002A528C"/>
    <w:rsid w:val="002A568C"/>
    <w:rsid w:val="002A6C3C"/>
    <w:rsid w:val="002A6E8C"/>
    <w:rsid w:val="002B1190"/>
    <w:rsid w:val="002B13CC"/>
    <w:rsid w:val="002B233A"/>
    <w:rsid w:val="002B2884"/>
    <w:rsid w:val="002B4CE3"/>
    <w:rsid w:val="002B707D"/>
    <w:rsid w:val="002B7721"/>
    <w:rsid w:val="002B7D5D"/>
    <w:rsid w:val="002C2783"/>
    <w:rsid w:val="002D157A"/>
    <w:rsid w:val="002D26C5"/>
    <w:rsid w:val="002D3A9B"/>
    <w:rsid w:val="002D4028"/>
    <w:rsid w:val="002D4355"/>
    <w:rsid w:val="002D491D"/>
    <w:rsid w:val="002E0D04"/>
    <w:rsid w:val="002E4A2F"/>
    <w:rsid w:val="002E4F8F"/>
    <w:rsid w:val="002E615B"/>
    <w:rsid w:val="002E6814"/>
    <w:rsid w:val="002E7BF9"/>
    <w:rsid w:val="002F1943"/>
    <w:rsid w:val="002F1E9B"/>
    <w:rsid w:val="002F2E4E"/>
    <w:rsid w:val="002F396C"/>
    <w:rsid w:val="00300C46"/>
    <w:rsid w:val="00303C7E"/>
    <w:rsid w:val="00303C7F"/>
    <w:rsid w:val="00303F12"/>
    <w:rsid w:val="00304B8A"/>
    <w:rsid w:val="003061BE"/>
    <w:rsid w:val="00313C1B"/>
    <w:rsid w:val="00314C41"/>
    <w:rsid w:val="00314CBF"/>
    <w:rsid w:val="00316226"/>
    <w:rsid w:val="003162D2"/>
    <w:rsid w:val="00322B7B"/>
    <w:rsid w:val="00322C6C"/>
    <w:rsid w:val="00323CE2"/>
    <w:rsid w:val="003312B6"/>
    <w:rsid w:val="003322BB"/>
    <w:rsid w:val="00333203"/>
    <w:rsid w:val="00333C03"/>
    <w:rsid w:val="00334738"/>
    <w:rsid w:val="003358EC"/>
    <w:rsid w:val="003365CF"/>
    <w:rsid w:val="003374A8"/>
    <w:rsid w:val="003477C7"/>
    <w:rsid w:val="00350593"/>
    <w:rsid w:val="00352199"/>
    <w:rsid w:val="00353764"/>
    <w:rsid w:val="003540DF"/>
    <w:rsid w:val="0035473E"/>
    <w:rsid w:val="003602FF"/>
    <w:rsid w:val="0036374E"/>
    <w:rsid w:val="00366525"/>
    <w:rsid w:val="00367515"/>
    <w:rsid w:val="00367E00"/>
    <w:rsid w:val="0037075E"/>
    <w:rsid w:val="0037079A"/>
    <w:rsid w:val="00372977"/>
    <w:rsid w:val="00375854"/>
    <w:rsid w:val="003767EB"/>
    <w:rsid w:val="00377949"/>
    <w:rsid w:val="00381311"/>
    <w:rsid w:val="00382046"/>
    <w:rsid w:val="00383978"/>
    <w:rsid w:val="00395462"/>
    <w:rsid w:val="00397B40"/>
    <w:rsid w:val="003A1D69"/>
    <w:rsid w:val="003A46A0"/>
    <w:rsid w:val="003A4898"/>
    <w:rsid w:val="003A4A79"/>
    <w:rsid w:val="003A4D51"/>
    <w:rsid w:val="003A6702"/>
    <w:rsid w:val="003B0AAF"/>
    <w:rsid w:val="003B1F90"/>
    <w:rsid w:val="003B3C33"/>
    <w:rsid w:val="003B4327"/>
    <w:rsid w:val="003B4A7E"/>
    <w:rsid w:val="003B5939"/>
    <w:rsid w:val="003B73ED"/>
    <w:rsid w:val="003B78E1"/>
    <w:rsid w:val="003C14BD"/>
    <w:rsid w:val="003C370A"/>
    <w:rsid w:val="003C3EA7"/>
    <w:rsid w:val="003C7405"/>
    <w:rsid w:val="003D046D"/>
    <w:rsid w:val="003D0650"/>
    <w:rsid w:val="003D1BB5"/>
    <w:rsid w:val="003D466B"/>
    <w:rsid w:val="003D4E87"/>
    <w:rsid w:val="003D6E3A"/>
    <w:rsid w:val="003E44A3"/>
    <w:rsid w:val="003F417C"/>
    <w:rsid w:val="003F4C4A"/>
    <w:rsid w:val="003F730F"/>
    <w:rsid w:val="0040645E"/>
    <w:rsid w:val="00406D68"/>
    <w:rsid w:val="00410839"/>
    <w:rsid w:val="00410B18"/>
    <w:rsid w:val="00410EB7"/>
    <w:rsid w:val="00414583"/>
    <w:rsid w:val="00417A56"/>
    <w:rsid w:val="00417B6E"/>
    <w:rsid w:val="00422834"/>
    <w:rsid w:val="00424556"/>
    <w:rsid w:val="004254A3"/>
    <w:rsid w:val="004262BF"/>
    <w:rsid w:val="00431D48"/>
    <w:rsid w:val="00434696"/>
    <w:rsid w:val="00434A79"/>
    <w:rsid w:val="004350A7"/>
    <w:rsid w:val="004351EC"/>
    <w:rsid w:val="00435896"/>
    <w:rsid w:val="00437ABE"/>
    <w:rsid w:val="004428B9"/>
    <w:rsid w:val="004446A3"/>
    <w:rsid w:val="004478A3"/>
    <w:rsid w:val="00447D33"/>
    <w:rsid w:val="00450914"/>
    <w:rsid w:val="004526B7"/>
    <w:rsid w:val="0045753F"/>
    <w:rsid w:val="00460E65"/>
    <w:rsid w:val="00461738"/>
    <w:rsid w:val="0046351B"/>
    <w:rsid w:val="00463A55"/>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6F8A"/>
    <w:rsid w:val="004A7E54"/>
    <w:rsid w:val="004B244B"/>
    <w:rsid w:val="004B6181"/>
    <w:rsid w:val="004B6235"/>
    <w:rsid w:val="004C0518"/>
    <w:rsid w:val="004C177F"/>
    <w:rsid w:val="004C3407"/>
    <w:rsid w:val="004C4463"/>
    <w:rsid w:val="004C5F81"/>
    <w:rsid w:val="004D0BD6"/>
    <w:rsid w:val="004D779B"/>
    <w:rsid w:val="004E08C7"/>
    <w:rsid w:val="004E0F19"/>
    <w:rsid w:val="004E1B8A"/>
    <w:rsid w:val="004E56EE"/>
    <w:rsid w:val="004E6F63"/>
    <w:rsid w:val="004F2C6D"/>
    <w:rsid w:val="004F3227"/>
    <w:rsid w:val="004F6D90"/>
    <w:rsid w:val="004F78F9"/>
    <w:rsid w:val="004F792C"/>
    <w:rsid w:val="00503549"/>
    <w:rsid w:val="0050419B"/>
    <w:rsid w:val="00510F67"/>
    <w:rsid w:val="00512962"/>
    <w:rsid w:val="00514A1B"/>
    <w:rsid w:val="00516609"/>
    <w:rsid w:val="00517B41"/>
    <w:rsid w:val="00522F22"/>
    <w:rsid w:val="00525AB0"/>
    <w:rsid w:val="0052610E"/>
    <w:rsid w:val="0052716D"/>
    <w:rsid w:val="005278C1"/>
    <w:rsid w:val="00530BAB"/>
    <w:rsid w:val="005323A8"/>
    <w:rsid w:val="00532BB0"/>
    <w:rsid w:val="00536A6F"/>
    <w:rsid w:val="00544051"/>
    <w:rsid w:val="0054470C"/>
    <w:rsid w:val="00544BC1"/>
    <w:rsid w:val="005451E9"/>
    <w:rsid w:val="00553323"/>
    <w:rsid w:val="00556C76"/>
    <w:rsid w:val="005576CC"/>
    <w:rsid w:val="00563D5E"/>
    <w:rsid w:val="00563DF7"/>
    <w:rsid w:val="005650A2"/>
    <w:rsid w:val="005670FC"/>
    <w:rsid w:val="00571CAB"/>
    <w:rsid w:val="00573C71"/>
    <w:rsid w:val="0057567E"/>
    <w:rsid w:val="00576E5A"/>
    <w:rsid w:val="0058168E"/>
    <w:rsid w:val="00581BC2"/>
    <w:rsid w:val="00583287"/>
    <w:rsid w:val="00583D67"/>
    <w:rsid w:val="005841F9"/>
    <w:rsid w:val="00586430"/>
    <w:rsid w:val="00591FF7"/>
    <w:rsid w:val="005A2E07"/>
    <w:rsid w:val="005A5348"/>
    <w:rsid w:val="005A6536"/>
    <w:rsid w:val="005B1156"/>
    <w:rsid w:val="005B4431"/>
    <w:rsid w:val="005B494B"/>
    <w:rsid w:val="005B5AAA"/>
    <w:rsid w:val="005B5F87"/>
    <w:rsid w:val="005B7048"/>
    <w:rsid w:val="005C055C"/>
    <w:rsid w:val="005C2148"/>
    <w:rsid w:val="005C2489"/>
    <w:rsid w:val="005C4CE5"/>
    <w:rsid w:val="005C51E8"/>
    <w:rsid w:val="005C7190"/>
    <w:rsid w:val="005D10F5"/>
    <w:rsid w:val="005D667D"/>
    <w:rsid w:val="005D66A3"/>
    <w:rsid w:val="005E1E57"/>
    <w:rsid w:val="005E21FE"/>
    <w:rsid w:val="005E432D"/>
    <w:rsid w:val="005F5C74"/>
    <w:rsid w:val="005F63A1"/>
    <w:rsid w:val="005F674A"/>
    <w:rsid w:val="005F67EE"/>
    <w:rsid w:val="005F7F39"/>
    <w:rsid w:val="00600E32"/>
    <w:rsid w:val="00601753"/>
    <w:rsid w:val="00602039"/>
    <w:rsid w:val="0060238F"/>
    <w:rsid w:val="00602A15"/>
    <w:rsid w:val="00603FA8"/>
    <w:rsid w:val="00604627"/>
    <w:rsid w:val="00610A5B"/>
    <w:rsid w:val="006121D4"/>
    <w:rsid w:val="00614495"/>
    <w:rsid w:val="006154DE"/>
    <w:rsid w:val="006160A8"/>
    <w:rsid w:val="006248E5"/>
    <w:rsid w:val="00625589"/>
    <w:rsid w:val="00625CDF"/>
    <w:rsid w:val="00626EE2"/>
    <w:rsid w:val="0062710C"/>
    <w:rsid w:val="00632CD2"/>
    <w:rsid w:val="00632EEC"/>
    <w:rsid w:val="006366ED"/>
    <w:rsid w:val="00636957"/>
    <w:rsid w:val="00636C09"/>
    <w:rsid w:val="00640F33"/>
    <w:rsid w:val="00643451"/>
    <w:rsid w:val="00647DF6"/>
    <w:rsid w:val="00654568"/>
    <w:rsid w:val="00655D31"/>
    <w:rsid w:val="00657556"/>
    <w:rsid w:val="006678E8"/>
    <w:rsid w:val="006712E4"/>
    <w:rsid w:val="00672956"/>
    <w:rsid w:val="00672BC3"/>
    <w:rsid w:val="006731E4"/>
    <w:rsid w:val="00677E6E"/>
    <w:rsid w:val="00682396"/>
    <w:rsid w:val="00684948"/>
    <w:rsid w:val="00684D85"/>
    <w:rsid w:val="00684F0F"/>
    <w:rsid w:val="00686BF8"/>
    <w:rsid w:val="00690B5A"/>
    <w:rsid w:val="00696727"/>
    <w:rsid w:val="00696B14"/>
    <w:rsid w:val="006A10AE"/>
    <w:rsid w:val="006A18E1"/>
    <w:rsid w:val="006A2292"/>
    <w:rsid w:val="006A2517"/>
    <w:rsid w:val="006A3927"/>
    <w:rsid w:val="006A42AB"/>
    <w:rsid w:val="006A439B"/>
    <w:rsid w:val="006A6FBF"/>
    <w:rsid w:val="006B0DD2"/>
    <w:rsid w:val="006B5FE2"/>
    <w:rsid w:val="006B6002"/>
    <w:rsid w:val="006B66AE"/>
    <w:rsid w:val="006B7213"/>
    <w:rsid w:val="006C0FE6"/>
    <w:rsid w:val="006C26B7"/>
    <w:rsid w:val="006C7A2E"/>
    <w:rsid w:val="006D21CF"/>
    <w:rsid w:val="006D228C"/>
    <w:rsid w:val="006D24BC"/>
    <w:rsid w:val="006D3114"/>
    <w:rsid w:val="006D3660"/>
    <w:rsid w:val="006D5C08"/>
    <w:rsid w:val="006E083D"/>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73AF"/>
    <w:rsid w:val="00721E76"/>
    <w:rsid w:val="00726D59"/>
    <w:rsid w:val="00727347"/>
    <w:rsid w:val="00730D79"/>
    <w:rsid w:val="00732433"/>
    <w:rsid w:val="00737EEE"/>
    <w:rsid w:val="00741C80"/>
    <w:rsid w:val="00742161"/>
    <w:rsid w:val="00745774"/>
    <w:rsid w:val="00750352"/>
    <w:rsid w:val="00751CDE"/>
    <w:rsid w:val="007533E8"/>
    <w:rsid w:val="007579C4"/>
    <w:rsid w:val="00760150"/>
    <w:rsid w:val="00760203"/>
    <w:rsid w:val="00764703"/>
    <w:rsid w:val="00773621"/>
    <w:rsid w:val="00775569"/>
    <w:rsid w:val="0077558A"/>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02D"/>
    <w:rsid w:val="007B5227"/>
    <w:rsid w:val="007B5878"/>
    <w:rsid w:val="007B60AB"/>
    <w:rsid w:val="007B7E11"/>
    <w:rsid w:val="007C0FB5"/>
    <w:rsid w:val="007C6538"/>
    <w:rsid w:val="007C65E2"/>
    <w:rsid w:val="007D356F"/>
    <w:rsid w:val="007D3F54"/>
    <w:rsid w:val="007D5984"/>
    <w:rsid w:val="007D6B36"/>
    <w:rsid w:val="007D749A"/>
    <w:rsid w:val="007D752B"/>
    <w:rsid w:val="007E1621"/>
    <w:rsid w:val="007E4BC6"/>
    <w:rsid w:val="007E4E63"/>
    <w:rsid w:val="007E54D2"/>
    <w:rsid w:val="007E6D3A"/>
    <w:rsid w:val="007F2D1B"/>
    <w:rsid w:val="007F53F2"/>
    <w:rsid w:val="007F5B0F"/>
    <w:rsid w:val="008030B8"/>
    <w:rsid w:val="00804754"/>
    <w:rsid w:val="008053B5"/>
    <w:rsid w:val="00812BB4"/>
    <w:rsid w:val="00821238"/>
    <w:rsid w:val="00832162"/>
    <w:rsid w:val="00832FEF"/>
    <w:rsid w:val="00833244"/>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1CB2"/>
    <w:rsid w:val="00875394"/>
    <w:rsid w:val="00875B4F"/>
    <w:rsid w:val="008807C3"/>
    <w:rsid w:val="0088105E"/>
    <w:rsid w:val="00892942"/>
    <w:rsid w:val="0089459D"/>
    <w:rsid w:val="0089474D"/>
    <w:rsid w:val="00895275"/>
    <w:rsid w:val="008A228F"/>
    <w:rsid w:val="008A3DB9"/>
    <w:rsid w:val="008A4B31"/>
    <w:rsid w:val="008A6698"/>
    <w:rsid w:val="008B192A"/>
    <w:rsid w:val="008B1B07"/>
    <w:rsid w:val="008B30EB"/>
    <w:rsid w:val="008B4AE8"/>
    <w:rsid w:val="008C0CBE"/>
    <w:rsid w:val="008C0D68"/>
    <w:rsid w:val="008C1BF9"/>
    <w:rsid w:val="008C6628"/>
    <w:rsid w:val="008C66EA"/>
    <w:rsid w:val="008C68E4"/>
    <w:rsid w:val="008C6C29"/>
    <w:rsid w:val="008D3460"/>
    <w:rsid w:val="008D44AA"/>
    <w:rsid w:val="008D4B80"/>
    <w:rsid w:val="008D50DB"/>
    <w:rsid w:val="008D727A"/>
    <w:rsid w:val="008E098E"/>
    <w:rsid w:val="008E198E"/>
    <w:rsid w:val="008E3DAF"/>
    <w:rsid w:val="008E42F0"/>
    <w:rsid w:val="008F2840"/>
    <w:rsid w:val="008F2A57"/>
    <w:rsid w:val="0090084D"/>
    <w:rsid w:val="00901ED2"/>
    <w:rsid w:val="00904A8C"/>
    <w:rsid w:val="00907747"/>
    <w:rsid w:val="00907A3D"/>
    <w:rsid w:val="00911C6B"/>
    <w:rsid w:val="00913796"/>
    <w:rsid w:val="00913B59"/>
    <w:rsid w:val="00914550"/>
    <w:rsid w:val="00915B93"/>
    <w:rsid w:val="009211A9"/>
    <w:rsid w:val="00924D1E"/>
    <w:rsid w:val="00926B64"/>
    <w:rsid w:val="00931124"/>
    <w:rsid w:val="00935D97"/>
    <w:rsid w:val="00935E58"/>
    <w:rsid w:val="00937910"/>
    <w:rsid w:val="00942DB3"/>
    <w:rsid w:val="009431C4"/>
    <w:rsid w:val="009447CF"/>
    <w:rsid w:val="009456A5"/>
    <w:rsid w:val="0094605D"/>
    <w:rsid w:val="00950B84"/>
    <w:rsid w:val="009524FF"/>
    <w:rsid w:val="00953C68"/>
    <w:rsid w:val="00956A72"/>
    <w:rsid w:val="00960A4F"/>
    <w:rsid w:val="009614FD"/>
    <w:rsid w:val="00962770"/>
    <w:rsid w:val="0096384F"/>
    <w:rsid w:val="00964E77"/>
    <w:rsid w:val="00965512"/>
    <w:rsid w:val="009667C6"/>
    <w:rsid w:val="00977627"/>
    <w:rsid w:val="009825C3"/>
    <w:rsid w:val="00984169"/>
    <w:rsid w:val="00987247"/>
    <w:rsid w:val="00991700"/>
    <w:rsid w:val="00992C56"/>
    <w:rsid w:val="009964BA"/>
    <w:rsid w:val="00997DA4"/>
    <w:rsid w:val="009A2B1A"/>
    <w:rsid w:val="009A456F"/>
    <w:rsid w:val="009B3AB9"/>
    <w:rsid w:val="009B60CA"/>
    <w:rsid w:val="009B7B2F"/>
    <w:rsid w:val="009B7ECA"/>
    <w:rsid w:val="009C2370"/>
    <w:rsid w:val="009C4D77"/>
    <w:rsid w:val="009D03F8"/>
    <w:rsid w:val="009D06D8"/>
    <w:rsid w:val="009D1C40"/>
    <w:rsid w:val="009D3BB5"/>
    <w:rsid w:val="009D4065"/>
    <w:rsid w:val="009D61EF"/>
    <w:rsid w:val="009E0631"/>
    <w:rsid w:val="009E386A"/>
    <w:rsid w:val="009E3C67"/>
    <w:rsid w:val="009E4193"/>
    <w:rsid w:val="009E77C8"/>
    <w:rsid w:val="009F052D"/>
    <w:rsid w:val="009F0578"/>
    <w:rsid w:val="009F31C2"/>
    <w:rsid w:val="009F3472"/>
    <w:rsid w:val="009F4AC4"/>
    <w:rsid w:val="00A000D9"/>
    <w:rsid w:val="00A00F88"/>
    <w:rsid w:val="00A013CB"/>
    <w:rsid w:val="00A02456"/>
    <w:rsid w:val="00A154AC"/>
    <w:rsid w:val="00A15B6B"/>
    <w:rsid w:val="00A20B68"/>
    <w:rsid w:val="00A20F3B"/>
    <w:rsid w:val="00A2158F"/>
    <w:rsid w:val="00A2575D"/>
    <w:rsid w:val="00A3175E"/>
    <w:rsid w:val="00A35CE6"/>
    <w:rsid w:val="00A36162"/>
    <w:rsid w:val="00A3649A"/>
    <w:rsid w:val="00A43F3F"/>
    <w:rsid w:val="00A4748B"/>
    <w:rsid w:val="00A552F7"/>
    <w:rsid w:val="00A579A1"/>
    <w:rsid w:val="00A61661"/>
    <w:rsid w:val="00A65E3E"/>
    <w:rsid w:val="00A664F4"/>
    <w:rsid w:val="00A6716F"/>
    <w:rsid w:val="00A70349"/>
    <w:rsid w:val="00A774A9"/>
    <w:rsid w:val="00A77F74"/>
    <w:rsid w:val="00A81A07"/>
    <w:rsid w:val="00A82036"/>
    <w:rsid w:val="00A83613"/>
    <w:rsid w:val="00A83763"/>
    <w:rsid w:val="00A83AF4"/>
    <w:rsid w:val="00A84DC0"/>
    <w:rsid w:val="00A86A16"/>
    <w:rsid w:val="00A9018E"/>
    <w:rsid w:val="00A91E46"/>
    <w:rsid w:val="00A93BE3"/>
    <w:rsid w:val="00A9470A"/>
    <w:rsid w:val="00A96EE5"/>
    <w:rsid w:val="00A971DE"/>
    <w:rsid w:val="00AA6AE2"/>
    <w:rsid w:val="00AA7087"/>
    <w:rsid w:val="00AB22DF"/>
    <w:rsid w:val="00AB2A74"/>
    <w:rsid w:val="00AB6346"/>
    <w:rsid w:val="00AB636D"/>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7C96"/>
    <w:rsid w:val="00B42C4D"/>
    <w:rsid w:val="00B43411"/>
    <w:rsid w:val="00B50E94"/>
    <w:rsid w:val="00B51C2F"/>
    <w:rsid w:val="00B60C0C"/>
    <w:rsid w:val="00B65955"/>
    <w:rsid w:val="00B67202"/>
    <w:rsid w:val="00B6736D"/>
    <w:rsid w:val="00B67F3B"/>
    <w:rsid w:val="00B72FB6"/>
    <w:rsid w:val="00B7369D"/>
    <w:rsid w:val="00B73B9E"/>
    <w:rsid w:val="00B73EB3"/>
    <w:rsid w:val="00B75708"/>
    <w:rsid w:val="00B772B0"/>
    <w:rsid w:val="00B774C5"/>
    <w:rsid w:val="00B802F8"/>
    <w:rsid w:val="00B81980"/>
    <w:rsid w:val="00B820AF"/>
    <w:rsid w:val="00B85812"/>
    <w:rsid w:val="00B85AC5"/>
    <w:rsid w:val="00B91B5E"/>
    <w:rsid w:val="00B9202D"/>
    <w:rsid w:val="00B92153"/>
    <w:rsid w:val="00B928D4"/>
    <w:rsid w:val="00B92B01"/>
    <w:rsid w:val="00B9301F"/>
    <w:rsid w:val="00B9642C"/>
    <w:rsid w:val="00B96D35"/>
    <w:rsid w:val="00BA3B73"/>
    <w:rsid w:val="00BA7554"/>
    <w:rsid w:val="00BB633E"/>
    <w:rsid w:val="00BB7081"/>
    <w:rsid w:val="00BB769D"/>
    <w:rsid w:val="00BC0E33"/>
    <w:rsid w:val="00BC1315"/>
    <w:rsid w:val="00BC4F86"/>
    <w:rsid w:val="00BC5994"/>
    <w:rsid w:val="00BC6F40"/>
    <w:rsid w:val="00BC78E3"/>
    <w:rsid w:val="00BD25E6"/>
    <w:rsid w:val="00BD4400"/>
    <w:rsid w:val="00BD6FBB"/>
    <w:rsid w:val="00BE2BE2"/>
    <w:rsid w:val="00BE4451"/>
    <w:rsid w:val="00BE64CD"/>
    <w:rsid w:val="00BE68A0"/>
    <w:rsid w:val="00BE6CF8"/>
    <w:rsid w:val="00BF045B"/>
    <w:rsid w:val="00BF0A51"/>
    <w:rsid w:val="00BF392D"/>
    <w:rsid w:val="00BF48E5"/>
    <w:rsid w:val="00BF7AF9"/>
    <w:rsid w:val="00C00894"/>
    <w:rsid w:val="00C02ED5"/>
    <w:rsid w:val="00C05035"/>
    <w:rsid w:val="00C17E93"/>
    <w:rsid w:val="00C226E7"/>
    <w:rsid w:val="00C24480"/>
    <w:rsid w:val="00C24DA6"/>
    <w:rsid w:val="00C25321"/>
    <w:rsid w:val="00C33C96"/>
    <w:rsid w:val="00C3792B"/>
    <w:rsid w:val="00C44BE4"/>
    <w:rsid w:val="00C4599A"/>
    <w:rsid w:val="00C5075B"/>
    <w:rsid w:val="00C5161C"/>
    <w:rsid w:val="00C54D12"/>
    <w:rsid w:val="00C54F6C"/>
    <w:rsid w:val="00C5519D"/>
    <w:rsid w:val="00C56AE9"/>
    <w:rsid w:val="00C60948"/>
    <w:rsid w:val="00C61E15"/>
    <w:rsid w:val="00C6549F"/>
    <w:rsid w:val="00C6707B"/>
    <w:rsid w:val="00C67316"/>
    <w:rsid w:val="00C67B29"/>
    <w:rsid w:val="00C75DFC"/>
    <w:rsid w:val="00C76669"/>
    <w:rsid w:val="00C82A97"/>
    <w:rsid w:val="00C83413"/>
    <w:rsid w:val="00C85560"/>
    <w:rsid w:val="00C8572B"/>
    <w:rsid w:val="00C85DCF"/>
    <w:rsid w:val="00C90259"/>
    <w:rsid w:val="00C902EC"/>
    <w:rsid w:val="00C90A3E"/>
    <w:rsid w:val="00C914D3"/>
    <w:rsid w:val="00C9478F"/>
    <w:rsid w:val="00CA06A9"/>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C0B"/>
    <w:rsid w:val="00CE22D7"/>
    <w:rsid w:val="00CE42AC"/>
    <w:rsid w:val="00CE42AF"/>
    <w:rsid w:val="00CE4452"/>
    <w:rsid w:val="00CE5697"/>
    <w:rsid w:val="00CE69C0"/>
    <w:rsid w:val="00CE7699"/>
    <w:rsid w:val="00CF070F"/>
    <w:rsid w:val="00CF1F6D"/>
    <w:rsid w:val="00CF36A1"/>
    <w:rsid w:val="00CF4650"/>
    <w:rsid w:val="00CF62DE"/>
    <w:rsid w:val="00CF7137"/>
    <w:rsid w:val="00CF74B2"/>
    <w:rsid w:val="00D0359E"/>
    <w:rsid w:val="00D03EDB"/>
    <w:rsid w:val="00D070B3"/>
    <w:rsid w:val="00D1344A"/>
    <w:rsid w:val="00D17476"/>
    <w:rsid w:val="00D2076C"/>
    <w:rsid w:val="00D20D55"/>
    <w:rsid w:val="00D21177"/>
    <w:rsid w:val="00D271EF"/>
    <w:rsid w:val="00D31980"/>
    <w:rsid w:val="00D330A7"/>
    <w:rsid w:val="00D35AFA"/>
    <w:rsid w:val="00D35F9B"/>
    <w:rsid w:val="00D37355"/>
    <w:rsid w:val="00D41480"/>
    <w:rsid w:val="00D42DA5"/>
    <w:rsid w:val="00D45566"/>
    <w:rsid w:val="00D45A8B"/>
    <w:rsid w:val="00D45DBD"/>
    <w:rsid w:val="00D461C7"/>
    <w:rsid w:val="00D4675C"/>
    <w:rsid w:val="00D4742B"/>
    <w:rsid w:val="00D4799E"/>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00D5"/>
    <w:rsid w:val="00D81106"/>
    <w:rsid w:val="00D815B8"/>
    <w:rsid w:val="00D838C9"/>
    <w:rsid w:val="00D85C53"/>
    <w:rsid w:val="00D86D49"/>
    <w:rsid w:val="00D87FF6"/>
    <w:rsid w:val="00D90245"/>
    <w:rsid w:val="00D920AF"/>
    <w:rsid w:val="00D92439"/>
    <w:rsid w:val="00D9258A"/>
    <w:rsid w:val="00D946F2"/>
    <w:rsid w:val="00DA0A56"/>
    <w:rsid w:val="00DA1AB8"/>
    <w:rsid w:val="00DA70FE"/>
    <w:rsid w:val="00DB10D4"/>
    <w:rsid w:val="00DB10EB"/>
    <w:rsid w:val="00DB22A4"/>
    <w:rsid w:val="00DB304A"/>
    <w:rsid w:val="00DB3B21"/>
    <w:rsid w:val="00DB7317"/>
    <w:rsid w:val="00DC05D2"/>
    <w:rsid w:val="00DC0D8B"/>
    <w:rsid w:val="00DC115E"/>
    <w:rsid w:val="00DC3D47"/>
    <w:rsid w:val="00DC4443"/>
    <w:rsid w:val="00DC59A0"/>
    <w:rsid w:val="00DC7192"/>
    <w:rsid w:val="00DD43E3"/>
    <w:rsid w:val="00DD5E83"/>
    <w:rsid w:val="00DE217E"/>
    <w:rsid w:val="00DE413B"/>
    <w:rsid w:val="00DF0151"/>
    <w:rsid w:val="00DF1DFC"/>
    <w:rsid w:val="00DF3248"/>
    <w:rsid w:val="00DF3F92"/>
    <w:rsid w:val="00DF42E0"/>
    <w:rsid w:val="00DF7257"/>
    <w:rsid w:val="00E010F9"/>
    <w:rsid w:val="00E025CE"/>
    <w:rsid w:val="00E02E84"/>
    <w:rsid w:val="00E047DB"/>
    <w:rsid w:val="00E06195"/>
    <w:rsid w:val="00E07C1E"/>
    <w:rsid w:val="00E1300B"/>
    <w:rsid w:val="00E1337B"/>
    <w:rsid w:val="00E1498B"/>
    <w:rsid w:val="00E22909"/>
    <w:rsid w:val="00E268F6"/>
    <w:rsid w:val="00E2743D"/>
    <w:rsid w:val="00E2776B"/>
    <w:rsid w:val="00E30E45"/>
    <w:rsid w:val="00E3188C"/>
    <w:rsid w:val="00E34612"/>
    <w:rsid w:val="00E3536B"/>
    <w:rsid w:val="00E35F86"/>
    <w:rsid w:val="00E36857"/>
    <w:rsid w:val="00E36AF0"/>
    <w:rsid w:val="00E37BF6"/>
    <w:rsid w:val="00E440D3"/>
    <w:rsid w:val="00E525AC"/>
    <w:rsid w:val="00E52D6F"/>
    <w:rsid w:val="00E535B1"/>
    <w:rsid w:val="00E55900"/>
    <w:rsid w:val="00E55BE7"/>
    <w:rsid w:val="00E55F21"/>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66C0"/>
    <w:rsid w:val="00EA7866"/>
    <w:rsid w:val="00EB33DC"/>
    <w:rsid w:val="00EB4D6A"/>
    <w:rsid w:val="00EC06A0"/>
    <w:rsid w:val="00EC2200"/>
    <w:rsid w:val="00EC2353"/>
    <w:rsid w:val="00EC5414"/>
    <w:rsid w:val="00EC6A96"/>
    <w:rsid w:val="00ED3FBE"/>
    <w:rsid w:val="00ED428D"/>
    <w:rsid w:val="00ED6A22"/>
    <w:rsid w:val="00ED7762"/>
    <w:rsid w:val="00EE6E48"/>
    <w:rsid w:val="00EF1F55"/>
    <w:rsid w:val="00EF5961"/>
    <w:rsid w:val="00F03AA3"/>
    <w:rsid w:val="00F100D1"/>
    <w:rsid w:val="00F1092B"/>
    <w:rsid w:val="00F10AC4"/>
    <w:rsid w:val="00F14501"/>
    <w:rsid w:val="00F14E0A"/>
    <w:rsid w:val="00F157D7"/>
    <w:rsid w:val="00F17923"/>
    <w:rsid w:val="00F2551B"/>
    <w:rsid w:val="00F264B3"/>
    <w:rsid w:val="00F26C6D"/>
    <w:rsid w:val="00F27D47"/>
    <w:rsid w:val="00F341E5"/>
    <w:rsid w:val="00F352FD"/>
    <w:rsid w:val="00F3683D"/>
    <w:rsid w:val="00F372E3"/>
    <w:rsid w:val="00F37B3D"/>
    <w:rsid w:val="00F41538"/>
    <w:rsid w:val="00F42337"/>
    <w:rsid w:val="00F43CBF"/>
    <w:rsid w:val="00F503D7"/>
    <w:rsid w:val="00F51A73"/>
    <w:rsid w:val="00F5674D"/>
    <w:rsid w:val="00F5794B"/>
    <w:rsid w:val="00F6170A"/>
    <w:rsid w:val="00F627AF"/>
    <w:rsid w:val="00F62892"/>
    <w:rsid w:val="00F634B6"/>
    <w:rsid w:val="00F63B14"/>
    <w:rsid w:val="00F66098"/>
    <w:rsid w:val="00F669BB"/>
    <w:rsid w:val="00F7245E"/>
    <w:rsid w:val="00F729FD"/>
    <w:rsid w:val="00F7305C"/>
    <w:rsid w:val="00F7700E"/>
    <w:rsid w:val="00F7725B"/>
    <w:rsid w:val="00F82888"/>
    <w:rsid w:val="00F84320"/>
    <w:rsid w:val="00F85D12"/>
    <w:rsid w:val="00F8698E"/>
    <w:rsid w:val="00F87530"/>
    <w:rsid w:val="00F877BE"/>
    <w:rsid w:val="00F903C9"/>
    <w:rsid w:val="00F93338"/>
    <w:rsid w:val="00F959D2"/>
    <w:rsid w:val="00FA1950"/>
    <w:rsid w:val="00FA5308"/>
    <w:rsid w:val="00FA57CF"/>
    <w:rsid w:val="00FB1294"/>
    <w:rsid w:val="00FB1D9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7DC"/>
    <w:rsid w:val="00FE13D7"/>
    <w:rsid w:val="00FE2951"/>
    <w:rsid w:val="00FE3109"/>
    <w:rsid w:val="00FF0C1C"/>
    <w:rsid w:val="00FF181C"/>
    <w:rsid w:val="00FF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fpub.epa.gov/si/si_public_record_report.cfm?Lab=NRMRL&amp;dirEntryId=34647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www.virginiamercury.com/2019/09/24/four-things-to-know-about-dominions-massive-wind-farm-proposa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ge.com/renewableenergy/wind-energy/offshore-wind/haliade-x-offshore-turb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2.xml><?xml version="1.0" encoding="utf-8"?>
<ds:datastoreItem xmlns:ds="http://schemas.openxmlformats.org/officeDocument/2006/customXml" ds:itemID="{190A7CC8-61DB-4D2F-9124-27AEBEEEB8E0}">
  <ds:schemaRefs>
    <ds:schemaRef ds:uri="http://schemas.microsoft.com/sharepoint/v3"/>
    <ds:schemaRef ds:uri="http://purl.org/dc/terms/"/>
    <ds:schemaRef ds:uri="a65fb547-1b02-4b77-882d-72553d3f5ce5"/>
    <ds:schemaRef ds:uri="http://schemas.microsoft.com/office/infopath/2007/PartnerControls"/>
    <ds:schemaRef ds:uri="http://schemas.microsoft.com/office/2006/documentManagement/types"/>
    <ds:schemaRef ds:uri="http://schemas.openxmlformats.org/package/2006/metadata/core-properties"/>
    <ds:schemaRef ds:uri="5ddedca0-709f-4917-a305-42d5cb3ea1ba"/>
    <ds:schemaRef ds:uri="http://schemas.microsoft.com/sharepoint/v3/fields"/>
    <ds:schemaRef ds:uri="http://purl.org/dc/elements/1.1/"/>
    <ds:schemaRef ds:uri="http://schemas.microsoft.com/office/2006/metadata/properties"/>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B82CE6-8A4C-40E1-A7AC-068EC2348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15</Pages>
  <Words>14094</Words>
  <Characters>80338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57</cp:revision>
  <cp:lastPrinted>2019-10-21T15:02:00Z</cp:lastPrinted>
  <dcterms:created xsi:type="dcterms:W3CDTF">2019-12-10T14:51:00Z</dcterms:created>
  <dcterms:modified xsi:type="dcterms:W3CDTF">2019-12-10T21:53:00Z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