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59988C2B" w:rsidR="008570E5" w:rsidRDefault="00211655" w:rsidP="00FD3B07">
      <w:pPr>
        <w:pStyle w:val="Heading1"/>
        <w:spacing w:before="0"/>
        <w:contextualSpacing/>
        <w:jc w:val="both"/>
      </w:pPr>
      <w:r>
        <w:t>Modeling the Contribution of Offshore Wind to the Grid Mix and Air Quality Implications: National Approach</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7CD09671" w14:textId="094207BB" w:rsidR="00712618" w:rsidRDefault="004A1D98" w:rsidP="001A19F3">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303F12">
        <w:t xml:space="preserve">energy futures that include varying OSW </w:t>
      </w:r>
      <w:r w:rsidR="00087B87" w:rsidRPr="00134E75">
        <w:t xml:space="preserve">cost curves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087B87" w:rsidRPr="00134E75">
        <w:t xml:space="preserve"> scenarios to measure the changes in the energy mix and quantify </w:t>
      </w:r>
      <w:r w:rsidR="00F669BB">
        <w:t>OSW’s</w:t>
      </w:r>
      <w:r w:rsidR="00087B87" w:rsidRPr="00134E75">
        <w:t xml:space="preserve"> impact on the resulting emissions.  </w:t>
      </w:r>
    </w:p>
    <w:p w14:paraId="6C646FB0" w14:textId="77777777" w:rsidR="00712618" w:rsidRDefault="00712618" w:rsidP="001A19F3">
      <w:pPr>
        <w:spacing w:after="0"/>
        <w:contextualSpacing/>
        <w:jc w:val="both"/>
      </w:pPr>
    </w:p>
    <w:p w14:paraId="7E7A583C" w14:textId="35902539" w:rsidR="001471FB" w:rsidRDefault="00712618" w:rsidP="001A19F3">
      <w:pPr>
        <w:spacing w:after="0"/>
        <w:contextualSpacing/>
        <w:jc w:val="both"/>
      </w:pPr>
      <w:r w:rsidRPr="00134E75">
        <w:t>For this analysis, an energy system modeling approach is used to generate and explore potential energy futures. The approach uses the Integrated MARKAL-EFOM System</w:t>
      </w:r>
      <w:r w:rsidR="004A0476">
        <w:t xml:space="preserve"> </w:t>
      </w:r>
      <w:r w:rsidRPr="00134E75">
        <w:t>energy system model</w:t>
      </w:r>
      <w:r w:rsidR="00CF36A1" w:rsidRPr="00134E75">
        <w:t xml:space="preserve"> (TIMES) </w:t>
      </w:r>
      <w:r w:rsidRPr="00134E75">
        <w:t xml:space="preserve">and a database representation of the U.S. energy system called the EPAUS9rT, applying a nested parametric sensitivity analysis to represent potential futures. Combinations of carbon mitigation stringencies and </w:t>
      </w:r>
      <w:r w:rsidR="001507A4">
        <w:t>OSW</w:t>
      </w:r>
      <w:r w:rsidRPr="00134E75">
        <w:t xml:space="preserve"> cost curves created vastly different energy futures with comparably different emissions profiles. </w:t>
      </w:r>
      <w:r w:rsidR="001471FB" w:rsidRPr="00134E75">
        <w:t xml:space="preserve">This sensitivity analysis allows us to explore the benefits of </w:t>
      </w:r>
      <w:r w:rsidR="001507A4">
        <w:t>OSW</w:t>
      </w:r>
      <w:r w:rsidR="001471FB" w:rsidRPr="00134E75">
        <w:t xml:space="preserve"> as an energy source within the U.S. as it relates to air quality and GHG emissions reductions.  We look at results both nationally and regionally, analyzing the differences in regional adoption of </w:t>
      </w:r>
      <w:r w:rsidR="001507A4">
        <w:t>OSW</w:t>
      </w:r>
      <w:r w:rsidR="001471FB" w:rsidRPr="00134E75">
        <w:t xml:space="preserve"> and how access to this technology provides a broader range of emission reduction options for the power sector. </w:t>
      </w:r>
    </w:p>
    <w:p w14:paraId="24B46F4C" w14:textId="77777777" w:rsidR="008570E5" w:rsidRDefault="008570E5" w:rsidP="00FD3B07">
      <w:pPr>
        <w:spacing w:after="0"/>
        <w:contextualSpacing/>
        <w:jc w:val="both"/>
      </w:pPr>
    </w:p>
    <w:p w14:paraId="391E716E" w14:textId="4FC300A3" w:rsidR="00DF0151" w:rsidRDefault="008570E5" w:rsidP="00FD3B07">
      <w:pPr>
        <w:pStyle w:val="Heading2"/>
        <w:spacing w:before="0"/>
        <w:contextualSpacing/>
        <w:jc w:val="both"/>
      </w:pPr>
      <w:r>
        <w:t>Introduction</w:t>
      </w:r>
      <w:r w:rsidR="004262BF">
        <w:t xml:space="preserve"> and objectives</w:t>
      </w:r>
    </w:p>
    <w:p w14:paraId="5FF252FD" w14:textId="77777777" w:rsidR="00DF0151" w:rsidRPr="00DF0151" w:rsidRDefault="00DF0151" w:rsidP="00FD3B07">
      <w:pPr>
        <w:spacing w:after="0"/>
        <w:contextualSpacing/>
        <w:jc w:val="both"/>
      </w:pPr>
    </w:p>
    <w:p w14:paraId="6E669F6E" w14:textId="4C6658F5" w:rsidR="00CE22D7" w:rsidRDefault="001507A4" w:rsidP="00FD3B07">
      <w:pPr>
        <w:spacing w:after="0"/>
        <w:contextualSpacing/>
        <w:jc w:val="both"/>
      </w:pPr>
      <w:r>
        <w:t>OSW</w:t>
      </w:r>
      <w:r w:rsidR="00CE22D7">
        <w:t xml:space="preserve"> is a renewable energy </w:t>
      </w:r>
      <w:r w:rsidR="00836741">
        <w:t>re</w:t>
      </w:r>
      <w:r w:rsidR="00CE22D7">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0E26CC">
        <w:t xml:space="preserve"> </w:t>
      </w:r>
      <w:r w:rsidR="000E26CC">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NzYiPjc0PC9rZXk+PC9mb3JlaWduLWtleXM+PHJlZi10eXBlIG5hbWU9IkRhdGFzZXQiPjU5PC9y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</w:fldData>
        </w:fldChar>
      </w:r>
      <w:r w:rsidR="0007766E">
        <w:instrText xml:space="preserve"> ADDIN EN.CITE </w:instrText>
      </w:r>
      <w:r w:rsidR="0007766E">
        <w:fldChar w:fldCharType="begin">
          <w:fldData xml:space="preserve">PEVuZE5vdGU+PENpdGU+PEF1dGhvcj5OT0FBPC9BdXRob3I+PFllYXI+MjAxNDwvWWVhcj48UmVj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</w:fldData>
        </w:fldChar>
      </w:r>
      <w:r w:rsidR="0007766E">
        <w:instrText xml:space="preserve"> ADDIN EN.CITE.DATA </w:instrText>
      </w:r>
      <w:r w:rsidR="0007766E">
        <w:fldChar w:fldCharType="end"/>
      </w:r>
      <w:r w:rsidR="000E26CC">
        <w:fldChar w:fldCharType="separate"/>
      </w:r>
      <w:r w:rsidR="00780067">
        <w:rPr>
          <w:noProof/>
        </w:rPr>
        <w:t>(NOAA, 2013, 2014; Ringkjob, Haugan, &amp; Solbrekke, 2018)</w:t>
      </w:r>
      <w:r w:rsidR="000E26CC">
        <w:fldChar w:fldCharType="end"/>
      </w:r>
      <w:r w:rsidR="00C82A97">
        <w:t>.</w:t>
      </w:r>
      <w:r w:rsidR="000E26CC">
        <w:t xml:space="preserve"> </w:t>
      </w:r>
      <w:r w:rsidR="00C82A97">
        <w:t>This means electricity consumption is growing and there is less area available for development. More so, the area that is available is expensive due to availability constraints.</w:t>
      </w:r>
      <w:r w:rsidR="00E025CE">
        <w:t xml:space="preserve"> </w:t>
      </w:r>
      <w:r>
        <w:t>OSW</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07766E">
        <w:instrText xml:space="preserve"> ADDIN EN.CITE &lt;EndNote&gt;&lt;Cite&gt;&lt;Author&gt;Musial&lt;/Author&gt;&lt;Year&gt;2016&lt;/Year&gt;&lt;RecNum&gt;72&lt;/RecNum&gt;&lt;DisplayText&gt;(Musial, Heimiller, Beiter, Scott, &amp;amp; Draxl, 2016)&lt;/DisplayText&gt;&lt;record&gt;&lt;rec-number&gt;72&lt;/rec-number&gt;&lt;foreign-keys&gt;&lt;key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780067">
        <w:rPr>
          <w:noProof/>
        </w:rPr>
        <w:t>(Musial, Heimiller, Beiter, Scott, &amp; Draxl, 2016)</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 turbine Block Island Wind Farm </w:t>
      </w:r>
      <w:r w:rsidR="00832162">
        <w:t xml:space="preserve">that </w:t>
      </w:r>
      <w:r w:rsidR="00832162" w:rsidRPr="00134E75">
        <w:t xml:space="preserve">began commercial operation as the first </w:t>
      </w:r>
      <w:r>
        <w:t>OSW</w:t>
      </w:r>
      <w:r w:rsidR="00832162" w:rsidRPr="00134E75">
        <w:t xml:space="preserve"> farm in the US</w:t>
      </w:r>
      <w:r w:rsidR="00832162">
        <w:t xml:space="preserve"> in late 2016</w:t>
      </w:r>
      <w:r w:rsidR="00832162" w:rsidRPr="00134E75">
        <w:t xml:space="preserve">.  </w:t>
      </w:r>
      <w:r w:rsidR="00E025CE">
        <w:t xml:space="preserve">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Pr="00134E75" w:rsidRDefault="000B38A2" w:rsidP="00FD3B07">
      <w:pPr>
        <w:spacing w:after="0"/>
        <w:contextualSpacing/>
        <w:jc w:val="both"/>
      </w:pPr>
    </w:p>
    <w:p w14:paraId="662A36F8" w14:textId="19CBBC55"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07766E">
        <w:instrText xml:space="preserve"> ADDIN EN.CITE &lt;EndNote&gt;&lt;Cite&gt;&lt;Author&gt;NCCETC&lt;/Author&gt;&lt;Year&gt;2019&lt;/Year&gt;&lt;RecNum&gt;75&lt;/RecNum&gt;&lt;DisplayText&gt;(C2ES, 2019; NCCETC, 2019)&lt;/DisplayText&gt;&lt;record&gt;&lt;rec-number&gt;75&lt;/rec-number&gt;&lt;foreign-keys&gt;&lt;key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780067">
        <w:rPr>
          <w:noProof/>
        </w:rPr>
        <w:t>(C2ES, 2019; NCCETC, 2019)</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 an increase of 5% from 2017</w:t>
      </w:r>
      <w:r w:rsidR="00464FDB">
        <w:t xml:space="preserve"> </w:t>
      </w:r>
      <w:r w:rsidR="00464FDB">
        <w:fldChar w:fldCharType="begin"/>
      </w:r>
      <w:r w:rsidR="0007766E">
        <w:instrText xml:space="preserve"> ADDIN EN.CITE &lt;EndNote&gt;&lt;Cite&gt;&lt;Author&gt;U.S. EIA&lt;/Author&gt;&lt;Year&gt;2018&lt;/Year&gt;&lt;RecNum&gt;77&lt;/RecNum&gt;&lt;DisplayText&gt;(U.S. EIA, 2018a, 2018b)&lt;/DisplayText&gt;&lt;record&gt;&lt;rec-number&gt;77&lt;/rec-number&gt;&lt;foreign-keys&gt;&lt;key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780067">
        <w:rPr>
          <w:noProof/>
        </w:rPr>
        <w:t>(U.S. EIA, 2018a, 2018b)</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FD3B07">
      <w:pPr>
        <w:spacing w:after="0"/>
        <w:contextualSpacing/>
        <w:jc w:val="both"/>
      </w:pPr>
    </w:p>
    <w:p w14:paraId="15EC8730" w14:textId="08446E48" w:rsidR="00730D79" w:rsidRDefault="000E1F1A" w:rsidP="00FD3B07">
      <w:pPr>
        <w:spacing w:after="0"/>
        <w:contextualSpacing/>
        <w:jc w:val="both"/>
      </w:pPr>
      <w:r w:rsidRPr="00134E75">
        <w:t xml:space="preserve">With the growth of the </w:t>
      </w:r>
      <w:r w:rsidR="00232FEC" w:rsidRPr="00134E75">
        <w:t xml:space="preserve">offshore </w:t>
      </w:r>
      <w:r w:rsidRPr="00134E75">
        <w:t>industry in the US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25237E16" w:rsidR="00730D79" w:rsidRDefault="00B51C2F" w:rsidP="00FD3B07">
      <w:pPr>
        <w:spacing w:after="0"/>
        <w:contextualSpacing/>
        <w:jc w:val="both"/>
      </w:pPr>
      <w:r>
        <w:t xml:space="preserve">(1) </w:t>
      </w:r>
      <w:r w:rsidR="001507A4">
        <w:t>OSW</w:t>
      </w:r>
      <w:r w:rsidR="00730D79">
        <w:t xml:space="preserve"> Costs: </w:t>
      </w:r>
      <w:r w:rsidR="003B4A7E">
        <w:t xml:space="preserve">Supply chains are not yet developed in the US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lastRenderedPageBreak/>
        <w:t xml:space="preserve">However, there is a great deal of potential for a declining cost curve for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FD3B07">
      <w:pPr>
        <w:spacing w:after="0"/>
        <w:contextualSpacing/>
        <w:jc w:val="both"/>
      </w:pPr>
    </w:p>
    <w:p w14:paraId="26B02629" w14:textId="07CB3AB3"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6E4347">
        <w:t xml:space="preserve">the criteria air pollutants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4383CCD3" w:rsidR="00F264B3" w:rsidRDefault="00721E76" w:rsidP="00AF3266">
      <w:pPr>
        <w:spacing w:after="0"/>
        <w:contextualSpacing/>
        <w:jc w:val="both"/>
      </w:pPr>
      <w:r>
        <w:t>AEO 2019 predicts that electric sector emissions will remain flat through 2050, assuming there are no significant changes to laws and regulatio</w:t>
      </w:r>
      <w:r w:rsidR="004478A3">
        <w:t xml:space="preserve">n </w:t>
      </w:r>
      <w:r w:rsidR="004478A3">
        <w:fldChar w:fldCharType="begin"/>
      </w:r>
      <w:r w:rsidR="0007766E">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780067">
        <w:rPr>
          <w:noProof/>
        </w:rPr>
        <w:t>(U.S. EIA, 2019)</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US have a wide variety of sources; </w:t>
      </w:r>
      <w:r w:rsidR="001F4640">
        <w:t xml:space="preserve">54% comes 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7173AF">
        <w:t xml:space="preserve"> </w:t>
      </w:r>
      <w:r w:rsidR="007173AF">
        <w:fldChar w:fldCharType="begin"/>
      </w:r>
      <w:r w:rsidR="0007766E">
        <w:instrText xml:space="preserve"> ADDIN EN.CITE &lt;EndNote&gt;&lt;Cite&gt;&lt;Author&gt;U.S. EPA&lt;/Author&gt;&lt;Year&gt;2014&lt;/Year&gt;&lt;RecNum&gt;80&lt;/RecNum&gt;&lt;DisplayText&gt;(U.S. EPA, 2014, 2017)&lt;/DisplayText&gt;&lt;record&gt;&lt;rec-number&gt;80&lt;/rec-number&gt;&lt;foreign-keys&gt;&lt;key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780067">
        <w:rPr>
          <w:noProof/>
        </w:rPr>
        <w:t>(U.S. EPA, 2014, 2017)</w:t>
      </w:r>
      <w:r w:rsidR="007173AF">
        <w:fldChar w:fldCharType="end"/>
      </w:r>
      <w:r w:rsidR="00E02E84">
        <w:t>.</w:t>
      </w:r>
    </w:p>
    <w:p w14:paraId="6949CF79" w14:textId="77777777" w:rsidR="00C17E93" w:rsidRDefault="00C17E93" w:rsidP="00FD3B07">
      <w:pPr>
        <w:spacing w:after="0"/>
        <w:contextualSpacing/>
        <w:jc w:val="both"/>
      </w:pPr>
    </w:p>
    <w:p w14:paraId="05732443" w14:textId="08E268CB"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5F219939"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 xml:space="preserve">allows us to analyze the factors associated with the implementation of </w:t>
      </w:r>
      <w:r w:rsidR="001507A4">
        <w:t>OSW</w:t>
      </w:r>
      <w:r w:rsidR="00840F42" w:rsidRPr="00134E75">
        <w:t xml:space="preserve">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010F5841" w:rsidR="00D73F35" w:rsidRDefault="001507A4" w:rsidP="00D73F35">
      <w:pPr>
        <w:spacing w:after="0"/>
        <w:contextualSpacing/>
        <w:jc w:val="both"/>
      </w:pPr>
      <w:r>
        <w:t>OSW</w:t>
      </w:r>
      <w:r w:rsidR="00A000D9">
        <w:t xml:space="preserve"> in Europe accounts for over 80% of worldwide </w:t>
      </w:r>
      <w:r>
        <w:t>OSW</w:t>
      </w:r>
      <w:r w:rsidR="00A000D9" w:rsidRPr="00134E75">
        <w:t xml:space="preserve"> with over 18</w:t>
      </w:r>
      <w:r w:rsidR="00A000D9">
        <w:t>.9</w:t>
      </w:r>
      <w:r w:rsidR="00A000D9" w:rsidRPr="00134E75">
        <w:t xml:space="preserve"> GW of installed capacity</w:t>
      </w:r>
      <w:r w:rsidR="00D73F35">
        <w:t xml:space="preserve"> </w:t>
      </w:r>
      <w:r w:rsidR="00CC3599">
        <w:t xml:space="preserve">and </w:t>
      </w:r>
      <w:r w:rsidR="00D73F35">
        <w:t>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07766E">
        <w:instrText xml:space="preserve"> ADDIN EN.CITE &lt;EndNote&gt;&lt;Cite&gt;&lt;Year&gt;2019&lt;/Year&gt;&lt;RecNum&gt;59&lt;/RecNum&gt;&lt;DisplayText&gt;(GWEC, 2019)&lt;/DisplayText&gt;&lt;record&gt;&lt;rec-number&gt;59&lt;/rec-number&gt;&lt;foreign-keys&gt;&lt;key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780067">
        <w:rPr>
          <w:noProof/>
        </w:rPr>
        <w:t>(GWEC, 2019)</w:t>
      </w:r>
      <w:r w:rsidR="005A2E07">
        <w:fldChar w:fldCharType="end"/>
      </w:r>
      <w:r w:rsidR="00D73F35">
        <w:t>. Technically speaking, it is still at a relatively early stage of development, even in Europe, and prices are expected to fall further as the technology advances</w:t>
      </w:r>
      <w:r w:rsidR="00CF62DE">
        <w:t xml:space="preserve"> </w:t>
      </w:r>
      <w:r w:rsidR="00CF62DE">
        <w:fldChar w:fldCharType="begin"/>
      </w:r>
      <w:r w:rsidR="0007766E">
        <w:instrText xml:space="preserve"> ADDIN EN.CITE &lt;EndNote&gt;&lt;Cite&gt;&lt;Author&gt;John&lt;/Author&gt;&lt;Year&gt;2017&lt;/Year&gt;&lt;RecNum&gt;82&lt;/RecNum&gt;&lt;DisplayText&gt;(St. John, 2017)&lt;/DisplayText&gt;&lt;record&gt;&lt;rec-number&gt;82&lt;/rec-number&gt;&lt;foreign-keys&gt;&lt;key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780067">
        <w:rPr>
          <w:noProof/>
        </w:rPr>
        <w:t>(St. John, 2017)</w:t>
      </w:r>
      <w:r w:rsidR="00CF62DE">
        <w:fldChar w:fldCharType="end"/>
      </w:r>
      <w:r w:rsidR="00D73F35">
        <w:t>.</w:t>
      </w:r>
      <w:r w:rsidR="00CF62DE">
        <w:t xml:space="preserve"> </w:t>
      </w:r>
      <w:r w:rsidR="00D73F35">
        <w:t xml:space="preserve">In 2017 the National Renewable Energy Laboratory (NREL) published a study assessing the economic potential of </w:t>
      </w:r>
      <w:r>
        <w:t>OSW</w:t>
      </w:r>
      <w:r w:rsidR="00D73F35">
        <w:t xml:space="preserve"> in the US projected a decline of approximately 50% in the levelized cost of electricity (LCOE) of </w:t>
      </w:r>
      <w:r>
        <w:t>OSW</w:t>
      </w:r>
      <w:r w:rsidR="00D73F35">
        <w:t>, both shallow and deep, by 2030</w:t>
      </w:r>
      <w:r w:rsidR="00CF62DE">
        <w:t xml:space="preserve"> </w:t>
      </w:r>
      <w:r w:rsidR="00CF62DE">
        <w:fldChar w:fldCharType="begin"/>
      </w:r>
      <w:r w:rsidR="0007766E">
        <w:instrText xml:space="preserve"> ADDIN EN.CITE &lt;EndNote&gt;&lt;Cite&gt;&lt;Author&gt;Beiter&lt;/Author&gt;&lt;Year&gt;2017&lt;/Year&gt;&lt;RecNum&gt;54&lt;/RecNum&gt;&lt;DisplayText&gt;(Beiter, Musial, Kilcher, Maness, &amp;amp; Smith, 2017)&lt;/DisplayText&gt;&lt;record&gt;&lt;rec-number&gt;54&lt;/rec-number&gt;&lt;foreign-keys&gt;&lt;key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780067">
        <w:rPr>
          <w:noProof/>
        </w:rPr>
        <w:t>(Beiter, Musial, Kilcher, Maness, &amp; Smith, 2017)</w:t>
      </w:r>
      <w:r w:rsidR="00CF62DE">
        <w:fldChar w:fldCharType="end"/>
      </w:r>
      <w:r w:rsidR="00D73F35">
        <w:t>.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sidR="00CF62DE">
        <w:t xml:space="preserve"> </w:t>
      </w:r>
      <w:r w:rsidR="00CF62DE">
        <w:fldChar w:fldCharType="begin"/>
      </w:r>
      <w:r w:rsidR="0007766E">
        <w:instrText xml:space="preserve"> ADDIN EN.CITE &lt;EndNote&gt;&lt;Cite&gt;&lt;Author&gt;General Electric&lt;/Author&gt;&lt;Year&gt;2019&lt;/Year&gt;&lt;RecNum&gt;83&lt;/RecNum&gt;&lt;DisplayText&gt;(General Electric, 2019)&lt;/DisplayText&gt;&lt;record&gt;&lt;rec-number&gt;83&lt;/rec-number&gt;&lt;foreign-keys&gt;&lt;key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780067">
        <w:rPr>
          <w:noProof/>
        </w:rPr>
        <w:t>(General Electric, 2019)</w:t>
      </w:r>
      <w:r w:rsidR="00CF62DE">
        <w:fldChar w:fldCharType="end"/>
      </w:r>
      <w:r w:rsidR="00D73F35">
        <w:t>.</w:t>
      </w:r>
    </w:p>
    <w:p w14:paraId="4D309EC5" w14:textId="77777777" w:rsidR="00D73F35" w:rsidRDefault="00D73F35" w:rsidP="00D73F35">
      <w:pPr>
        <w:spacing w:after="0"/>
        <w:contextualSpacing/>
        <w:jc w:val="both"/>
      </w:pPr>
    </w:p>
    <w:p w14:paraId="5D47BD03" w14:textId="0D1667CF" w:rsidR="00D73F35" w:rsidRDefault="00D73F35" w:rsidP="00D73F35">
      <w:pPr>
        <w:spacing w:after="0"/>
        <w:contextualSpacing/>
        <w:jc w:val="both"/>
      </w:pPr>
      <w:r>
        <w:t>Steep LCOE decline has precedent in the US. Since 2009 the LCOE of solar PV and terrestrial wind have declined 88% and 69%, respectively</w:t>
      </w:r>
      <w:r w:rsidR="009964BA">
        <w:t xml:space="preserve"> </w:t>
      </w:r>
      <w:r w:rsidR="009964BA">
        <w:fldChar w:fldCharType="begin"/>
      </w:r>
      <w:r w:rsidR="0007766E">
        <w:instrText xml:space="preserve"> ADDIN EN.CITE &lt;EndNote&gt;&lt;Cite&gt;&lt;Author&gt;Lazard&lt;/Author&gt;&lt;Year&gt;2018&lt;/Year&gt;&lt;RecNum&gt;84&lt;/RecNum&gt;&lt;DisplayText&gt;(Lazard, 2018)&lt;/DisplayText&gt;&lt;record&gt;&lt;rec-number&gt;84&lt;/rec-number&gt;&lt;foreign-keys&gt;&lt;key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780067">
        <w:rPr>
          <w:noProof/>
        </w:rPr>
        <w:t>(Lazard, 2018)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However, </w:t>
      </w:r>
      <w:r w:rsidR="001507A4">
        <w:t>OSW</w:t>
      </w:r>
      <w:r>
        <w:t xml:space="preserve"> still stands as one of the most expensive generation resources available in the US</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8030B8">
        <w:t>.</w:t>
      </w:r>
      <w:r w:rsidR="009F0578">
        <w:t xml:space="preserve"> </w:t>
      </w:r>
      <w:proofErr w:type="gramStart"/>
      <w:r w:rsidR="0008787D">
        <w:t>*</w:t>
      </w:r>
      <w:proofErr w:type="gramEnd"/>
      <w:r w:rsidR="0008787D">
        <w:t>** ADD MORE</w:t>
      </w:r>
    </w:p>
    <w:p w14:paraId="24891264" w14:textId="77777777" w:rsidR="00CE5697" w:rsidRDefault="00CE5697" w:rsidP="00D73F35">
      <w:pPr>
        <w:spacing w:after="0"/>
        <w:contextualSpacing/>
        <w:jc w:val="both"/>
      </w:pPr>
    </w:p>
    <w:p w14:paraId="242B06F1" w14:textId="0EE3ED64" w:rsidR="00D73F35" w:rsidRDefault="00713F51" w:rsidP="00D73F35">
      <w:pPr>
        <w:spacing w:after="0"/>
        <w:contextualSpacing/>
        <w:jc w:val="center"/>
      </w:pPr>
      <w:r>
        <w:rPr>
          <w:noProof/>
        </w:rPr>
        <w:drawing>
          <wp:inline distT="0" distB="0" distL="0" distR="0" wp14:anchorId="354D536F" wp14:editId="0F1760A9">
            <wp:extent cx="5661660" cy="258127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39"/>
                    <a:stretch/>
                  </pic:blipFill>
                  <pic:spPr bwMode="auto">
                    <a:xfrm>
                      <a:off x="0" y="0"/>
                      <a:ext cx="5670712" cy="258540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16DF6E" w14:textId="1BDBC97C" w:rsidR="00907747" w:rsidRDefault="00907747" w:rsidP="00D73F35">
      <w:pPr>
        <w:spacing w:after="0"/>
        <w:contextualSpacing/>
        <w:jc w:val="center"/>
      </w:pPr>
      <w:r>
        <w:fldChar w:fldCharType="begin"/>
      </w:r>
      <w:r w:rsidR="0007766E">
        <w:instrText xml:space="preserve"> ADDIN EN.CITE &lt;EndNote&gt;&lt;Cite&gt;&lt;Author&gt;U.S. EIA&lt;/Author&gt;&lt;Year&gt;2019&lt;/Year&gt;&lt;RecNum&gt;79&lt;/RecNum&gt;&lt;DisplayText&gt;(U.S. EIA, 2019)&lt;/DisplayText&gt;&lt;record&gt;&lt;rec-number&gt;79&lt;/rec-number&gt;&lt;foreign-keys&gt;&lt;key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sidR="00780067">
        <w:rPr>
          <w:noProof/>
        </w:rPr>
        <w:t>(U.S. EIA, 2019)</w:t>
      </w:r>
      <w:r>
        <w:fldChar w:fldCharType="end"/>
      </w:r>
    </w:p>
    <w:p w14:paraId="0CC78389" w14:textId="77777777" w:rsidR="00840F42" w:rsidRDefault="00840F42" w:rsidP="00D73F35">
      <w:pPr>
        <w:spacing w:after="0"/>
        <w:contextualSpacing/>
        <w:jc w:val="center"/>
      </w:pPr>
    </w:p>
    <w:p w14:paraId="21B5FFC7" w14:textId="552DCA97" w:rsidR="00130066" w:rsidRDefault="00050B11" w:rsidP="00FD3B07">
      <w:pPr>
        <w:spacing w:after="0"/>
        <w:jc w:val="both"/>
      </w:pPr>
      <w:r>
        <w:t xml:space="preserve">Despite the high price of </w:t>
      </w:r>
      <w:r w:rsidR="001507A4">
        <w:t>OSW</w:t>
      </w:r>
      <w:r>
        <w:t xml:space="preserve"> in the US,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4D779B">
        <w:t xml:space="preserve"> </w:t>
      </w:r>
      <w:r w:rsidR="004D779B">
        <w:fldChar w:fldCharType="begin"/>
      </w:r>
      <w:r w:rsidR="0007766E">
        <w:instrText xml:space="preserve"> ADDIN EN.CITE &lt;EndNote&gt;&lt;Cite&gt;&lt;Author&gt;AWEA&lt;/Author&gt;&lt;Year&gt;2019&lt;/Year&gt;&lt;RecNum&gt;85&lt;/RecNum&gt;&lt;DisplayText&gt;(AWEA, 2019)&lt;/DisplayText&gt;&lt;record&gt;&lt;rec-number&gt;85&lt;/rec-number&gt;&lt;foreign-keys&gt;&lt;key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07766E">
        <w:rPr>
          <w:noProof/>
        </w:rPr>
        <w:t>(AWEA, 2019)</w:t>
      </w:r>
      <w:r w:rsidR="004D779B">
        <w:fldChar w:fldCharType="end"/>
      </w:r>
      <w:r w:rsidR="00130066">
        <w:t>:</w:t>
      </w:r>
    </w:p>
    <w:p w14:paraId="5E223FEC" w14:textId="0CDB0EF8" w:rsidR="00130066" w:rsidRDefault="00130066" w:rsidP="00FD3B07">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07766E">
        <w:instrText xml:space="preserve"> ADDIN EN.CITE &lt;EndNote&gt;&lt;Cite&gt;&lt;Year&gt;2018&lt;/Year&gt;&lt;RecNum&gt;86&lt;/RecNum&gt;&lt;DisplayText&gt;(&amp;quot;An Act to Advance Clean Energy,&amp;quot; 2018)&lt;/DisplayText&gt;&lt;record&gt;&lt;rec-number&gt;86&lt;/rec-number&gt;&lt;foreign-keys&gt;&lt;key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Massachusetts&lt;/tertiary-title&gt;&lt;/titles&gt;&lt;number&gt;H.4857&lt;/number&gt;&lt;edition&gt;190&lt;/edition&gt;&lt;dates&gt;&lt;year&gt;2018&lt;/year&gt;&lt;/dates&gt;&lt;urls&gt;&lt;/urls&gt;&lt;/record&gt;&lt;/Cite&gt;&lt;/EndNote&gt;</w:instrText>
      </w:r>
      <w:r w:rsidR="00B03F1E">
        <w:fldChar w:fldCharType="separate"/>
      </w:r>
      <w:r w:rsidR="00780067">
        <w:rPr>
          <w:noProof/>
        </w:rPr>
        <w:t>("An Act to Advance Clean Energy," 2018)</w:t>
      </w:r>
      <w:r w:rsidR="00B03F1E">
        <w:fldChar w:fldCharType="end"/>
      </w:r>
    </w:p>
    <w:p w14:paraId="3ED44FD4" w14:textId="1B7CC872" w:rsidR="00191DB4" w:rsidRDefault="00130066" w:rsidP="00FD3B07">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103CE5">
        <w:instrText xml:space="preserve"> ADDIN EN.CITE &lt;EndNote&gt;&lt;Cite&gt;&lt;Year&gt;2019&lt;/Year&gt;&lt;RecNum&gt;139&lt;/RecNum&gt;&lt;DisplayText&gt;(&amp;quot;Climate Leadership and Community Protection Act,&amp;quot; 2019)&lt;/DisplayText&gt;&lt;record&gt;&lt;rec-number&gt;139&lt;/rec-number&gt;&lt;foreign-keys&gt;&lt;key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103CE5">
        <w:rPr>
          <w:noProof/>
        </w:rPr>
        <w:t>("Climate Leadership and Community Protection Act," 2019)</w:t>
      </w:r>
      <w:r w:rsidR="00103CE5">
        <w:fldChar w:fldCharType="end"/>
      </w:r>
    </w:p>
    <w:p w14:paraId="55B8D0C3" w14:textId="398FBBDC" w:rsidR="00130066" w:rsidRDefault="00130066" w:rsidP="00FD3B07">
      <w:pPr>
        <w:pStyle w:val="ListParagraph"/>
        <w:numPr>
          <w:ilvl w:val="0"/>
          <w:numId w:val="3"/>
        </w:numPr>
        <w:spacing w:after="0"/>
        <w:jc w:val="both"/>
      </w:pPr>
      <w:r>
        <w:t xml:space="preserve">New Jersey: 2018 law outlining target to develop 3,500 MW of </w:t>
      </w:r>
      <w:r w:rsidR="001507A4">
        <w:t>OSW</w:t>
      </w:r>
      <w:r>
        <w:t xml:space="preserve"> by 2030</w:t>
      </w:r>
      <w:r w:rsidR="005C7190">
        <w:t xml:space="preserve">, the first 1,1000 MW of which have just been won by </w:t>
      </w:r>
      <w:proofErr w:type="spellStart"/>
      <w:r w:rsidR="00A77F74" w:rsidRPr="00A77F74">
        <w:t>Ørsted</w:t>
      </w:r>
      <w:proofErr w:type="spellEnd"/>
      <w:r w:rsidR="00DF42E0">
        <w:t xml:space="preserve"> </w:t>
      </w:r>
      <w:r w:rsidR="00DF42E0">
        <w:fldChar w:fldCharType="begin"/>
      </w:r>
      <w:r w:rsidR="0007766E">
        <w:instrText xml:space="preserve"> ADDIN EN.CITE &lt;EndNote&gt;&lt;Cite&gt;&lt;Author&gt;NJ Board of Public Utilities&lt;/Author&gt;&lt;Year&gt;2019&lt;/Year&gt;&lt;RecNum&gt;87&lt;/RecNum&gt;&lt;DisplayText&gt;(NJ Board of Public Utilities, 2019)&lt;/DisplayText&gt;&lt;record&gt;&lt;rec-number&gt;87&lt;/rec-number&gt;&lt;foreign-keys&gt;&lt;key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rsidR="00DF42E0">
        <w:fldChar w:fldCharType="separate"/>
      </w:r>
      <w:r w:rsidR="00780067">
        <w:rPr>
          <w:noProof/>
        </w:rPr>
        <w:t>(NJ Board of Public Utilities, 2019)</w:t>
      </w:r>
      <w:r w:rsidR="00DF42E0">
        <w:fldChar w:fldCharType="end"/>
      </w:r>
      <w:r w:rsidR="00DF42E0">
        <w:rPr>
          <w:rStyle w:val="EndnoteReference"/>
        </w:rPr>
        <w:t xml:space="preserve"> </w:t>
      </w:r>
      <w:r w:rsidR="00DF42E0">
        <w:t xml:space="preserve"> </w:t>
      </w:r>
    </w:p>
    <w:p w14:paraId="2E2DBE1B" w14:textId="791179F9" w:rsidR="00130066" w:rsidRDefault="00130066" w:rsidP="00FD3B07">
      <w:pPr>
        <w:pStyle w:val="ListParagraph"/>
        <w:numPr>
          <w:ilvl w:val="0"/>
          <w:numId w:val="3"/>
        </w:numPr>
        <w:spacing w:after="0"/>
        <w:jc w:val="both"/>
      </w:pPr>
      <w:r>
        <w:t xml:space="preserve">Maryland: 2013 </w:t>
      </w:r>
      <w:r w:rsidR="001507A4">
        <w:t>Offshore Wind</w:t>
      </w:r>
      <w:r>
        <w:t xml:space="preserve"> Energy Act developed Offshore Wind Renewable Energy Credits (ORECs), which can be applied to the state’s </w:t>
      </w:r>
      <w:r w:rsidR="00C9478F">
        <w:t>RPS</w:t>
      </w:r>
    </w:p>
    <w:p w14:paraId="2BE2CF8D" w14:textId="087FD0CA" w:rsidR="00130066" w:rsidRDefault="00130066" w:rsidP="00FD3B07">
      <w:pPr>
        <w:pStyle w:val="ListParagraph"/>
        <w:numPr>
          <w:ilvl w:val="0"/>
          <w:numId w:val="3"/>
        </w:numPr>
        <w:spacing w:after="0"/>
        <w:jc w:val="both"/>
      </w:pPr>
      <w:r>
        <w:t xml:space="preserve">Connecticut: 2018 Connecticut Department of Energy and Environmental Protection generation-based RFP for renewable energy, including </w:t>
      </w:r>
      <w:r w:rsidR="001507A4">
        <w:t>OSW</w:t>
      </w:r>
      <w:r>
        <w:t>; $15 million investment to revitalize a shipping pier</w:t>
      </w:r>
      <w:r w:rsidR="00636957">
        <w:t xml:space="preserve">; 2019 </w:t>
      </w:r>
      <w:r w:rsidR="004D779B">
        <w:t xml:space="preserve">law outlining target to develop up to 2,000 MW of OSW by 2030 </w:t>
      </w:r>
      <w:r w:rsidR="004D779B">
        <w:fldChar w:fldCharType="begin"/>
      </w:r>
      <w:r w:rsidR="0007766E">
        <w:instrText xml:space="preserve"> ADDIN EN.CITE &lt;EndNote&gt;&lt;Cite ExcludeAuth="1"&gt;&lt;Year&gt;2019&lt;/Year&gt;&lt;RecNum&gt;137&lt;/RecNum&gt;&lt;DisplayText&gt;(&amp;quot;An Act Concerning the Procurement of Energy Derived from Offshore Wind,&amp;quot; 2019)&lt;/DisplayText&gt;&lt;record&gt;&lt;rec-number&gt;137&lt;/rec-number&gt;&lt;foreign-keys&gt;&lt;key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rsidR="004D779B">
        <w:fldChar w:fldCharType="separate"/>
      </w:r>
      <w:r w:rsidR="004D779B">
        <w:rPr>
          <w:noProof/>
        </w:rPr>
        <w:t>("An Act Concerning the Procurement of Energy Derived from Offshore Wind," 2019)</w:t>
      </w:r>
      <w:r w:rsidR="004D779B">
        <w:fldChar w:fldCharType="end"/>
      </w:r>
    </w:p>
    <w:p w14:paraId="37412179" w14:textId="2AB9E3FC" w:rsidR="00130066" w:rsidRDefault="00130066" w:rsidP="00FD3B07">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75DF9696"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1DA0F76C" w14:textId="44FDA254" w:rsidR="00172072" w:rsidRPr="00EA7866" w:rsidRDefault="006E55D2" w:rsidP="00172072">
      <w:pPr>
        <w:pStyle w:val="ListParagraph"/>
        <w:numPr>
          <w:ilvl w:val="1"/>
          <w:numId w:val="3"/>
        </w:numPr>
        <w:spacing w:after="0"/>
        <w:jc w:val="both"/>
        <w:rPr>
          <w:rStyle w:val="Hyperlink"/>
          <w:color w:val="auto"/>
          <w:u w:val="none"/>
        </w:rPr>
      </w:pPr>
      <w:hyperlink r:id="rId13" w:history="1">
        <w:r w:rsidR="00172072">
          <w:rPr>
            <w:rStyle w:val="Hyperlink"/>
          </w:rPr>
          <w:t>https://www.virginiamercury.com/2019/09/24/four-things-to-know-about-dominions-massive-wind-farm-proposal/</w:t>
        </w:r>
      </w:hyperlink>
    </w:p>
    <w:p w14:paraId="514945DC" w14:textId="44AA7777" w:rsidR="00EA7866" w:rsidRDefault="00EA7866" w:rsidP="00EA7866">
      <w:pPr>
        <w:pStyle w:val="ListParagraph"/>
        <w:numPr>
          <w:ilvl w:val="0"/>
          <w:numId w:val="3"/>
        </w:numPr>
        <w:spacing w:after="0"/>
        <w:jc w:val="both"/>
      </w:pPr>
      <w:r>
        <w:t>California: 2019 memorandum of understanding between Castle Wind and</w:t>
      </w:r>
      <w:r w:rsidR="002E615B">
        <w:t xml:space="preserve"> Monterey Bay Community Power </w:t>
      </w:r>
      <w:r w:rsidR="006E55D2">
        <w:t xml:space="preserve">outlining intent to enter a long-term power purchase agreement for </w:t>
      </w:r>
      <w:bookmarkStart w:id="1" w:name="_GoBack"/>
      <w:bookmarkEnd w:id="1"/>
      <w:r w:rsidR="002E615B">
        <w:t>1 GW of OSW</w:t>
      </w:r>
      <w:r>
        <w:t xml:space="preserve"> </w:t>
      </w:r>
      <w:r>
        <w:fldChar w:fldCharType="begin"/>
      </w:r>
      <w:r w:rsidR="002E615B">
        <w:instrText xml:space="preserve"> ADDIN EN.CITE &lt;EndNote&gt;&lt;Cite&gt;&lt;Author&gt;Wind&lt;/Author&gt;&lt;Year&gt;2019&lt;/Year&gt;&lt;RecNum&gt;140&lt;/RecNum&gt;&lt;DisplayText&gt;(Castle Wind, 2019)&lt;/DisplayText&gt;&lt;record&gt;&lt;rec-number&gt;140&lt;/rec-number&gt;&lt;foreign-keys&gt;&lt;key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2E615B">
        <w:rPr>
          <w:noProof/>
        </w:rPr>
        <w:t>(Castle Wind, 2019)</w:t>
      </w:r>
      <w:r>
        <w:fldChar w:fldCharType="end"/>
      </w:r>
    </w:p>
    <w:p w14:paraId="26BE09CF" w14:textId="77777777" w:rsidR="00BE4451" w:rsidRDefault="00BE4451" w:rsidP="00FD3B07">
      <w:pPr>
        <w:pStyle w:val="ListParagraph"/>
        <w:spacing w:after="0"/>
        <w:ind w:left="776"/>
        <w:jc w:val="both"/>
      </w:pPr>
    </w:p>
    <w:p w14:paraId="638AFFD9" w14:textId="5377D306" w:rsidR="008570E5" w:rsidRDefault="00130066" w:rsidP="00FD3B07">
      <w:pPr>
        <w:spacing w:after="0"/>
        <w:contextualSpacing/>
        <w:jc w:val="both"/>
      </w:pPr>
      <w:r>
        <w:t>The large market in the US is at a tipping point, with a project pipeline of 25,</w:t>
      </w:r>
      <w:r w:rsidR="008703A5">
        <w:t>600</w:t>
      </w:r>
      <w:r>
        <w:t xml:space="preserve"> MW of </w:t>
      </w:r>
      <w:r w:rsidR="001507A4">
        <w:t>OSW</w:t>
      </w:r>
      <w:r>
        <w:t xml:space="preserve"> energy as of </w:t>
      </w:r>
      <w:r w:rsidR="00BD6FBB">
        <w:t>July</w:t>
      </w:r>
      <w:r w:rsidR="008703A5">
        <w:t xml:space="preserve"> 2019</w:t>
      </w:r>
      <w:r>
        <w:t>.</w:t>
      </w:r>
      <w:r w:rsidR="00461738">
        <w:t xml:space="preserve"> </w:t>
      </w:r>
      <w:r>
        <w:t xml:space="preserve">Specific projects account for </w:t>
      </w:r>
      <w:r w:rsidR="00CE7699">
        <w:t>4</w:t>
      </w:r>
      <w:r>
        <w:t>,8</w:t>
      </w:r>
      <w:r w:rsidR="00CE7699">
        <w:t>64</w:t>
      </w:r>
      <w:r>
        <w:t xml:space="preserve"> MW of that capacity and the remaining 2</w:t>
      </w:r>
      <w:r w:rsidR="00214834">
        <w:t>0</w:t>
      </w:r>
      <w:r>
        <w:t>,</w:t>
      </w:r>
      <w:r w:rsidR="00214834">
        <w:t>736</w:t>
      </w:r>
      <w:r>
        <w:t xml:space="preserve"> MW are comprised of undeveloped lease area. Of the project-based capacity, </w:t>
      </w:r>
      <w:r w:rsidR="00037BFA">
        <w:t>4,831</w:t>
      </w:r>
      <w:r>
        <w:t xml:space="preserve"> MW is expected to be built and online by 202</w:t>
      </w:r>
      <w:r w:rsidR="00037BFA">
        <w:t>4</w:t>
      </w:r>
      <w:r w:rsidR="00D70726">
        <w:t xml:space="preserve"> </w:t>
      </w:r>
      <w:r w:rsidR="00D70726">
        <w:fldChar w:fldCharType="begin"/>
      </w:r>
      <w:r w:rsidR="0007766E">
        <w:instrText xml:space="preserve"> ADDIN EN.CITE &lt;EndNote&gt;&lt;Cite&gt;&lt;Author&gt;AWEA&lt;/Author&gt;&lt;Year&gt;2019&lt;/Year&gt;&lt;RecNum&gt;85&lt;/RecNum&gt;&lt;DisplayText&gt;(AWEA, 2019)&lt;/DisplayText&gt;&lt;record&gt;&lt;rec-number&gt;85&lt;/rec-number&gt;&lt;foreign-keys&gt;&lt;key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D70726">
        <w:fldChar w:fldCharType="separate"/>
      </w:r>
      <w:r w:rsidR="0007766E">
        <w:rPr>
          <w:noProof/>
        </w:rPr>
        <w:t>(AWEA, 2019)</w:t>
      </w:r>
      <w:r w:rsidR="00D70726">
        <w:fldChar w:fldCharType="end"/>
      </w:r>
      <w:r>
        <w:t xml:space="preserve">. The US Bureau of Ocean Energy Management (BOEM), the agency responsible for </w:t>
      </w:r>
      <w:r w:rsidR="001507A4">
        <w:t>OSW</w:t>
      </w:r>
      <w:r>
        <w:t xml:space="preserve"> leasing areas, announced in June of 2019 that it would publish a “request for competitive interest” to build a transmission line for </w:t>
      </w:r>
      <w:r w:rsidR="001507A4">
        <w:t>OSW</w:t>
      </w:r>
      <w:r>
        <w:t xml:space="preserve"> off the coasts of New York and New Jersey</w:t>
      </w:r>
      <w:r w:rsidR="00640F33">
        <w:t xml:space="preserve"> </w:t>
      </w:r>
      <w:r w:rsidR="00640F33">
        <w:fldChar w:fldCharType="begin"/>
      </w:r>
      <w:r w:rsidR="0007766E">
        <w:instrText xml:space="preserve"> ADDIN EN.CITE &lt;EndNote&gt;&lt;Cite&gt;&lt;Author&gt;Bureau of Ocean Energy Management&lt;/Author&gt;&lt;Year&gt;2019&lt;/Year&gt;&lt;RecNum&gt;88&lt;/RecNum&gt;&lt;DisplayText&gt;(Bureau of Ocean Energy Management, 2019)&lt;/DisplayText&gt;&lt;record&gt;&lt;rec-number&gt;88&lt;/rec-number&gt;&lt;foreign-keys&gt;&lt;key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780067">
        <w:rPr>
          <w:noProof/>
        </w:rPr>
        <w:t>(Bureau of Ocean Energy Management, 2019)</w:t>
      </w:r>
      <w:r w:rsidR="00640F33">
        <w:fldChar w:fldCharType="end"/>
      </w:r>
      <w:r>
        <w:t>.</w:t>
      </w:r>
      <w:r w:rsidR="00640F33">
        <w:t xml:space="preserve">  </w:t>
      </w:r>
      <w:r>
        <w:t xml:space="preserve">A planned transmission system for </w:t>
      </w:r>
      <w:r w:rsidR="001507A4">
        <w:t>OSW</w:t>
      </w:r>
      <w:r>
        <w:t xml:space="preserve"> would promote long-term success and interest in the </w:t>
      </w:r>
      <w:r w:rsidR="001507A4">
        <w:t>OSW</w:t>
      </w:r>
      <w:r>
        <w:t xml:space="preserve">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lastRenderedPageBreak/>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1026AD98" w:rsidR="00B72FB6" w:rsidRDefault="00B72FB6" w:rsidP="00FD3B07">
      <w:pPr>
        <w:spacing w:after="0"/>
        <w:contextualSpacing/>
        <w:jc w:val="both"/>
        <w:rPr>
          <w:strike/>
        </w:rPr>
      </w:pPr>
      <w:r>
        <w:t xml:space="preserve">The </w:t>
      </w:r>
      <w:r w:rsidRPr="00134E75">
        <w:t xml:space="preserve">TIMES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07766E">
        <w:instrText xml:space="preserve"> ADDIN EN.CITE &lt;EndNote&gt;&lt;Cite&gt;&lt;Author&gt;Loulou&lt;/Author&gt;&lt;Year&gt;2005&lt;/Year&gt;&lt;RecNum&gt;48&lt;/RecNum&gt;&lt;DisplayText&gt;(Loulou, Remne, Kanudia, Lehtila, &amp;amp; Goldstein, 2005)&lt;/DisplayText&gt;&lt;record&gt;&lt;rec-number&gt;48&lt;/rec-number&gt;&lt;foreign-keys&gt;&lt;key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780067">
        <w:rPr>
          <w:noProof/>
        </w:rPr>
        <w:t>(Loulou, Remne, Kanudia, Lehtila, &amp; Goldstein, 2005)</w:t>
      </w:r>
      <w:r w:rsidR="0096384F">
        <w:fldChar w:fldCharType="end"/>
      </w:r>
      <w:r w:rsidR="0096384F">
        <w:t>.</w:t>
      </w:r>
      <w:r w:rsidR="009B7B2F">
        <w:t xml:space="preserve"> </w:t>
      </w:r>
      <w:r w:rsidR="00A65E3E">
        <w:t xml:space="preserve">TIMES includes a wide range of commodity-related variables such as total production, total consumption, and process flows. Additionally, TIMES able to allocate costs investment timelines. </w:t>
      </w:r>
    </w:p>
    <w:p w14:paraId="1447E0D7" w14:textId="248960A3" w:rsidR="00F27D47" w:rsidRDefault="00F27D47" w:rsidP="00FD3B07">
      <w:pPr>
        <w:spacing w:after="0"/>
        <w:contextualSpacing/>
        <w:jc w:val="both"/>
        <w:rPr>
          <w:strike/>
        </w:rPr>
      </w:pPr>
    </w:p>
    <w:p w14:paraId="454D2076" w14:textId="2D5D1915" w:rsidR="00F27D47" w:rsidRPr="00F27D47" w:rsidRDefault="00C6707B" w:rsidP="00FD3B07">
      <w:pPr>
        <w:spacing w:after="0"/>
        <w:contextualSpacing/>
        <w:jc w:val="both"/>
      </w:pPr>
      <w:r>
        <w:t>*** Look at carol’s paper(?) describing the epaus9rT database and TIMES</w:t>
      </w:r>
      <w:r w:rsidR="00F14501">
        <w:t xml:space="preserve"> </w:t>
      </w:r>
      <w:r w:rsidR="00F14501">
        <w:fldChar w:fldCharType="begin"/>
      </w:r>
      <w:r w:rsidR="0007766E">
        <w:instrText xml:space="preserve"> ADDIN EN.CITE &lt;EndNote&gt;&lt;Cite&gt;&lt;Author&gt;Lenox&lt;/Author&gt;&lt;Year&gt;2019&lt;/Year&gt;&lt;RecNum&gt;89&lt;/RecNum&gt;&lt;DisplayText&gt;(Lenox, 2019)&lt;/DisplayText&gt;&lt;record&gt;&lt;rec-number&gt;89&lt;/rec-number&gt;&lt;foreign-keys&gt;&lt;key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F14501">
        <w:fldChar w:fldCharType="separate"/>
      </w:r>
      <w:r w:rsidR="00F14501">
        <w:rPr>
          <w:noProof/>
        </w:rPr>
        <w:t>(Lenox, 2019)</w:t>
      </w:r>
      <w:r w:rsidR="00F14501">
        <w:fldChar w:fldCharType="end"/>
      </w:r>
    </w:p>
    <w:p w14:paraId="0CB013F0" w14:textId="596EABAC" w:rsidR="000B38A2" w:rsidRDefault="000B38A2" w:rsidP="00FD3B07">
      <w:pPr>
        <w:spacing w:after="0"/>
        <w:contextualSpacing/>
        <w:jc w:val="both"/>
      </w:pPr>
    </w:p>
    <w:p w14:paraId="626AA0ED" w14:textId="5EF6CE89"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907747">
        <w:t xml:space="preserve"> </w:t>
      </w:r>
      <w:r w:rsidR="00907747">
        <w:fldChar w:fldCharType="begin"/>
      </w:r>
      <w:r w:rsidR="0007766E">
        <w:instrText xml:space="preserve"> ADDIN EN.CITE &lt;EndNote&gt;&lt;Cite&gt;&lt;Author&gt;Ringkjob&lt;/Author&gt;&lt;Year&gt;2018&lt;/Year&gt;&lt;RecNum&gt;50&lt;/RecNum&gt;&lt;DisplayText&gt;(Ringkjob et al., 2018)&lt;/DisplayText&gt;&lt;record&gt;&lt;rec-number&gt;50&lt;/rec-number&gt;&lt;foreign-keys&gt;&lt;key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07747">
        <w:fldChar w:fldCharType="separate"/>
      </w:r>
      <w:r w:rsidR="00780067">
        <w:rPr>
          <w:noProof/>
        </w:rPr>
        <w:t>(Ringkjob et al., 2018)</w:t>
      </w:r>
      <w:r w:rsidR="00907747">
        <w:fldChar w:fldCharType="end"/>
      </w:r>
      <w:r w:rsidR="00907747">
        <w:t>.</w:t>
      </w:r>
    </w:p>
    <w:p w14:paraId="3C0A652C" w14:textId="4112E6C2" w:rsidR="00BE64CD" w:rsidRDefault="00BE64CD" w:rsidP="00FD3B07">
      <w:pPr>
        <w:spacing w:after="0"/>
        <w:contextualSpacing/>
        <w:jc w:val="both"/>
      </w:pPr>
      <w:r>
        <w:t>Long-term energy system optimization model (ESOM)</w:t>
      </w:r>
    </w:p>
    <w:p w14:paraId="55053897" w14:textId="77777777" w:rsidR="00BE64CD" w:rsidRPr="001C5CC6" w:rsidRDefault="00BE64CD" w:rsidP="00FD3B07">
      <w:pPr>
        <w:spacing w:after="0"/>
        <w:contextualSpacing/>
        <w:jc w:val="both"/>
      </w:pPr>
    </w:p>
    <w:p w14:paraId="59F9A2F8" w14:textId="447BD3C7"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w:t>
      </w:r>
      <w:r w:rsidR="00907747">
        <w:t xml:space="preserve"> </w:t>
      </w:r>
      <w:r w:rsidR="00907747">
        <w:fldChar w:fldCharType="begin"/>
      </w:r>
      <w:r w:rsidR="0007766E">
        <w:instrText xml:space="preserve"> ADDIN EN.CITE &lt;EndNote&gt;&lt;Cite&gt;&lt;Author&gt;Loulou&lt;/Author&gt;&lt;Year&gt;2005&lt;/Year&gt;&lt;RecNum&gt;48&lt;/RecNum&gt;&lt;DisplayText&gt;(Loulou et al., 2005)&lt;/DisplayText&gt;&lt;record&gt;&lt;rec-number&gt;48&lt;/rec-number&gt;&lt;foreign-keys&gt;&lt;key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07747">
        <w:fldChar w:fldCharType="separate"/>
      </w:r>
      <w:r w:rsidR="00780067">
        <w:rPr>
          <w:noProof/>
        </w:rPr>
        <w:t>(Loulou et al., 2005)</w:t>
      </w:r>
      <w:r w:rsidR="00907747">
        <w:fldChar w:fldCharType="end"/>
      </w:r>
      <w:r w:rsidR="00F62892">
        <w:t>. The current EPAUS9rT database and its TIMES implementation uses 2010 as the base year.</w:t>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630BF484" w14:textId="77777777" w:rsidR="00410EB7" w:rsidRDefault="00134E75" w:rsidP="00FD3B07">
      <w:pPr>
        <w:spacing w:after="0"/>
        <w:contextualSpacing/>
        <w:jc w:val="both"/>
      </w:pPr>
      <w:r w:rsidRPr="00134E75">
        <w:t>***</w:t>
      </w:r>
      <w:r w:rsidR="00087B87" w:rsidRPr="00134E75">
        <w:t xml:space="preserve">Explain that the EPAUS9rT is regionally represented (with 9 regions) based on the U.S. census </w:t>
      </w:r>
      <w:proofErr w:type="gramStart"/>
      <w:r w:rsidR="00087B87" w:rsidRPr="00134E75">
        <w:t>divisions.</w:t>
      </w:r>
      <w:r w:rsidRPr="00134E75">
        <w:t>*</w:t>
      </w:r>
      <w:proofErr w:type="gramEnd"/>
      <w:r w:rsidRPr="00134E75">
        <w:t>**</w:t>
      </w:r>
      <w:r w:rsidR="00087B87" w:rsidRPr="00134E75">
        <w:t xml:space="preserve">  </w:t>
      </w:r>
    </w:p>
    <w:p w14:paraId="73359A1C" w14:textId="6727778E" w:rsidR="00410EB7" w:rsidRDefault="00410EB7" w:rsidP="00FD3B07">
      <w:pPr>
        <w:spacing w:after="0"/>
        <w:contextualSpacing/>
        <w:jc w:val="both"/>
      </w:pPr>
      <w:r>
        <w:t xml:space="preserve">The EPAUS9rT database represents </w:t>
      </w:r>
    </w:p>
    <w:p w14:paraId="2A2B8C66" w14:textId="1FEFC5F9" w:rsidR="00C6707B" w:rsidRDefault="001507A4" w:rsidP="00FD3B07">
      <w:pPr>
        <w:spacing w:after="0"/>
        <w:contextualSpacing/>
        <w:jc w:val="both"/>
      </w:pPr>
      <w:r>
        <w:t>OSW</w:t>
      </w:r>
      <w:r w:rsidR="00C61E15">
        <w:t xml:space="preserve">’s representation in this model </w:t>
      </w:r>
      <w:r w:rsidR="00FA5308">
        <w:t xml:space="preserve">accounts for the geographic and economic </w:t>
      </w:r>
      <w:r w:rsidR="0046351B">
        <w:t>variability of</w:t>
      </w:r>
      <w:r w:rsidR="00FA5308">
        <w:t xml:space="preserve"> the resource. </w:t>
      </w:r>
      <w:r w:rsidR="003F730F">
        <w:t xml:space="preserve">The </w:t>
      </w:r>
      <w:r>
        <w:t>OSW</w:t>
      </w:r>
      <w:r w:rsidR="003F730F">
        <w:t xml:space="preserve">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t>OSW</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w:t>
      </w:r>
      <w:r>
        <w:t>OSW</w:t>
      </w:r>
      <w:r w:rsidR="006D3114">
        <w:t xml:space="preserve"> technologies. Capacity factor was set to vary by time of day, season, technology, and region. </w:t>
      </w:r>
      <w:r w:rsidR="00C61E15">
        <w:t xml:space="preserve">For each </w:t>
      </w:r>
      <w:r>
        <w:t>OSW</w:t>
      </w:r>
      <w:r w:rsidR="00C61E15">
        <w:t xml:space="preserve"> installation, a lifetime of 30 years was </w:t>
      </w:r>
      <w:r w:rsidR="0037079A">
        <w:t>assumed</w:t>
      </w:r>
      <w:r w:rsidR="00C61E15">
        <w:t>.</w:t>
      </w:r>
      <w:r w:rsidR="00C6707B">
        <w:t xml:space="preserve"> </w:t>
      </w:r>
    </w:p>
    <w:p w14:paraId="0A614565" w14:textId="604B6E36" w:rsidR="00052A48" w:rsidRDefault="00C6707B" w:rsidP="00FD3B07">
      <w:pPr>
        <w:spacing w:after="0"/>
        <w:contextualSpacing/>
        <w:jc w:val="both"/>
      </w:pPr>
      <w:r>
        <w:t xml:space="preserve">***talk about the range, aka ranges from a high of x in region x to a </w:t>
      </w:r>
      <w:r w:rsidR="00C4599A">
        <w:t xml:space="preserve">low </w:t>
      </w:r>
      <w:r>
        <w:t>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59E9D86B" w:rsidR="00AE292E" w:rsidRDefault="00AE292E" w:rsidP="00FD3B07">
      <w:pPr>
        <w:spacing w:after="0"/>
        <w:contextualSpacing/>
        <w:jc w:val="both"/>
      </w:pPr>
      <w:r>
        <w:t xml:space="preserve">The model sets a capacity bound for type of </w:t>
      </w:r>
      <w:r w:rsidR="001507A4">
        <w:t>OSW</w:t>
      </w:r>
      <w:r>
        <w:t xml:space="preserve"> in each region based on technical feasibility. What is not considered in the model is the practical timeframe in which </w:t>
      </w:r>
      <w:r w:rsidR="00686BF8">
        <w:t>all</w:t>
      </w:r>
      <w:r>
        <w:t xml:space="preserve"> the available </w:t>
      </w:r>
      <w:r w:rsidR="001507A4">
        <w:t>OSW</w:t>
      </w:r>
      <w:r>
        <w:t xml:space="preserve">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409125B3" w:rsidR="00710F71" w:rsidRDefault="00256CE3" w:rsidP="00256CE3">
      <w:pPr>
        <w:spacing w:after="0"/>
        <w:contextualSpacing/>
        <w:jc w:val="center"/>
      </w:pPr>
      <w:r>
        <w:t xml:space="preserve">                         </w:t>
      </w:r>
    </w:p>
    <w:p w14:paraId="26B40B15" w14:textId="396A7214" w:rsidR="00D21177" w:rsidRDefault="00CD0BCA" w:rsidP="00D21177">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D21177">
      <w:pPr>
        <w:spacing w:after="0"/>
        <w:contextualSpacing/>
        <w:jc w:val="both"/>
      </w:pPr>
    </w:p>
    <w:p w14:paraId="108DCA90" w14:textId="7C561AEA" w:rsidR="006731E4" w:rsidRDefault="00710F71" w:rsidP="00F341E5">
      <w:pPr>
        <w:spacing w:after="0"/>
        <w:contextualSpacing/>
        <w:jc w:val="both"/>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1701CF70" w14:textId="0AD4CE68" w:rsidR="00F341E5" w:rsidRDefault="00F341E5" w:rsidP="00F341E5">
      <w:pPr>
        <w:spacing w:after="0"/>
        <w:contextualSpacing/>
        <w:jc w:val="both"/>
      </w:pPr>
    </w:p>
    <w:p w14:paraId="20FF13CC" w14:textId="0AD2AE30" w:rsidR="00B20C79" w:rsidRDefault="00B20C79" w:rsidP="00F341E5">
      <w:pPr>
        <w:spacing w:after="0"/>
        <w:contextualSpacing/>
        <w:jc w:val="both"/>
      </w:pPr>
      <w:r>
        <w:rPr>
          <w:noProof/>
        </w:rPr>
        <w:drawing>
          <wp:inline distT="0" distB="0" distL="0" distR="0" wp14:anchorId="4F712B66" wp14:editId="0D23EB3B">
            <wp:extent cx="6858000" cy="2323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323465"/>
                    </a:xfrm>
                    <a:prstGeom prst="rect">
                      <a:avLst/>
                    </a:prstGeom>
                  </pic:spPr>
                </pic:pic>
              </a:graphicData>
            </a:graphic>
          </wp:inline>
        </w:drawing>
      </w:r>
    </w:p>
    <w:p w14:paraId="70637C52" w14:textId="77777777" w:rsidR="00F341E5" w:rsidRDefault="00F341E5" w:rsidP="00F341E5">
      <w:pPr>
        <w:spacing w:after="0"/>
        <w:contextualSpacing/>
        <w:jc w:val="both"/>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5ED69CB" w:rsidR="00C90259" w:rsidRDefault="00E55F21" w:rsidP="00381311">
      <w:pPr>
        <w:spacing w:after="0"/>
      </w:pPr>
      <w:r>
        <w:t xml:space="preserve">A total of </w:t>
      </w:r>
      <w:r w:rsidR="00473E2A">
        <w:t>49</w:t>
      </w:r>
      <w:r>
        <w:t xml:space="preserve"> scenarios were compiled, representing the combination of all seven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E010F9">
        <w:t xml:space="preserve">. Until the cost of </w:t>
      </w:r>
      <w:r w:rsidR="001507A4">
        <w:t>OSW</w:t>
      </w:r>
      <w:r w:rsidR="00E010F9">
        <w:t xml:space="preserve"> was reduced by 40%, it was not economically viable, even in the most stringent carbon mitigation scenarios. At a 40% cost reduction, less than 30 GW of </w:t>
      </w:r>
      <w:r w:rsidR="001507A4">
        <w:t>OSW</w:t>
      </w:r>
      <w:r w:rsidR="00E010F9">
        <w:t xml:space="preserve"> is built by 2050. At 50% cost reduction, </w:t>
      </w:r>
      <w:r w:rsidR="001507A4">
        <w:t>OSW</w:t>
      </w:r>
      <w:r w:rsidR="00E010F9">
        <w:t xml:space="preserve"> is built out to approximately 18 times the capacity as that in the 40% scenario. As costs decrease to 60%, 70%, and 80%, </w:t>
      </w:r>
      <w:r w:rsidR="00381311">
        <w:t>total installed capacity dramatically increases and the differences between scenarios decreases.</w:t>
      </w:r>
    </w:p>
    <w:p w14:paraId="2B325D60" w14:textId="1679D063" w:rsidR="00E010F9" w:rsidRDefault="00B20C79" w:rsidP="00E010F9">
      <w:pPr>
        <w:spacing w:after="0"/>
        <w:jc w:val="center"/>
      </w:pPr>
      <w:r>
        <w:rPr>
          <w:noProof/>
        </w:rPr>
        <w:drawing>
          <wp:inline distT="0" distB="0" distL="0" distR="0" wp14:anchorId="5A3C1F82" wp14:editId="2FD7F4BD">
            <wp:extent cx="2910975" cy="2619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008" cy="2622104"/>
                    </a:xfrm>
                    <a:prstGeom prst="rect">
                      <a:avLst/>
                    </a:prstGeom>
                  </pic:spPr>
                </pic:pic>
              </a:graphicData>
            </a:graphic>
          </wp:inline>
        </w:drawing>
      </w:r>
    </w:p>
    <w:p w14:paraId="4635063D" w14:textId="32BDBF51" w:rsidR="00E010F9" w:rsidRDefault="001507A4" w:rsidP="00E010F9">
      <w:pPr>
        <w:spacing w:after="0"/>
      </w:pPr>
      <w:r>
        <w:t>OSW</w:t>
      </w:r>
      <w:r w:rsidR="00E010F9">
        <w:t xml:space="preserve">’s sensitivity to carbon mitigation stringency is well defined when the technology is more expensive and almost non-existent when the technology is less expensive. More stringent carbon mitigation incentivizes the buildout of </w:t>
      </w:r>
      <w:r>
        <w:t>OSW</w:t>
      </w:r>
      <w:r w:rsidR="00E010F9">
        <w:t xml:space="preserve"> sooner, and at larger capacities, at the 40% and 50% reduction cost curves. </w:t>
      </w:r>
      <w:r w:rsidR="001D4F71">
        <w:t xml:space="preserve">For the 60%, 70%, and 80% reduction cost curves, carbon mitigation stringency influences when, but not by how much, </w:t>
      </w:r>
      <w:r>
        <w:t>OSW</w:t>
      </w:r>
      <w:r w:rsidR="001D4F71">
        <w:t xml:space="preserve"> is installed.</w:t>
      </w:r>
    </w:p>
    <w:p w14:paraId="60EAACA8" w14:textId="77777777" w:rsidR="007B5878" w:rsidRDefault="007B5878" w:rsidP="00E010F9">
      <w:pPr>
        <w:spacing w:after="0"/>
        <w:jc w:val="center"/>
        <w:rPr>
          <w:noProof/>
        </w:rPr>
      </w:pPr>
    </w:p>
    <w:p w14:paraId="7B3D2E3E" w14:textId="1F7EEAFC" w:rsidR="00E010F9" w:rsidRDefault="005C4CE5" w:rsidP="00E010F9">
      <w:pPr>
        <w:spacing w:after="0"/>
        <w:jc w:val="center"/>
      </w:pPr>
      <w:r>
        <w:rPr>
          <w:noProof/>
        </w:rPr>
        <w:drawing>
          <wp:inline distT="0" distB="0" distL="0" distR="0" wp14:anchorId="18336625" wp14:editId="28EE21CF">
            <wp:extent cx="6858000" cy="2298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98700"/>
                    </a:xfrm>
                    <a:prstGeom prst="rect">
                      <a:avLst/>
                    </a:prstGeom>
                  </pic:spPr>
                </pic:pic>
              </a:graphicData>
            </a:graphic>
          </wp:inline>
        </w:drawing>
      </w:r>
    </w:p>
    <w:p w14:paraId="63098037" w14:textId="757D0ED1" w:rsidR="005C4CE5" w:rsidRDefault="005C4CE5" w:rsidP="00E010F9">
      <w:pPr>
        <w:spacing w:after="0"/>
        <w:jc w:val="center"/>
      </w:pPr>
      <w:r>
        <w:rPr>
          <w:noProof/>
        </w:rPr>
        <w:drawing>
          <wp:inline distT="0" distB="0" distL="0" distR="0" wp14:anchorId="7AD529E3" wp14:editId="23E8852E">
            <wp:extent cx="6858000" cy="227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70760"/>
                    </a:xfrm>
                    <a:prstGeom prst="rect">
                      <a:avLst/>
                    </a:prstGeom>
                  </pic:spPr>
                </pic:pic>
              </a:graphicData>
            </a:graphic>
          </wp:inline>
        </w:drawing>
      </w:r>
    </w:p>
    <w:p w14:paraId="59AE5120" w14:textId="23C6B28A" w:rsidR="005C4CE5" w:rsidRDefault="005C4CE5" w:rsidP="00E010F9">
      <w:pPr>
        <w:spacing w:after="0"/>
        <w:jc w:val="center"/>
      </w:pPr>
      <w:r>
        <w:rPr>
          <w:noProof/>
        </w:rPr>
        <w:drawing>
          <wp:inline distT="0" distB="0" distL="0" distR="0" wp14:anchorId="33714EFF" wp14:editId="45A1C5B9">
            <wp:extent cx="2325691" cy="17046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4912" cy="1726080"/>
                    </a:xfrm>
                    <a:prstGeom prst="rect">
                      <a:avLst/>
                    </a:prstGeom>
                  </pic:spPr>
                </pic:pic>
              </a:graphicData>
            </a:graphic>
          </wp:inline>
        </w:drawing>
      </w:r>
      <w:r w:rsidRPr="005C4CE5">
        <w:rPr>
          <w:noProof/>
        </w:rPr>
        <w:t xml:space="preserve"> </w:t>
      </w:r>
      <w:r>
        <w:rPr>
          <w:noProof/>
        </w:rPr>
        <w:drawing>
          <wp:inline distT="0" distB="0" distL="0" distR="0" wp14:anchorId="457FD3C6" wp14:editId="44D37235">
            <wp:extent cx="2355414" cy="1709420"/>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8809" cy="1726399"/>
                    </a:xfrm>
                    <a:prstGeom prst="rect">
                      <a:avLst/>
                    </a:prstGeom>
                  </pic:spPr>
                </pic:pic>
              </a:graphicData>
            </a:graphic>
          </wp:inline>
        </w:drawing>
      </w:r>
    </w:p>
    <w:p w14:paraId="752409CA" w14:textId="3E42237F"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w:t>
      </w:r>
      <w:r w:rsidR="001507A4">
        <w:t>OSW</w:t>
      </w:r>
      <w:r w:rsidR="008A6698">
        <w:t xml:space="preserve"> is deployed. </w:t>
      </w:r>
      <w:r w:rsidR="00591FF7">
        <w:t xml:space="preserve">The </w:t>
      </w:r>
      <w:r w:rsidR="00C85DCF">
        <w:t xml:space="preserve">cheaper </w:t>
      </w:r>
      <w:r w:rsidR="001507A4">
        <w:t>OSW</w:t>
      </w:r>
      <w:r w:rsidR="00C85DCF">
        <w:t xml:space="preserve"> becomes, the more capacity is built out each year, and the sooner that happens.</w:t>
      </w:r>
      <w:r w:rsidR="00DB7317">
        <w:t xml:space="preserve"> We see in all scenarios, however, that </w:t>
      </w:r>
      <w:r w:rsidR="001507A4">
        <w:t>OSW</w:t>
      </w:r>
      <w:r w:rsidR="00DB7317">
        <w:t xml:space="preserve"> is built out in high quantities quickly and then capacity levels out. </w:t>
      </w:r>
      <w:r w:rsidR="00FD5A27">
        <w:t>There is no scenario, other than the 40% cost curve, that elicits a slow</w:t>
      </w:r>
      <w:r w:rsidR="008B4AE8">
        <w:t xml:space="preserve"> or consistent</w:t>
      </w:r>
      <w:r w:rsidR="00FD5A27">
        <w:t xml:space="preserve"> buildout of </w:t>
      </w:r>
      <w:r w:rsidR="001507A4">
        <w:t>OSW</w:t>
      </w:r>
      <w:r w:rsidR="00FD5A27">
        <w:t>.</w:t>
      </w:r>
    </w:p>
    <w:p w14:paraId="02988199" w14:textId="5293CBEE" w:rsidR="00EB4D6A" w:rsidRDefault="00EB4D6A" w:rsidP="005C4CE5">
      <w:pPr>
        <w:spacing w:after="0"/>
      </w:pPr>
    </w:p>
    <w:p w14:paraId="2FB07DC2" w14:textId="03235CC8" w:rsidR="00314C41" w:rsidRDefault="00314C41" w:rsidP="00314C41">
      <w:pPr>
        <w:spacing w:after="0"/>
      </w:pPr>
      <w:r>
        <w:t xml:space="preserve">The deployment of </w:t>
      </w:r>
      <w:r w:rsidR="001507A4">
        <w:t>OSW</w:t>
      </w:r>
      <w:r>
        <w:t xml:space="preserve"> primarily displaces terrestrial wind, solar PV, coal, and natural gas. Below we can see that in the cases where </w:t>
      </w:r>
      <w:r w:rsidR="001507A4">
        <w:t>OSW</w:t>
      </w:r>
      <w:r>
        <w:t xml:space="preserve"> is cheapest, the total generation of that resources far outweighs that of any other resource. Additionally, the largest displacement is with natural gas. Natural gas makes up a large market share of the 2050 grid in all scenarios where </w:t>
      </w:r>
      <w:r w:rsidR="001507A4">
        <w:t>OSW</w:t>
      </w:r>
      <w:r>
        <w:t xml:space="preserve"> does not decrease in cost by more than 40%. Coal sees a similar displacement when </w:t>
      </w:r>
      <w:r w:rsidR="001507A4">
        <w:t>OSW</w:t>
      </w:r>
      <w:r>
        <w:t xml:space="preserve"> is built out, but the degree to which the cost scenarios affect its generation </w:t>
      </w:r>
      <w:r w:rsidR="006678E8">
        <w:t xml:space="preserve">is less. While the cost of </w:t>
      </w:r>
      <w:r w:rsidR="001507A4">
        <w:t>OSW</w:t>
      </w:r>
      <w:r w:rsidR="006678E8">
        <w:t xml:space="preserve"> elicits a decline in the production of all resources, we see that terrestrial wind, solar, and coal are more sensitive to carbon mitigation </w:t>
      </w:r>
      <w:r w:rsidR="00F634B6">
        <w:t xml:space="preserve">stringency.  </w:t>
      </w:r>
    </w:p>
    <w:p w14:paraId="20D557A5" w14:textId="0F1BC14B" w:rsidR="00EB4D6A" w:rsidRDefault="005C4CE5" w:rsidP="00314C41">
      <w:pPr>
        <w:spacing w:after="0"/>
        <w:jc w:val="center"/>
      </w:pPr>
      <w:r>
        <w:rPr>
          <w:noProof/>
        </w:rPr>
        <w:drawing>
          <wp:inline distT="0" distB="0" distL="0" distR="0" wp14:anchorId="12C9D47B" wp14:editId="3C234FA2">
            <wp:extent cx="2582087" cy="170462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907" cy="1715728"/>
                    </a:xfrm>
                    <a:prstGeom prst="rect">
                      <a:avLst/>
                    </a:prstGeom>
                  </pic:spPr>
                </pic:pic>
              </a:graphicData>
            </a:graphic>
          </wp:inline>
        </w:drawing>
      </w:r>
      <w:r>
        <w:rPr>
          <w:noProof/>
        </w:rPr>
        <w:drawing>
          <wp:inline distT="0" distB="0" distL="0" distR="0" wp14:anchorId="36D30F72" wp14:editId="250DCC3E">
            <wp:extent cx="2527982" cy="17185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7081" cy="1731544"/>
                    </a:xfrm>
                    <a:prstGeom prst="rect">
                      <a:avLst/>
                    </a:prstGeom>
                  </pic:spPr>
                </pic:pic>
              </a:graphicData>
            </a:graphic>
          </wp:inline>
        </w:drawing>
      </w:r>
    </w:p>
    <w:p w14:paraId="35AD7666" w14:textId="669D0EE2" w:rsidR="005C4CE5" w:rsidRDefault="005C4CE5" w:rsidP="00314C41">
      <w:pPr>
        <w:spacing w:after="0"/>
        <w:jc w:val="center"/>
      </w:pPr>
    </w:p>
    <w:p w14:paraId="0684924F" w14:textId="7C0679E3" w:rsidR="00087B87" w:rsidRDefault="00087B87" w:rsidP="000F7624">
      <w:pPr>
        <w:spacing w:after="0"/>
      </w:pPr>
    </w:p>
    <w:p w14:paraId="33900918" w14:textId="2E746704" w:rsidR="000F7624" w:rsidRPr="00F100D1" w:rsidRDefault="000F7624" w:rsidP="000F7624">
      <w:pPr>
        <w:spacing w:after="0"/>
      </w:pPr>
      <w:r>
        <w:t xml:space="preserve">All </w:t>
      </w:r>
      <w:r w:rsidRPr="007B5878">
        <w:t>five</w:t>
      </w:r>
      <w:r w:rsidR="00087B87" w:rsidRPr="007B5878">
        <w:t xml:space="preserve"> of the electric sector emissions that we</w:t>
      </w:r>
      <w:r w:rsidRPr="007B5878">
        <w:t xml:space="preserve"> investigated see an overall decline by 2050 in the </w:t>
      </w:r>
      <w:r>
        <w:t xml:space="preserve">baseline scenarios. However, we see a much steeper and quicker decline in these emissions with both increasing carbon mitigation stringency and decreasing cost of </w:t>
      </w:r>
      <w:r w:rsidR="001507A4">
        <w:t>OSW</w:t>
      </w:r>
      <w:r>
        <w:t xml:space="preserve">. </w:t>
      </w:r>
      <w:r w:rsidR="00E55BE7">
        <w:t>SO</w:t>
      </w:r>
      <w:r w:rsidR="00E55BE7" w:rsidRPr="00B50E94">
        <w:rPr>
          <w:vertAlign w:val="subscript"/>
        </w:rPr>
        <w:t>2</w:t>
      </w:r>
      <w:r>
        <w:t xml:space="preserve"> is most sensitive to emissions reductions while all other emissions are more sensitive to the deployment of </w:t>
      </w:r>
      <w:r w:rsidR="001507A4">
        <w:t>OSW</w:t>
      </w:r>
      <w:r>
        <w:t xml:space="preserve">. </w:t>
      </w:r>
    </w:p>
    <w:p w14:paraId="37B9A161" w14:textId="77777777" w:rsidR="008570E5" w:rsidRDefault="006154DE" w:rsidP="006154DE">
      <w:pPr>
        <w:spacing w:after="0"/>
        <w:contextualSpacing/>
        <w:jc w:val="center"/>
      </w:pPr>
      <w:r>
        <w:rPr>
          <w:noProof/>
        </w:rPr>
        <w:drawing>
          <wp:inline distT="0" distB="0" distL="0" distR="0" wp14:anchorId="38DB09F8" wp14:editId="6FB9A865">
            <wp:extent cx="3308183" cy="2487650"/>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3692" cy="2514352"/>
                    </a:xfrm>
                    <a:prstGeom prst="rect">
                      <a:avLst/>
                    </a:prstGeom>
                  </pic:spPr>
                </pic:pic>
              </a:graphicData>
            </a:graphic>
          </wp:inline>
        </w:drawing>
      </w:r>
    </w:p>
    <w:p w14:paraId="6770E0E6" w14:textId="2C49A54A" w:rsidR="000F7624" w:rsidRDefault="009B7ECA" w:rsidP="000F7624">
      <w:pPr>
        <w:spacing w:after="0"/>
        <w:contextualSpacing/>
      </w:pPr>
      <w:r>
        <w:t xml:space="preserve">Assuming a moderate carbon mitigation stringency of 20%, </w:t>
      </w:r>
      <w:r w:rsidR="001507A4">
        <w:t>OSW</w:t>
      </w:r>
      <w:r>
        <w:t xml:space="preserve"> </w:t>
      </w:r>
      <w:proofErr w:type="gramStart"/>
      <w:r>
        <w:t>is able to</w:t>
      </w:r>
      <w:proofErr w:type="gramEnd"/>
      <w:r>
        <w:t xml:space="preserve"> elicit a steep decline of around 50% in </w:t>
      </w:r>
      <w:r w:rsidR="00E55BE7">
        <w:t>CO</w:t>
      </w:r>
      <w:r w:rsidR="00E55BE7" w:rsidRPr="00B50E94">
        <w:rPr>
          <w:vertAlign w:val="subscript"/>
        </w:rPr>
        <w:t>2</w:t>
      </w:r>
      <w:r>
        <w:t>, NO</w:t>
      </w:r>
      <w:r w:rsidR="00E55BE7" w:rsidRPr="00E55BE7">
        <w:rPr>
          <w:vertAlign w:val="subscript"/>
        </w:rPr>
        <w:t>X</w:t>
      </w:r>
      <w:r>
        <w:t xml:space="preserve">, and </w:t>
      </w:r>
      <w:r w:rsidR="00E55BE7">
        <w:t>SO</w:t>
      </w:r>
      <w:r w:rsidR="00E55BE7" w:rsidRPr="00B50E94">
        <w:rPr>
          <w:vertAlign w:val="subscript"/>
        </w:rPr>
        <w:t>2</w:t>
      </w:r>
      <w:r>
        <w:t xml:space="preserve"> at a 60% cost reduction and above. At a 50% cost reduction there I still a 25% reduction in emissions by 2050. </w:t>
      </w:r>
      <w:r w:rsidR="000A6BF9">
        <w:t xml:space="preserve">This shows that </w:t>
      </w:r>
      <w:r w:rsidR="001507A4">
        <w:t>OSW</w:t>
      </w:r>
      <w:r w:rsidR="000A6BF9">
        <w:t xml:space="preserve"> deployment alone works as a strategy for electric sector grid emissions. The extent of the emissions reductions will, however, be proportional to the cost effectiveness of </w:t>
      </w:r>
      <w:r w:rsidR="001507A4">
        <w:t>OSW</w:t>
      </w:r>
      <w:r w:rsidR="000A6BF9">
        <w:t>.</w:t>
      </w:r>
    </w:p>
    <w:p w14:paraId="7070CF83" w14:textId="77777777" w:rsidR="000B38A2" w:rsidRDefault="000F7624" w:rsidP="000F7624">
      <w:pPr>
        <w:spacing w:after="0"/>
        <w:contextualSpacing/>
        <w:jc w:val="center"/>
      </w:pPr>
      <w:r>
        <w:rPr>
          <w:noProof/>
        </w:rPr>
        <w:drawing>
          <wp:inline distT="0" distB="0" distL="0" distR="0" wp14:anchorId="7983C975" wp14:editId="672BC475">
            <wp:extent cx="3496783" cy="24614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7584" cy="2483143"/>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4EF2F9F3" w14:textId="77777777" w:rsidR="005A2E07" w:rsidRDefault="008570E5" w:rsidP="00FD3B07">
      <w:pPr>
        <w:pStyle w:val="Heading2"/>
        <w:spacing w:before="0"/>
        <w:contextualSpacing/>
        <w:jc w:val="both"/>
      </w:pPr>
      <w:r>
        <w:t>Notes on Modeling</w:t>
      </w:r>
    </w:p>
    <w:p w14:paraId="566A50A7" w14:textId="77777777" w:rsidR="00E85436" w:rsidRDefault="00E85436" w:rsidP="002A6E8C">
      <w:pPr>
        <w:pStyle w:val="Heading2"/>
        <w:spacing w:before="0"/>
        <w:contextualSpacing/>
        <w:jc w:val="both"/>
      </w:pPr>
    </w:p>
    <w:p w14:paraId="1EC7A51D" w14:textId="09A9E95D" w:rsidR="002A6E8C" w:rsidRPr="002A6E8C" w:rsidRDefault="002A6E8C" w:rsidP="002A6E8C">
      <w:pPr>
        <w:pStyle w:val="Heading2"/>
        <w:spacing w:before="0"/>
        <w:contextualSpacing/>
        <w:jc w:val="both"/>
      </w:pPr>
      <w:r>
        <w:t>References</w:t>
      </w:r>
    </w:p>
    <w:p w14:paraId="414F9B0A" w14:textId="77777777" w:rsidR="002E615B" w:rsidRPr="002E615B" w:rsidRDefault="005A2E07" w:rsidP="002E615B">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2E615B" w:rsidRPr="002E615B">
        <w:t>An Act Concerning the Procurement of Energy Derived from Offshore Wind, H.B. 7156, Connecticut General Assembly (2019).</w:t>
      </w:r>
    </w:p>
    <w:p w14:paraId="4013D74E" w14:textId="77777777" w:rsidR="002E615B" w:rsidRPr="002E615B" w:rsidRDefault="002E615B" w:rsidP="002E615B">
      <w:pPr>
        <w:pStyle w:val="EndNoteBibliography"/>
        <w:spacing w:after="0"/>
        <w:ind w:left="720" w:hanging="720"/>
      </w:pPr>
      <w:r w:rsidRPr="002E615B">
        <w:t>An Act to Advance Clean Energy, H.4857, Commonwealth of Massachusetts (2018).</w:t>
      </w:r>
    </w:p>
    <w:p w14:paraId="7CBD7F84" w14:textId="4F3A762C" w:rsidR="002E615B" w:rsidRPr="002E615B" w:rsidRDefault="002E615B" w:rsidP="002E615B">
      <w:pPr>
        <w:pStyle w:val="EndNoteBibliography"/>
        <w:spacing w:after="0"/>
        <w:ind w:left="720" w:hanging="720"/>
      </w:pPr>
      <w:r w:rsidRPr="002E615B">
        <w:t xml:space="preserve">AWEA. (2019). </w:t>
      </w:r>
      <w:r w:rsidRPr="002E615B">
        <w:rPr>
          <w:i/>
        </w:rPr>
        <w:t>U.S. Offshore Wind Industry Status Update</w:t>
      </w:r>
      <w:r w:rsidRPr="002E615B">
        <w:t xml:space="preserve">. Retrieved from </w:t>
      </w:r>
      <w:hyperlink r:id="rId24" w:history="1">
        <w:r w:rsidRPr="002E615B">
          <w:rPr>
            <w:rStyle w:val="Hyperlink"/>
          </w:rPr>
          <w:t>https://www.awea.org/Awea/media/Resources/Fact%20Sheets/AWEA_Offshore-Wind-Industry-FINAL.pdf</w:t>
        </w:r>
      </w:hyperlink>
    </w:p>
    <w:p w14:paraId="6D41128C" w14:textId="77777777" w:rsidR="002E615B" w:rsidRPr="002E615B" w:rsidRDefault="002E615B" w:rsidP="002E615B">
      <w:pPr>
        <w:pStyle w:val="EndNoteBibliography"/>
        <w:spacing w:after="0"/>
        <w:ind w:left="720" w:hanging="720"/>
      </w:pPr>
      <w:r w:rsidRPr="002E615B">
        <w:t xml:space="preserve">Beiter, P., Musial, W., Kilcher, L., Maness, M., &amp; Smith, A. (2017). An Assessment of the Economic Potential of Offshore Wind in the United States from 2015 to 2030. </w:t>
      </w:r>
      <w:r w:rsidRPr="002E615B">
        <w:rPr>
          <w:i/>
        </w:rPr>
        <w:t>National Renewable Energy Laboratory</w:t>
      </w:r>
      <w:r w:rsidRPr="002E615B">
        <w:t xml:space="preserve">(NREL/TP-6A20-67675). </w:t>
      </w:r>
    </w:p>
    <w:p w14:paraId="62BBD25F" w14:textId="718010A3" w:rsidR="002E615B" w:rsidRPr="002E615B" w:rsidRDefault="002E615B" w:rsidP="002E615B">
      <w:pPr>
        <w:pStyle w:val="EndNoteBibliography"/>
        <w:spacing w:after="0"/>
        <w:ind w:left="720" w:hanging="720"/>
      </w:pPr>
      <w:r w:rsidRPr="002E615B">
        <w:t xml:space="preserve">Bureau of Ocean Energy Management. (2019). BOEM Announces Next Steps for Proposed New York - New Jersey Wind Energy Transmission Line: Includes Opportunity for Expressions of Competitive Interest and Public Comments [Press release]. Retrieved from </w:t>
      </w:r>
      <w:hyperlink r:id="rId25" w:history="1">
        <w:r w:rsidRPr="002E615B">
          <w:rPr>
            <w:rStyle w:val="Hyperlink"/>
          </w:rPr>
          <w:t>https://www.boem.gov/press06172019/</w:t>
        </w:r>
      </w:hyperlink>
    </w:p>
    <w:p w14:paraId="5846BC64" w14:textId="56238744" w:rsidR="002E615B" w:rsidRPr="002E615B" w:rsidRDefault="002E615B" w:rsidP="002E615B">
      <w:pPr>
        <w:pStyle w:val="EndNoteBibliography"/>
        <w:spacing w:after="0"/>
        <w:ind w:left="720" w:hanging="720"/>
      </w:pPr>
      <w:r w:rsidRPr="002E615B">
        <w:t xml:space="preserve">C2ES. (2019). </w:t>
      </w:r>
      <w:r w:rsidRPr="002E615B">
        <w:rPr>
          <w:i/>
        </w:rPr>
        <w:t>U.S. State Greenhouse Gas Emissions Targets</w:t>
      </w:r>
      <w:r w:rsidRPr="002E615B">
        <w:t xml:space="preserve">. Retrieved from: </w:t>
      </w:r>
      <w:hyperlink r:id="rId26" w:history="1">
        <w:r w:rsidRPr="002E615B">
          <w:rPr>
            <w:rStyle w:val="Hyperlink"/>
          </w:rPr>
          <w:t>https://www.c2es.org/document/greenhouse-gas-emissions-targets/</w:t>
        </w:r>
      </w:hyperlink>
    </w:p>
    <w:p w14:paraId="0D839453" w14:textId="1F8D0319" w:rsidR="002E615B" w:rsidRPr="002E615B" w:rsidRDefault="002E615B" w:rsidP="002E615B">
      <w:pPr>
        <w:pStyle w:val="EndNoteBibliography"/>
        <w:spacing w:after="0"/>
        <w:ind w:left="720" w:hanging="720"/>
      </w:pPr>
      <w:r w:rsidRPr="002E615B">
        <w:t xml:space="preserve">Castle Wind. (2019). Castle Wind and Monterey Bay Community Power Sign Agreement in Anticipation of Offshore Wind Project Off the Coast of Morro Bay [Press release]. Retrieved from </w:t>
      </w:r>
      <w:hyperlink r:id="rId27" w:history="1">
        <w:r w:rsidRPr="002E615B">
          <w:rPr>
            <w:rStyle w:val="Hyperlink"/>
          </w:rPr>
          <w:t>http://castlewind.com/castle-wind-and-monterey-bay-community-power-sign-agreement-in-anticipation-of-offshore-wind-project-off-the-coast-of-morro-bay/</w:t>
        </w:r>
      </w:hyperlink>
    </w:p>
    <w:p w14:paraId="5AE0BF19" w14:textId="77777777" w:rsidR="002E615B" w:rsidRPr="002E615B" w:rsidRDefault="002E615B" w:rsidP="002E615B">
      <w:pPr>
        <w:pStyle w:val="EndNoteBibliography"/>
        <w:spacing w:after="0"/>
        <w:ind w:left="720" w:hanging="720"/>
      </w:pPr>
      <w:r w:rsidRPr="002E615B">
        <w:t>Climate Leadership and Community Protection Act, S6599, New York State Senate (2019).</w:t>
      </w:r>
    </w:p>
    <w:p w14:paraId="11E391AF" w14:textId="36E7A366" w:rsidR="002E615B" w:rsidRPr="002E615B" w:rsidRDefault="002E615B" w:rsidP="002E615B">
      <w:pPr>
        <w:pStyle w:val="EndNoteBibliography"/>
        <w:spacing w:after="0"/>
        <w:ind w:left="720" w:hanging="720"/>
      </w:pPr>
      <w:r w:rsidRPr="002E615B">
        <w:t xml:space="preserve">General Electric. (2019). Haliade-X Offshore Wind Turbine. Retrieved from </w:t>
      </w:r>
      <w:hyperlink r:id="rId28" w:history="1">
        <w:r w:rsidRPr="002E615B">
          <w:rPr>
            <w:rStyle w:val="Hyperlink"/>
          </w:rPr>
          <w:t>https://www.ge.com/renewableenergy/wind-energy/offshore-wind/haliade-x-offshore-turbine</w:t>
        </w:r>
      </w:hyperlink>
    </w:p>
    <w:p w14:paraId="7B659E8A" w14:textId="59E36033" w:rsidR="002E615B" w:rsidRPr="002E615B" w:rsidRDefault="002E615B" w:rsidP="002E615B">
      <w:pPr>
        <w:pStyle w:val="EndNoteBibliography"/>
        <w:spacing w:after="0"/>
        <w:ind w:left="720" w:hanging="720"/>
      </w:pPr>
      <w:r w:rsidRPr="002E615B">
        <w:t xml:space="preserve">GWEC. (2019). </w:t>
      </w:r>
      <w:r w:rsidRPr="002E615B">
        <w:rPr>
          <w:i/>
        </w:rPr>
        <w:t>Global Wind Energy Council: Global Wind Report 2018</w:t>
      </w:r>
      <w:r w:rsidRPr="002E615B">
        <w:t xml:space="preserve">. Retrieved from </w:t>
      </w:r>
      <w:hyperlink r:id="rId29" w:history="1">
        <w:r w:rsidRPr="002E615B">
          <w:rPr>
            <w:rStyle w:val="Hyperlink"/>
          </w:rPr>
          <w:t>https://gwec.net/wp-content/uploads/2019/04/GWEC-Global-Wind-Report-2018.pdf</w:t>
        </w:r>
      </w:hyperlink>
    </w:p>
    <w:p w14:paraId="6F360DCE" w14:textId="68C5554A" w:rsidR="002E615B" w:rsidRPr="002E615B" w:rsidRDefault="002E615B" w:rsidP="002E615B">
      <w:pPr>
        <w:pStyle w:val="EndNoteBibliography"/>
        <w:spacing w:after="0"/>
        <w:ind w:left="720" w:hanging="720"/>
      </w:pPr>
      <w:r w:rsidRPr="002E615B">
        <w:t xml:space="preserve">Lazard. (2018). </w:t>
      </w:r>
      <w:r w:rsidRPr="002E615B">
        <w:rPr>
          <w:i/>
        </w:rPr>
        <w:t>Lazard's Levelized Cost fo Energy Analysis - Version 12.0</w:t>
      </w:r>
      <w:r w:rsidRPr="002E615B">
        <w:t xml:space="preserve">. Retrieved from </w:t>
      </w:r>
      <w:hyperlink r:id="rId30" w:history="1">
        <w:r w:rsidRPr="002E615B">
          <w:rPr>
            <w:rStyle w:val="Hyperlink"/>
          </w:rPr>
          <w:t>https://www.lazard.com/media/450784/lazards-levelized-cost-of-energy-version-120-vfinal.pdf</w:t>
        </w:r>
      </w:hyperlink>
    </w:p>
    <w:p w14:paraId="72A7D3EC" w14:textId="77777777" w:rsidR="002E615B" w:rsidRPr="002E615B" w:rsidRDefault="002E615B" w:rsidP="002E615B">
      <w:pPr>
        <w:pStyle w:val="EndNoteBibliography"/>
        <w:spacing w:after="0"/>
        <w:ind w:left="720" w:hanging="720"/>
      </w:pPr>
      <w:r w:rsidRPr="002E615B">
        <w:t xml:space="preserve">Lenox, C. (2019). </w:t>
      </w:r>
      <w:r w:rsidRPr="002E615B">
        <w:rPr>
          <w:i/>
        </w:rPr>
        <w:t>EPAUS9rT database for use with the TIMES modeling platform</w:t>
      </w:r>
      <w:r w:rsidRPr="002E615B">
        <w:t>. U.S. Environmental Protection Agency, Washington, DC</w:t>
      </w:r>
    </w:p>
    <w:p w14:paraId="0286C3AA" w14:textId="77777777" w:rsidR="002E615B" w:rsidRPr="002E615B" w:rsidRDefault="002E615B" w:rsidP="002E615B">
      <w:pPr>
        <w:pStyle w:val="EndNoteBibliography"/>
        <w:spacing w:after="0"/>
        <w:ind w:left="720" w:hanging="720"/>
      </w:pPr>
      <w:r w:rsidRPr="002E615B">
        <w:t xml:space="preserve">Loulou, R., Remne, U., Kanudia, A., Lehtila, A., &amp; Goldstein, G. (2005). Documentation for the TIMES model. . </w:t>
      </w:r>
      <w:r w:rsidRPr="002E615B">
        <w:rPr>
          <w:i/>
        </w:rPr>
        <w:t>Tech. Rep. Energy Technology Systems Analysis Programme (ETSAP)</w:t>
      </w:r>
      <w:r w:rsidRPr="002E615B">
        <w:t xml:space="preserve">. </w:t>
      </w:r>
    </w:p>
    <w:p w14:paraId="778F8EA4" w14:textId="77777777" w:rsidR="002E615B" w:rsidRPr="002E615B" w:rsidRDefault="002E615B" w:rsidP="002E615B">
      <w:pPr>
        <w:pStyle w:val="EndNoteBibliography"/>
        <w:spacing w:after="0"/>
        <w:ind w:left="720" w:hanging="720"/>
      </w:pPr>
      <w:r w:rsidRPr="002E615B">
        <w:t xml:space="preserve">Musial, W., Heimiller, D., Beiter, P., Scott, G., &amp; Draxl, C. (2016). 2016 Offshore Wind Energy Resource Assessment for the United States. </w:t>
      </w:r>
      <w:r w:rsidRPr="002E615B">
        <w:rPr>
          <w:i/>
        </w:rPr>
        <w:t>National Renewable Energy Laboratory</w:t>
      </w:r>
      <w:r w:rsidRPr="002E615B">
        <w:t xml:space="preserve">(NREL/TP-5000-66599). </w:t>
      </w:r>
    </w:p>
    <w:p w14:paraId="68460683" w14:textId="77777777" w:rsidR="002E615B" w:rsidRPr="002E615B" w:rsidRDefault="002E615B" w:rsidP="002E615B">
      <w:pPr>
        <w:pStyle w:val="EndNoteBibliography"/>
        <w:spacing w:after="0"/>
        <w:ind w:left="720" w:hanging="720"/>
      </w:pPr>
      <w:r w:rsidRPr="002E615B">
        <w:t xml:space="preserve">NCCETC. (2019). </w:t>
      </w:r>
      <w:r w:rsidRPr="002E615B">
        <w:rPr>
          <w:i/>
        </w:rPr>
        <w:t>Renewable and Clean Energy Standards: Database of State Incentives for Renewables and Efficiency</w:t>
      </w:r>
      <w:r w:rsidRPr="002E615B">
        <w:t xml:space="preserve">. Retrieved from </w:t>
      </w:r>
    </w:p>
    <w:p w14:paraId="2DCABC3F" w14:textId="1457F73E" w:rsidR="002E615B" w:rsidRPr="002E615B" w:rsidRDefault="002E615B" w:rsidP="002E615B">
      <w:pPr>
        <w:pStyle w:val="EndNoteBibliography"/>
        <w:spacing w:after="0"/>
        <w:ind w:left="720" w:hanging="720"/>
      </w:pPr>
      <w:r w:rsidRPr="002E615B">
        <w:t xml:space="preserve">NJ Board of Public Utilities. (2019). New Jersey Board of Public Utilities Awards Historic 1,100 MW Offshore Wind Soliciation to Orstead's Ocean Wind Project [Press release]. Retrieved from </w:t>
      </w:r>
      <w:hyperlink r:id="rId31" w:history="1">
        <w:r w:rsidRPr="002E615B">
          <w:rPr>
            <w:rStyle w:val="Hyperlink"/>
          </w:rPr>
          <w:t>https://www.bpu.state.nj.us/bpu/newsroom/2019/approved/20190621.html</w:t>
        </w:r>
      </w:hyperlink>
    </w:p>
    <w:p w14:paraId="25E992BC" w14:textId="38546959" w:rsidR="002E615B" w:rsidRPr="002E615B" w:rsidRDefault="002E615B" w:rsidP="002E615B">
      <w:pPr>
        <w:pStyle w:val="EndNoteBibliography"/>
        <w:spacing w:after="0"/>
        <w:ind w:left="720" w:hanging="720"/>
      </w:pPr>
      <w:r w:rsidRPr="002E615B">
        <w:t xml:space="preserve">NOAA. (2013). </w:t>
      </w:r>
      <w:r w:rsidRPr="002E615B">
        <w:rPr>
          <w:i/>
        </w:rPr>
        <w:t>National Coastal Population Report: Population Trends from 1970 to 2020</w:t>
      </w:r>
      <w:r w:rsidRPr="002E615B">
        <w:t xml:space="preserve">. Retrieved from </w:t>
      </w:r>
      <w:hyperlink r:id="rId32" w:history="1">
        <w:r w:rsidRPr="002E615B">
          <w:rPr>
            <w:rStyle w:val="Hyperlink"/>
          </w:rPr>
          <w:t>https://aamboceanservice.blob.core.windows.net/oceanservice-prod/facts/coastal-population-report.pdf</w:t>
        </w:r>
      </w:hyperlink>
    </w:p>
    <w:p w14:paraId="35A17B96" w14:textId="71E6BAEE" w:rsidR="002E615B" w:rsidRPr="002E615B" w:rsidRDefault="002E615B" w:rsidP="002E615B">
      <w:pPr>
        <w:pStyle w:val="EndNoteBibliography"/>
        <w:spacing w:after="0"/>
        <w:ind w:left="720" w:hanging="720"/>
      </w:pPr>
      <w:r w:rsidRPr="002E615B">
        <w:t xml:space="preserve">NOAA. (2014). </w:t>
      </w:r>
      <w:r w:rsidRPr="002E615B">
        <w:rPr>
          <w:i/>
        </w:rPr>
        <w:t>American Community Survey Five-Year Estimates [NOAA Office for Coastal Management, U.S. Census Bureau]</w:t>
      </w:r>
      <w:r w:rsidRPr="002E615B">
        <w:t xml:space="preserve">. Retrieved from: </w:t>
      </w:r>
      <w:hyperlink r:id="rId33" w:history="1">
        <w:r w:rsidRPr="002E615B">
          <w:rPr>
            <w:rStyle w:val="Hyperlink"/>
          </w:rPr>
          <w:t>https://coast.noaa.gov/digitalcoast/data/acs</w:t>
        </w:r>
      </w:hyperlink>
    </w:p>
    <w:p w14:paraId="674CB3BD" w14:textId="77777777" w:rsidR="002E615B" w:rsidRPr="002E615B" w:rsidRDefault="002E615B" w:rsidP="002E615B">
      <w:pPr>
        <w:pStyle w:val="EndNoteBibliography"/>
        <w:spacing w:after="0"/>
        <w:ind w:left="720" w:hanging="720"/>
      </w:pPr>
      <w:r w:rsidRPr="002E615B">
        <w:t xml:space="preserve">Ringkjob, H.-K., Haugan, P. M., &amp; Solbrekke, I. M. (2018). A review of modelling tools for energy and electricity systems with large shares of variable renewables. </w:t>
      </w:r>
      <w:r w:rsidRPr="002E615B">
        <w:rPr>
          <w:i/>
        </w:rPr>
        <w:t>Renewable and Sustainable Energy Reviews, 96</w:t>
      </w:r>
      <w:r w:rsidRPr="002E615B">
        <w:t xml:space="preserve">, 440-459. </w:t>
      </w:r>
    </w:p>
    <w:p w14:paraId="0A3D47F7" w14:textId="5163B181" w:rsidR="002E615B" w:rsidRPr="002E615B" w:rsidRDefault="002E615B" w:rsidP="002E615B">
      <w:pPr>
        <w:pStyle w:val="EndNoteBibliography"/>
        <w:spacing w:after="0"/>
        <w:ind w:left="720" w:hanging="720"/>
      </w:pPr>
      <w:r w:rsidRPr="002E615B">
        <w:t>St. John, J. (2017). Offshore Wind Reaches Cost-Competitiveness withouth Subsidies.</w:t>
      </w:r>
      <w:r w:rsidRPr="002E615B">
        <w:rPr>
          <w:i/>
        </w:rPr>
        <w:t xml:space="preserve"> Greentech Media</w:t>
      </w:r>
      <w:r w:rsidRPr="002E615B">
        <w:t xml:space="preserve">. Retrieved from </w:t>
      </w:r>
      <w:hyperlink r:id="rId34" w:history="1">
        <w:r w:rsidRPr="002E615B">
          <w:rPr>
            <w:rStyle w:val="Hyperlink"/>
          </w:rPr>
          <w:t>https://www.greentechmedia.com/articles/read/offshore-wind-reaches-cost-competitiveness-without-subsidies#gs.2plxee</w:t>
        </w:r>
      </w:hyperlink>
    </w:p>
    <w:p w14:paraId="1C1B50D8" w14:textId="1564DE42" w:rsidR="002E615B" w:rsidRPr="002E615B" w:rsidRDefault="002E615B" w:rsidP="002E615B">
      <w:pPr>
        <w:pStyle w:val="EndNoteBibliography"/>
        <w:spacing w:after="0"/>
        <w:ind w:left="720" w:hanging="720"/>
      </w:pPr>
      <w:r w:rsidRPr="002E615B">
        <w:t xml:space="preserve">U.S. EIA. (2018a). </w:t>
      </w:r>
      <w:r w:rsidRPr="002E615B">
        <w:rPr>
          <w:i/>
        </w:rPr>
        <w:t>U.S. primary energy consumption by energy source, 2018</w:t>
      </w:r>
      <w:r w:rsidRPr="002E615B">
        <w:t xml:space="preserve">. Retrieved from: </w:t>
      </w:r>
      <w:hyperlink r:id="rId35" w:history="1">
        <w:r w:rsidRPr="002E615B">
          <w:rPr>
            <w:rStyle w:val="Hyperlink"/>
          </w:rPr>
          <w:t>https://www.eia.gov/energyexplained/us-energy-facts/</w:t>
        </w:r>
      </w:hyperlink>
    </w:p>
    <w:p w14:paraId="0DDE6025" w14:textId="17DFD785" w:rsidR="002E615B" w:rsidRPr="002E615B" w:rsidRDefault="002E615B" w:rsidP="002E615B">
      <w:pPr>
        <w:pStyle w:val="EndNoteBibliography"/>
        <w:spacing w:after="0"/>
        <w:ind w:left="720" w:hanging="720"/>
      </w:pPr>
      <w:r w:rsidRPr="002E615B">
        <w:t xml:space="preserve">U.S. EIA. (2018b). </w:t>
      </w:r>
      <w:r w:rsidRPr="002E615B">
        <w:rPr>
          <w:i/>
        </w:rPr>
        <w:t>US electricity generation by energy source</w:t>
      </w:r>
      <w:r w:rsidRPr="002E615B">
        <w:t xml:space="preserve">. Retrieved from: </w:t>
      </w:r>
      <w:hyperlink r:id="rId36" w:history="1">
        <w:r w:rsidRPr="002E615B">
          <w:rPr>
            <w:rStyle w:val="Hyperlink"/>
          </w:rPr>
          <w:t>https://www.eia.gov/tools/faqs/faq.php?id=427&amp;t=4</w:t>
        </w:r>
      </w:hyperlink>
    </w:p>
    <w:p w14:paraId="588637A2" w14:textId="4DB787A6" w:rsidR="002E615B" w:rsidRPr="002E615B" w:rsidRDefault="002E615B" w:rsidP="002E615B">
      <w:pPr>
        <w:pStyle w:val="EndNoteBibliography"/>
        <w:spacing w:after="0"/>
        <w:ind w:left="720" w:hanging="720"/>
      </w:pPr>
      <w:r w:rsidRPr="002E615B">
        <w:t xml:space="preserve">U.S. EIA. (2019). </w:t>
      </w:r>
      <w:r w:rsidRPr="002E615B">
        <w:rPr>
          <w:i/>
        </w:rPr>
        <w:t>Annual Energy Outlook 2019 - with projections to 2050</w:t>
      </w:r>
      <w:r w:rsidRPr="002E615B">
        <w:t xml:space="preserve">. Retrieved from </w:t>
      </w:r>
      <w:hyperlink r:id="rId37" w:history="1">
        <w:r w:rsidRPr="002E615B">
          <w:rPr>
            <w:rStyle w:val="Hyperlink"/>
          </w:rPr>
          <w:t>https://www.eia.gov/outlooks/aeo/pdf/aeo2019.pdf</w:t>
        </w:r>
      </w:hyperlink>
    </w:p>
    <w:p w14:paraId="01815F58" w14:textId="7A76BCD9" w:rsidR="002E615B" w:rsidRPr="002E615B" w:rsidRDefault="002E615B" w:rsidP="002E615B">
      <w:pPr>
        <w:pStyle w:val="EndNoteBibliography"/>
        <w:spacing w:after="0"/>
        <w:ind w:left="720" w:hanging="720"/>
      </w:pPr>
      <w:r w:rsidRPr="002E615B">
        <w:t xml:space="preserve">U.S. EPA. (2014). </w:t>
      </w:r>
      <w:r w:rsidRPr="002E615B">
        <w:rPr>
          <w:i/>
        </w:rPr>
        <w:t>National Emissions Inventory Report</w:t>
      </w:r>
      <w:r w:rsidRPr="002E615B">
        <w:t xml:space="preserve">. Retrieved from </w:t>
      </w:r>
      <w:hyperlink r:id="rId38" w:history="1">
        <w:r w:rsidRPr="002E615B">
          <w:rPr>
            <w:rStyle w:val="Hyperlink"/>
          </w:rPr>
          <w:t>https://gispub.epa.gov/neireport/2014/</w:t>
        </w:r>
      </w:hyperlink>
    </w:p>
    <w:p w14:paraId="18498A3B" w14:textId="48858093" w:rsidR="002E615B" w:rsidRPr="002E615B" w:rsidRDefault="002E615B" w:rsidP="002E615B">
      <w:pPr>
        <w:pStyle w:val="EndNoteBibliography"/>
        <w:ind w:left="720" w:hanging="720"/>
      </w:pPr>
      <w:r w:rsidRPr="002E615B">
        <w:t xml:space="preserve">U.S. EPA. (2017). </w:t>
      </w:r>
      <w:r w:rsidRPr="002E615B">
        <w:rPr>
          <w:i/>
        </w:rPr>
        <w:t>Inventory of U.S. Greenhouse Gas Emissions and Sinks: 1990-2017 Inventory Report</w:t>
      </w:r>
      <w:r w:rsidRPr="002E615B">
        <w:t xml:space="preserve">. Retrieved from </w:t>
      </w:r>
      <w:hyperlink r:id="rId39" w:history="1">
        <w:r w:rsidRPr="002E615B">
          <w:rPr>
            <w:rStyle w:val="Hyperlink"/>
          </w:rPr>
          <w:t>https://www.epa.gov/ghgemissions/inventory-us-greenhouse-gas-emissions-and-sinks</w:t>
        </w:r>
      </w:hyperlink>
    </w:p>
    <w:p w14:paraId="0366F77F" w14:textId="605AD927" w:rsidR="008570E5" w:rsidRPr="008570E5" w:rsidRDefault="005A2E07" w:rsidP="00FD3B07">
      <w:pPr>
        <w:pStyle w:val="Heading2"/>
        <w:spacing w:before="0"/>
        <w:contextualSpacing/>
        <w:jc w:val="both"/>
      </w:pPr>
      <w:r w:rsidRPr="00780067">
        <w:rPr>
          <w:rFonts w:asciiTheme="minorHAnsi" w:hAnsiTheme="minorHAnsi" w:cstheme="minorHAnsi"/>
          <w:sz w:val="22"/>
          <w:szCs w:val="22"/>
        </w:rPr>
        <w:fldChar w:fldCharType="end"/>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3E99" w:rsidRDefault="00213E99" w:rsidP="00B72FB6">
      <w:pPr>
        <w:spacing w:after="0" w:line="240" w:lineRule="auto"/>
      </w:pPr>
      <w:r>
        <w:separator/>
      </w:r>
    </w:p>
  </w:endnote>
  <w:endnote w:type="continuationSeparator" w:id="0">
    <w:p w14:paraId="43FFD76F" w14:textId="77777777" w:rsidR="00213E99" w:rsidRDefault="00213E99"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3E99" w:rsidRDefault="00213E99" w:rsidP="00B72FB6">
      <w:pPr>
        <w:spacing w:after="0" w:line="240" w:lineRule="auto"/>
      </w:pPr>
      <w:r>
        <w:separator/>
      </w:r>
    </w:p>
  </w:footnote>
  <w:footnote w:type="continuationSeparator" w:id="0">
    <w:p w14:paraId="572982D1" w14:textId="77777777" w:rsidR="00213E99" w:rsidRDefault="00213E99"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48&lt;/item&gt;&lt;item&gt;50&lt;/item&gt;&lt;item&gt;54&lt;/item&gt;&lt;item&gt;59&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137&lt;/item&gt;&lt;item&gt;139&lt;/item&gt;&lt;item&gt;140&lt;/item&gt;&lt;/record-ids&gt;&lt;/item&gt;&lt;/Libraries&gt;"/>
  </w:docVars>
  <w:rsids>
    <w:rsidRoot w:val="008570E5"/>
    <w:rsid w:val="00002AAD"/>
    <w:rsid w:val="00006892"/>
    <w:rsid w:val="000135C5"/>
    <w:rsid w:val="00016F8D"/>
    <w:rsid w:val="00017FCB"/>
    <w:rsid w:val="00024089"/>
    <w:rsid w:val="00032FA4"/>
    <w:rsid w:val="00037BFA"/>
    <w:rsid w:val="00045D45"/>
    <w:rsid w:val="00050729"/>
    <w:rsid w:val="00050B11"/>
    <w:rsid w:val="00052A48"/>
    <w:rsid w:val="00057B1D"/>
    <w:rsid w:val="000600C5"/>
    <w:rsid w:val="000725AD"/>
    <w:rsid w:val="00075C61"/>
    <w:rsid w:val="00076820"/>
    <w:rsid w:val="0007766E"/>
    <w:rsid w:val="0008787D"/>
    <w:rsid w:val="00087B87"/>
    <w:rsid w:val="000965E5"/>
    <w:rsid w:val="0009765E"/>
    <w:rsid w:val="000A6265"/>
    <w:rsid w:val="000A6BF9"/>
    <w:rsid w:val="000B38A2"/>
    <w:rsid w:val="000B4F1B"/>
    <w:rsid w:val="000C5A1F"/>
    <w:rsid w:val="000C6AE2"/>
    <w:rsid w:val="000E1F1A"/>
    <w:rsid w:val="000E26CC"/>
    <w:rsid w:val="000E2776"/>
    <w:rsid w:val="000E2D56"/>
    <w:rsid w:val="000E5F81"/>
    <w:rsid w:val="000F5336"/>
    <w:rsid w:val="000F7624"/>
    <w:rsid w:val="000F76F5"/>
    <w:rsid w:val="00102508"/>
    <w:rsid w:val="00103CE5"/>
    <w:rsid w:val="0010799C"/>
    <w:rsid w:val="00113F30"/>
    <w:rsid w:val="00120A06"/>
    <w:rsid w:val="0012116C"/>
    <w:rsid w:val="00124EB0"/>
    <w:rsid w:val="00130066"/>
    <w:rsid w:val="0013129D"/>
    <w:rsid w:val="00131414"/>
    <w:rsid w:val="00132537"/>
    <w:rsid w:val="00134E75"/>
    <w:rsid w:val="00140060"/>
    <w:rsid w:val="00145B55"/>
    <w:rsid w:val="001471FB"/>
    <w:rsid w:val="001507A4"/>
    <w:rsid w:val="0015437C"/>
    <w:rsid w:val="0015724F"/>
    <w:rsid w:val="00157557"/>
    <w:rsid w:val="0016033D"/>
    <w:rsid w:val="00171158"/>
    <w:rsid w:val="00172072"/>
    <w:rsid w:val="00175A9B"/>
    <w:rsid w:val="00190E97"/>
    <w:rsid w:val="00191DB4"/>
    <w:rsid w:val="00192CAB"/>
    <w:rsid w:val="00194E9D"/>
    <w:rsid w:val="00196BFC"/>
    <w:rsid w:val="001A19F3"/>
    <w:rsid w:val="001A4547"/>
    <w:rsid w:val="001A49D5"/>
    <w:rsid w:val="001B2EC0"/>
    <w:rsid w:val="001B6D5C"/>
    <w:rsid w:val="001B702A"/>
    <w:rsid w:val="001B76F8"/>
    <w:rsid w:val="001C1DBF"/>
    <w:rsid w:val="001C3751"/>
    <w:rsid w:val="001C3FF0"/>
    <w:rsid w:val="001C5CC6"/>
    <w:rsid w:val="001C70B3"/>
    <w:rsid w:val="001D4559"/>
    <w:rsid w:val="001D4F71"/>
    <w:rsid w:val="001D59AF"/>
    <w:rsid w:val="001E0C5F"/>
    <w:rsid w:val="001E6735"/>
    <w:rsid w:val="001F0E18"/>
    <w:rsid w:val="001F3CFF"/>
    <w:rsid w:val="001F4640"/>
    <w:rsid w:val="00200B0C"/>
    <w:rsid w:val="00203AA1"/>
    <w:rsid w:val="00211655"/>
    <w:rsid w:val="00213E99"/>
    <w:rsid w:val="00214834"/>
    <w:rsid w:val="00217FC3"/>
    <w:rsid w:val="00221AA7"/>
    <w:rsid w:val="00222298"/>
    <w:rsid w:val="00222399"/>
    <w:rsid w:val="00222CC0"/>
    <w:rsid w:val="0023222D"/>
    <w:rsid w:val="00232FEC"/>
    <w:rsid w:val="00256ABB"/>
    <w:rsid w:val="00256CE3"/>
    <w:rsid w:val="00273CA5"/>
    <w:rsid w:val="00280D71"/>
    <w:rsid w:val="00281D73"/>
    <w:rsid w:val="002A568C"/>
    <w:rsid w:val="002A6E8C"/>
    <w:rsid w:val="002B4CE3"/>
    <w:rsid w:val="002B707D"/>
    <w:rsid w:val="002B7D5D"/>
    <w:rsid w:val="002D157A"/>
    <w:rsid w:val="002D4028"/>
    <w:rsid w:val="002E4A2F"/>
    <w:rsid w:val="002E615B"/>
    <w:rsid w:val="002E6814"/>
    <w:rsid w:val="002F1E9B"/>
    <w:rsid w:val="00303C7F"/>
    <w:rsid w:val="00303F12"/>
    <w:rsid w:val="00304B8A"/>
    <w:rsid w:val="003061BE"/>
    <w:rsid w:val="00313C1B"/>
    <w:rsid w:val="00314C41"/>
    <w:rsid w:val="00314CBF"/>
    <w:rsid w:val="00322B7B"/>
    <w:rsid w:val="00322C6C"/>
    <w:rsid w:val="00323CE2"/>
    <w:rsid w:val="00333203"/>
    <w:rsid w:val="003358EC"/>
    <w:rsid w:val="003374A8"/>
    <w:rsid w:val="003477C7"/>
    <w:rsid w:val="00366525"/>
    <w:rsid w:val="00367E00"/>
    <w:rsid w:val="0037079A"/>
    <w:rsid w:val="003767EB"/>
    <w:rsid w:val="00377949"/>
    <w:rsid w:val="00381311"/>
    <w:rsid w:val="00397B40"/>
    <w:rsid w:val="003A46A0"/>
    <w:rsid w:val="003A6702"/>
    <w:rsid w:val="003B0AAF"/>
    <w:rsid w:val="003B1F90"/>
    <w:rsid w:val="003B3C33"/>
    <w:rsid w:val="003B4A7E"/>
    <w:rsid w:val="003B5939"/>
    <w:rsid w:val="003B78E1"/>
    <w:rsid w:val="003C14BD"/>
    <w:rsid w:val="003C370A"/>
    <w:rsid w:val="003D0650"/>
    <w:rsid w:val="003E44A3"/>
    <w:rsid w:val="003F730F"/>
    <w:rsid w:val="00410EB7"/>
    <w:rsid w:val="00414583"/>
    <w:rsid w:val="004262BF"/>
    <w:rsid w:val="00431D48"/>
    <w:rsid w:val="00434696"/>
    <w:rsid w:val="00434A79"/>
    <w:rsid w:val="004350A7"/>
    <w:rsid w:val="004351EC"/>
    <w:rsid w:val="00437ABE"/>
    <w:rsid w:val="004478A3"/>
    <w:rsid w:val="00450914"/>
    <w:rsid w:val="0045753F"/>
    <w:rsid w:val="00460E65"/>
    <w:rsid w:val="00461738"/>
    <w:rsid w:val="0046351B"/>
    <w:rsid w:val="00463A55"/>
    <w:rsid w:val="00464FDB"/>
    <w:rsid w:val="0046759C"/>
    <w:rsid w:val="00473E2A"/>
    <w:rsid w:val="00475D0A"/>
    <w:rsid w:val="0048164F"/>
    <w:rsid w:val="00490563"/>
    <w:rsid w:val="004A0476"/>
    <w:rsid w:val="004A1860"/>
    <w:rsid w:val="004A1D98"/>
    <w:rsid w:val="004A4ABB"/>
    <w:rsid w:val="004A6F8A"/>
    <w:rsid w:val="004C0518"/>
    <w:rsid w:val="004C5F81"/>
    <w:rsid w:val="004D779B"/>
    <w:rsid w:val="004E56EE"/>
    <w:rsid w:val="00516609"/>
    <w:rsid w:val="00517B41"/>
    <w:rsid w:val="0052716D"/>
    <w:rsid w:val="00536A6F"/>
    <w:rsid w:val="00544051"/>
    <w:rsid w:val="0054470C"/>
    <w:rsid w:val="005451E9"/>
    <w:rsid w:val="00553323"/>
    <w:rsid w:val="00563D5E"/>
    <w:rsid w:val="00571CAB"/>
    <w:rsid w:val="00576E5A"/>
    <w:rsid w:val="005841F9"/>
    <w:rsid w:val="00591FF7"/>
    <w:rsid w:val="005A2E07"/>
    <w:rsid w:val="005B1156"/>
    <w:rsid w:val="005B5AAA"/>
    <w:rsid w:val="005C4CE5"/>
    <w:rsid w:val="005C51E8"/>
    <w:rsid w:val="005C7190"/>
    <w:rsid w:val="005D66A3"/>
    <w:rsid w:val="005F5C74"/>
    <w:rsid w:val="005F63A1"/>
    <w:rsid w:val="005F674A"/>
    <w:rsid w:val="005F7F39"/>
    <w:rsid w:val="00602039"/>
    <w:rsid w:val="00604627"/>
    <w:rsid w:val="00610A5B"/>
    <w:rsid w:val="006154DE"/>
    <w:rsid w:val="006160A8"/>
    <w:rsid w:val="006248E5"/>
    <w:rsid w:val="00625589"/>
    <w:rsid w:val="00632CD2"/>
    <w:rsid w:val="00636957"/>
    <w:rsid w:val="00640F33"/>
    <w:rsid w:val="00655D31"/>
    <w:rsid w:val="006678E8"/>
    <w:rsid w:val="00672BC3"/>
    <w:rsid w:val="006731E4"/>
    <w:rsid w:val="00682396"/>
    <w:rsid w:val="00686BF8"/>
    <w:rsid w:val="00690B5A"/>
    <w:rsid w:val="00696B14"/>
    <w:rsid w:val="006A10AE"/>
    <w:rsid w:val="006A42AB"/>
    <w:rsid w:val="006B66AE"/>
    <w:rsid w:val="006B7213"/>
    <w:rsid w:val="006C26B7"/>
    <w:rsid w:val="006D21CF"/>
    <w:rsid w:val="006D3114"/>
    <w:rsid w:val="006D3660"/>
    <w:rsid w:val="006D5C08"/>
    <w:rsid w:val="006E083D"/>
    <w:rsid w:val="006E4347"/>
    <w:rsid w:val="006E55D2"/>
    <w:rsid w:val="006E76D3"/>
    <w:rsid w:val="006F4121"/>
    <w:rsid w:val="006F44EF"/>
    <w:rsid w:val="00702B56"/>
    <w:rsid w:val="00702FAE"/>
    <w:rsid w:val="007037BE"/>
    <w:rsid w:val="00703AF8"/>
    <w:rsid w:val="00710F71"/>
    <w:rsid w:val="0071122B"/>
    <w:rsid w:val="00712618"/>
    <w:rsid w:val="00713F51"/>
    <w:rsid w:val="007173AF"/>
    <w:rsid w:val="00721E76"/>
    <w:rsid w:val="00726D59"/>
    <w:rsid w:val="00727347"/>
    <w:rsid w:val="00730D79"/>
    <w:rsid w:val="00737EEE"/>
    <w:rsid w:val="00741C80"/>
    <w:rsid w:val="00750352"/>
    <w:rsid w:val="00751CDE"/>
    <w:rsid w:val="007533E8"/>
    <w:rsid w:val="00760150"/>
    <w:rsid w:val="00760203"/>
    <w:rsid w:val="00773621"/>
    <w:rsid w:val="0077558A"/>
    <w:rsid w:val="00780067"/>
    <w:rsid w:val="0078355B"/>
    <w:rsid w:val="007A0896"/>
    <w:rsid w:val="007A1970"/>
    <w:rsid w:val="007A40F1"/>
    <w:rsid w:val="007A617D"/>
    <w:rsid w:val="007B141F"/>
    <w:rsid w:val="007B1F42"/>
    <w:rsid w:val="007B3E1B"/>
    <w:rsid w:val="007B5227"/>
    <w:rsid w:val="007B5878"/>
    <w:rsid w:val="007B60AB"/>
    <w:rsid w:val="007C6538"/>
    <w:rsid w:val="007D356F"/>
    <w:rsid w:val="007D6B36"/>
    <w:rsid w:val="007E1621"/>
    <w:rsid w:val="007E54D2"/>
    <w:rsid w:val="007E6D3A"/>
    <w:rsid w:val="007F2D1B"/>
    <w:rsid w:val="007F5B0F"/>
    <w:rsid w:val="008030B8"/>
    <w:rsid w:val="00804754"/>
    <w:rsid w:val="00832162"/>
    <w:rsid w:val="00836741"/>
    <w:rsid w:val="0083729B"/>
    <w:rsid w:val="00840F42"/>
    <w:rsid w:val="00843318"/>
    <w:rsid w:val="0084698F"/>
    <w:rsid w:val="0085451A"/>
    <w:rsid w:val="008570E5"/>
    <w:rsid w:val="0086117B"/>
    <w:rsid w:val="008613CA"/>
    <w:rsid w:val="008703A5"/>
    <w:rsid w:val="008A6698"/>
    <w:rsid w:val="008B192A"/>
    <w:rsid w:val="008B4AE8"/>
    <w:rsid w:val="008C0D68"/>
    <w:rsid w:val="008C66EA"/>
    <w:rsid w:val="008C68E4"/>
    <w:rsid w:val="008D44AA"/>
    <w:rsid w:val="008F2840"/>
    <w:rsid w:val="008F2A57"/>
    <w:rsid w:val="00907747"/>
    <w:rsid w:val="00913B59"/>
    <w:rsid w:val="00914550"/>
    <w:rsid w:val="009211A9"/>
    <w:rsid w:val="00931124"/>
    <w:rsid w:val="00937910"/>
    <w:rsid w:val="009447CF"/>
    <w:rsid w:val="009456A5"/>
    <w:rsid w:val="00950B84"/>
    <w:rsid w:val="009524FF"/>
    <w:rsid w:val="00956A72"/>
    <w:rsid w:val="00960A4F"/>
    <w:rsid w:val="00962770"/>
    <w:rsid w:val="0096384F"/>
    <w:rsid w:val="00964E77"/>
    <w:rsid w:val="00977627"/>
    <w:rsid w:val="009825C3"/>
    <w:rsid w:val="00984169"/>
    <w:rsid w:val="00987247"/>
    <w:rsid w:val="00992C56"/>
    <w:rsid w:val="009964BA"/>
    <w:rsid w:val="009B3AB9"/>
    <w:rsid w:val="009B60CA"/>
    <w:rsid w:val="009B7B2F"/>
    <w:rsid w:val="009B7ECA"/>
    <w:rsid w:val="009C4D77"/>
    <w:rsid w:val="009D06D8"/>
    <w:rsid w:val="009D4065"/>
    <w:rsid w:val="009E386A"/>
    <w:rsid w:val="009E4193"/>
    <w:rsid w:val="009F052D"/>
    <w:rsid w:val="009F0578"/>
    <w:rsid w:val="00A000D9"/>
    <w:rsid w:val="00A00F88"/>
    <w:rsid w:val="00A013CB"/>
    <w:rsid w:val="00A15B6B"/>
    <w:rsid w:val="00A2158F"/>
    <w:rsid w:val="00A43F3F"/>
    <w:rsid w:val="00A61661"/>
    <w:rsid w:val="00A65E3E"/>
    <w:rsid w:val="00A6716F"/>
    <w:rsid w:val="00A77F74"/>
    <w:rsid w:val="00A82036"/>
    <w:rsid w:val="00A91E46"/>
    <w:rsid w:val="00A971DE"/>
    <w:rsid w:val="00AA7087"/>
    <w:rsid w:val="00AB2A74"/>
    <w:rsid w:val="00AB6346"/>
    <w:rsid w:val="00AE292E"/>
    <w:rsid w:val="00AE5BF2"/>
    <w:rsid w:val="00AE786A"/>
    <w:rsid w:val="00AF3266"/>
    <w:rsid w:val="00B03F1E"/>
    <w:rsid w:val="00B05CD0"/>
    <w:rsid w:val="00B13E35"/>
    <w:rsid w:val="00B16CE3"/>
    <w:rsid w:val="00B20C79"/>
    <w:rsid w:val="00B252CC"/>
    <w:rsid w:val="00B27C96"/>
    <w:rsid w:val="00B42C4D"/>
    <w:rsid w:val="00B43411"/>
    <w:rsid w:val="00B50E94"/>
    <w:rsid w:val="00B51C2F"/>
    <w:rsid w:val="00B6736D"/>
    <w:rsid w:val="00B67F3B"/>
    <w:rsid w:val="00B72FB6"/>
    <w:rsid w:val="00B7369D"/>
    <w:rsid w:val="00B73EB3"/>
    <w:rsid w:val="00B772B0"/>
    <w:rsid w:val="00B802F8"/>
    <w:rsid w:val="00B91B5E"/>
    <w:rsid w:val="00B9301F"/>
    <w:rsid w:val="00B9642C"/>
    <w:rsid w:val="00B96D35"/>
    <w:rsid w:val="00BA7554"/>
    <w:rsid w:val="00BB7081"/>
    <w:rsid w:val="00BC78E3"/>
    <w:rsid w:val="00BD4400"/>
    <w:rsid w:val="00BD6FBB"/>
    <w:rsid w:val="00BE4451"/>
    <w:rsid w:val="00BE64CD"/>
    <w:rsid w:val="00BE6CF8"/>
    <w:rsid w:val="00BF392D"/>
    <w:rsid w:val="00C00894"/>
    <w:rsid w:val="00C17E93"/>
    <w:rsid w:val="00C25321"/>
    <w:rsid w:val="00C3792B"/>
    <w:rsid w:val="00C44BE4"/>
    <w:rsid w:val="00C4599A"/>
    <w:rsid w:val="00C5075B"/>
    <w:rsid w:val="00C54F6C"/>
    <w:rsid w:val="00C56AE9"/>
    <w:rsid w:val="00C61E15"/>
    <w:rsid w:val="00C6707B"/>
    <w:rsid w:val="00C67316"/>
    <w:rsid w:val="00C76669"/>
    <w:rsid w:val="00C82A97"/>
    <w:rsid w:val="00C83413"/>
    <w:rsid w:val="00C85560"/>
    <w:rsid w:val="00C8572B"/>
    <w:rsid w:val="00C85DCF"/>
    <w:rsid w:val="00C90259"/>
    <w:rsid w:val="00C902EC"/>
    <w:rsid w:val="00C914D3"/>
    <w:rsid w:val="00C9478F"/>
    <w:rsid w:val="00CA0F53"/>
    <w:rsid w:val="00CA506A"/>
    <w:rsid w:val="00CA5155"/>
    <w:rsid w:val="00CA6CCD"/>
    <w:rsid w:val="00CB1D64"/>
    <w:rsid w:val="00CB6B35"/>
    <w:rsid w:val="00CB7434"/>
    <w:rsid w:val="00CC3599"/>
    <w:rsid w:val="00CC666C"/>
    <w:rsid w:val="00CD0BCA"/>
    <w:rsid w:val="00CD7C0B"/>
    <w:rsid w:val="00CE22D7"/>
    <w:rsid w:val="00CE42AF"/>
    <w:rsid w:val="00CE4452"/>
    <w:rsid w:val="00CE5697"/>
    <w:rsid w:val="00CE7699"/>
    <w:rsid w:val="00CF1F6D"/>
    <w:rsid w:val="00CF36A1"/>
    <w:rsid w:val="00CF62DE"/>
    <w:rsid w:val="00CF74B2"/>
    <w:rsid w:val="00D0359E"/>
    <w:rsid w:val="00D03EDB"/>
    <w:rsid w:val="00D1344A"/>
    <w:rsid w:val="00D17476"/>
    <w:rsid w:val="00D2076C"/>
    <w:rsid w:val="00D20D55"/>
    <w:rsid w:val="00D21177"/>
    <w:rsid w:val="00D41480"/>
    <w:rsid w:val="00D45566"/>
    <w:rsid w:val="00D45DBD"/>
    <w:rsid w:val="00D461C7"/>
    <w:rsid w:val="00D4742B"/>
    <w:rsid w:val="00D53C07"/>
    <w:rsid w:val="00D54073"/>
    <w:rsid w:val="00D61287"/>
    <w:rsid w:val="00D639A5"/>
    <w:rsid w:val="00D70726"/>
    <w:rsid w:val="00D71EA2"/>
    <w:rsid w:val="00D73F35"/>
    <w:rsid w:val="00D74377"/>
    <w:rsid w:val="00D81106"/>
    <w:rsid w:val="00D838C9"/>
    <w:rsid w:val="00D86D49"/>
    <w:rsid w:val="00D90245"/>
    <w:rsid w:val="00DA0A56"/>
    <w:rsid w:val="00DB10D4"/>
    <w:rsid w:val="00DB10EB"/>
    <w:rsid w:val="00DB304A"/>
    <w:rsid w:val="00DB7317"/>
    <w:rsid w:val="00DC115E"/>
    <w:rsid w:val="00DC4443"/>
    <w:rsid w:val="00DC59A0"/>
    <w:rsid w:val="00DF0151"/>
    <w:rsid w:val="00DF1DFC"/>
    <w:rsid w:val="00DF3248"/>
    <w:rsid w:val="00DF42E0"/>
    <w:rsid w:val="00DF7257"/>
    <w:rsid w:val="00E010F9"/>
    <w:rsid w:val="00E025CE"/>
    <w:rsid w:val="00E02E84"/>
    <w:rsid w:val="00E1300B"/>
    <w:rsid w:val="00E22909"/>
    <w:rsid w:val="00E2743D"/>
    <w:rsid w:val="00E34612"/>
    <w:rsid w:val="00E36857"/>
    <w:rsid w:val="00E36AF0"/>
    <w:rsid w:val="00E440D3"/>
    <w:rsid w:val="00E525AC"/>
    <w:rsid w:val="00E52D6F"/>
    <w:rsid w:val="00E535B1"/>
    <w:rsid w:val="00E55900"/>
    <w:rsid w:val="00E55BE7"/>
    <w:rsid w:val="00E55F21"/>
    <w:rsid w:val="00E57CB2"/>
    <w:rsid w:val="00E65F26"/>
    <w:rsid w:val="00E73571"/>
    <w:rsid w:val="00E8101E"/>
    <w:rsid w:val="00E81B02"/>
    <w:rsid w:val="00E820EE"/>
    <w:rsid w:val="00E85436"/>
    <w:rsid w:val="00E86FB7"/>
    <w:rsid w:val="00E9101E"/>
    <w:rsid w:val="00EA076C"/>
    <w:rsid w:val="00EA7866"/>
    <w:rsid w:val="00EB33DC"/>
    <w:rsid w:val="00EB4D6A"/>
    <w:rsid w:val="00EC2353"/>
    <w:rsid w:val="00EC5414"/>
    <w:rsid w:val="00EC6A96"/>
    <w:rsid w:val="00ED3FBE"/>
    <w:rsid w:val="00ED6A22"/>
    <w:rsid w:val="00ED7762"/>
    <w:rsid w:val="00F03AA3"/>
    <w:rsid w:val="00F100D1"/>
    <w:rsid w:val="00F1092B"/>
    <w:rsid w:val="00F10AC4"/>
    <w:rsid w:val="00F14501"/>
    <w:rsid w:val="00F17923"/>
    <w:rsid w:val="00F2551B"/>
    <w:rsid w:val="00F264B3"/>
    <w:rsid w:val="00F26C6D"/>
    <w:rsid w:val="00F27D47"/>
    <w:rsid w:val="00F341E5"/>
    <w:rsid w:val="00F372E3"/>
    <w:rsid w:val="00F37B3D"/>
    <w:rsid w:val="00F42337"/>
    <w:rsid w:val="00F43CBF"/>
    <w:rsid w:val="00F503D7"/>
    <w:rsid w:val="00F5794B"/>
    <w:rsid w:val="00F62892"/>
    <w:rsid w:val="00F634B6"/>
    <w:rsid w:val="00F63B14"/>
    <w:rsid w:val="00F669BB"/>
    <w:rsid w:val="00F729FD"/>
    <w:rsid w:val="00F7305C"/>
    <w:rsid w:val="00F84320"/>
    <w:rsid w:val="00F8698E"/>
    <w:rsid w:val="00F877BE"/>
    <w:rsid w:val="00F903C9"/>
    <w:rsid w:val="00F93338"/>
    <w:rsid w:val="00F959D2"/>
    <w:rsid w:val="00FA5308"/>
    <w:rsid w:val="00FB7415"/>
    <w:rsid w:val="00FC06E4"/>
    <w:rsid w:val="00FD3B07"/>
    <w:rsid w:val="00FD5A27"/>
    <w:rsid w:val="00FE07DC"/>
    <w:rsid w:val="00FE13D7"/>
    <w:rsid w:val="00FF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virginiamercury.com/2019/09/24/four-things-to-know-about-dominions-massive-wind-farm-proposal/" TargetMode="External"/><Relationship Id="rId18" Type="http://schemas.openxmlformats.org/officeDocument/2006/relationships/image" Target="media/image6.png"/><Relationship Id="rId26" Type="http://schemas.openxmlformats.org/officeDocument/2006/relationships/hyperlink" Target="https://www.c2es.org/document/greenhouse-gas-emissions-targets/" TargetMode="External"/><Relationship Id="rId39" Type="http://schemas.openxmlformats.org/officeDocument/2006/relationships/hyperlink" Target="https://www.epa.gov/ghgemissions/inventory-us-greenhouse-gas-emissions-and-sinks"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greentechmedia.com/articles/read/offshore-wind-reaches-cost-competitiveness-without-subsidies#gs.2plxe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boem.gov/press06172019/" TargetMode="External"/><Relationship Id="rId33" Type="http://schemas.openxmlformats.org/officeDocument/2006/relationships/hyperlink" Target="https://coast.noaa.gov/digitalcoast/data/acs" TargetMode="External"/><Relationship Id="rId38" Type="http://schemas.openxmlformats.org/officeDocument/2006/relationships/hyperlink" Target="https://gispub.epa.gov/neireport/201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wec.net/wp-content/uploads/2019/04/GWEC-Global-Wind-Report-2018.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wea.org/Awea/media/Resources/Fact%20Sheets/AWEA_Offshore-Wind-Industry-FINAL.pdf" TargetMode="External"/><Relationship Id="rId32" Type="http://schemas.openxmlformats.org/officeDocument/2006/relationships/hyperlink" Target="https://aamboceanservice.blob.core.windows.net/oceanservice-prod/facts/coastal-population-report.pdf" TargetMode="External"/><Relationship Id="rId37" Type="http://schemas.openxmlformats.org/officeDocument/2006/relationships/hyperlink" Target="https://www.eia.gov/outlooks/aeo/pdf/aeo2019.pdf"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ge.com/renewableenergy/wind-energy/offshore-wind/haliade-x-offshore-turbine" TargetMode="External"/><Relationship Id="rId36" Type="http://schemas.openxmlformats.org/officeDocument/2006/relationships/hyperlink" Target="https://www.eia.gov/tools/faqs/faq.php?id=427&amp;t=4"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www.bpu.state.nj.us/bpu/newsroom/2019/approved/20190621.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castlewind.com/castle-wind-and-monterey-bay-community-power-sign-agreement-in-anticipation-of-offshore-wind-project-off-the-coast-of-morro-bay/" TargetMode="External"/><Relationship Id="rId30" Type="http://schemas.openxmlformats.org/officeDocument/2006/relationships/hyperlink" Target="https://www.lazard.com/media/450784/lazards-levelized-cost-of-energy-version-120-vfinal.pdf" TargetMode="External"/><Relationship Id="rId35" Type="http://schemas.openxmlformats.org/officeDocument/2006/relationships/hyperlink" Target="https://www.eia.gov/energyexplained/us-energy-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A7CC8-61DB-4D2F-9124-27AEBEEEB8E0}">
  <ds:schemaRefs>
    <ds:schemaRef ds:uri="http://schemas.microsoft.com/sharepoint/v3/fields"/>
    <ds:schemaRef ds:uri="a65fb547-1b02-4b77-882d-72553d3f5ce5"/>
    <ds:schemaRef ds:uri="http://purl.org/dc/terms/"/>
    <ds:schemaRef ds:uri="http://schemas.microsoft.com/office/infopath/2007/PartnerControls"/>
    <ds:schemaRef ds:uri="http://schemas.openxmlformats.org/package/2006/metadata/core-properties"/>
    <ds:schemaRef ds:uri="http://purl.org/dc/dcmitype/"/>
    <ds:schemaRef ds:uri="4ffa91fb-a0ff-4ac5-b2db-65c790d184a4"/>
    <ds:schemaRef ds:uri="http://schemas.microsoft.com/sharepoint.v3"/>
    <ds:schemaRef ds:uri="5ddedca0-709f-4917-a305-42d5cb3ea1ba"/>
    <ds:schemaRef ds:uri="http://schemas.microsoft.com/office/2006/documentManagement/types"/>
    <ds:schemaRef ds:uri="http://schemas.microsoft.com/office/2006/metadata/properties"/>
    <ds:schemaRef ds:uri="http://schemas.microsoft.com/sharepoint/v3"/>
    <ds:schemaRef ds:uri="http://www.w3.org/XML/1998/namespace"/>
    <ds:schemaRef ds:uri="http://purl.org/dc/elements/1.1/"/>
  </ds:schemaRefs>
</ds:datastoreItem>
</file>

<file path=customXml/itemProps5.xml><?xml version="1.0" encoding="utf-8"?>
<ds:datastoreItem xmlns:ds="http://schemas.openxmlformats.org/officeDocument/2006/customXml" ds:itemID="{4933123F-4F57-4630-B50F-026F12D3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10</Pages>
  <Words>6930</Words>
  <Characters>39506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41</cp:revision>
  <dcterms:created xsi:type="dcterms:W3CDTF">2019-10-01T14:55:00Z</dcterms:created>
  <dcterms:modified xsi:type="dcterms:W3CDTF">2019-10-03T17:31:00Z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