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77777777" w:rsidR="008570E5" w:rsidRDefault="008570E5" w:rsidP="00FD3B07">
      <w:pPr>
        <w:pStyle w:val="Heading1"/>
        <w:spacing w:before="0"/>
        <w:contextualSpacing/>
        <w:jc w:val="both"/>
      </w:pPr>
      <w:bookmarkStart w:id="0" w:name="_GoBack"/>
      <w:r>
        <w:t xml:space="preserve">Applying methodology for examining potential technology breakthroughs for </w:t>
      </w:r>
      <w:bookmarkEnd w:id="0"/>
      <w:r>
        <w:t>mitigating electric sector emissions</w:t>
      </w:r>
      <w:r w:rsidR="007B141F">
        <w:t xml:space="preserve"> </w:t>
      </w:r>
      <w:r>
        <w:t>to offshore wind</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Default="004A1D98" w:rsidP="004A1D98">
      <w:pPr>
        <w:spacing w:after="0"/>
        <w:contextualSpacing/>
        <w:jc w:val="both"/>
      </w:pPr>
    </w:p>
    <w:p w14:paraId="54D4BD2D" w14:textId="6C85CA22" w:rsidR="00F729FD" w:rsidRPr="00F729FD" w:rsidRDefault="004A1D98" w:rsidP="00F729FD">
      <w:pPr>
        <w:spacing w:after="0"/>
        <w:contextualSpacing/>
        <w:jc w:val="both"/>
        <w:rPr>
          <w:color w:val="FF0000"/>
        </w:rPr>
      </w:pPr>
      <w:r w:rsidRPr="00F729FD">
        <w:rPr>
          <w:color w:val="FF0000"/>
        </w:rPr>
        <w:t>Offshore wind is an established technology in Europe, as the second largest source of power generation with over 189 GW of installed capacity</w:t>
      </w:r>
      <w:r w:rsidRPr="00F729FD">
        <w:rPr>
          <w:rStyle w:val="EndnoteReference"/>
          <w:color w:val="FF0000"/>
        </w:rPr>
        <w:endnoteReference w:id="1"/>
      </w:r>
      <w:r w:rsidRPr="00F729FD">
        <w:rPr>
          <w:color w:val="FF0000"/>
        </w:rPr>
        <w:t>, but it has not yet gained market share in the United States (US). There is, however, increasing interest in and action supporting offshore wind development from many coastal states, predominantly along the Atlantic coast. The offshore wind resources in the US are vast, with an estimated 10,800 GW of resource potential, 2,058 GW of which are technically feasible for development</w:t>
      </w:r>
      <w:commentRangeStart w:id="1"/>
      <w:r w:rsidRPr="00F729FD">
        <w:rPr>
          <w:color w:val="FF0000"/>
        </w:rPr>
        <w:t>.</w:t>
      </w:r>
      <w:r w:rsidRPr="00F729FD">
        <w:rPr>
          <w:rStyle w:val="EndnoteReference"/>
          <w:color w:val="FF0000"/>
        </w:rPr>
        <w:endnoteReference w:id="2"/>
      </w:r>
      <w:commentRangeEnd w:id="1"/>
      <w:r w:rsidR="00F729FD">
        <w:rPr>
          <w:rStyle w:val="CommentReference"/>
        </w:rPr>
        <w:commentReference w:id="1"/>
      </w:r>
      <w:r w:rsidRPr="00F729FD">
        <w:rPr>
          <w:color w:val="FF0000"/>
        </w:rPr>
        <w:t xml:space="preserve"> To date, only 30 MW of this potential has been realized. In late 2016, the 5 turbine Block Island Wind Farm began commercial operation as the first offshore wind farm in the US.</w:t>
      </w:r>
      <w:r w:rsidR="00F729FD">
        <w:rPr>
          <w:color w:val="FF0000"/>
        </w:rPr>
        <w:t xml:space="preserve">  </w:t>
      </w:r>
      <w:r w:rsidR="00F729FD" w:rsidRPr="00F729FD">
        <w:rPr>
          <w:color w:val="FF0000"/>
        </w:rPr>
        <w:t>With the potential for growth in the offshore industry in the US in mind, this research seeks to explore energy futures that include offshore wind and the resulting changes to the energy mix and grid emissions</w:t>
      </w:r>
      <w:r w:rsidR="00F729FD" w:rsidRPr="00087B87">
        <w:rPr>
          <w:color w:val="FF0000"/>
        </w:rPr>
        <w:t xml:space="preserve">.  </w:t>
      </w:r>
      <w:r w:rsidR="00087B87" w:rsidRPr="00087B87">
        <w:rPr>
          <w:color w:val="FF0000"/>
        </w:rPr>
        <w:t>If offshore wind grows in the US, as it seems likely to, it will displace existing generation assets, and depending on which assets those are, the resulting emissions from the power sector. This paper explores combinations of cost curves and carbon mitigation scenarios to measure the changes in the energy mix and quantify offshore wind’s impact on the resulting emissions.</w:t>
      </w:r>
      <w:r w:rsidR="00087B87">
        <w:rPr>
          <w:color w:val="FF0000"/>
        </w:rPr>
        <w:t xml:space="preserve">  </w:t>
      </w:r>
      <w:r w:rsidR="00F729FD">
        <w:rPr>
          <w:color w:val="FF0000"/>
        </w:rPr>
        <w:t>The results could inform planning geared towards grid emission reductions and the effectiveness of offshore wind to emission reduction goals.</w:t>
      </w:r>
    </w:p>
    <w:p w14:paraId="006A598B" w14:textId="77777777" w:rsidR="004A1D98" w:rsidRDefault="004A1D98" w:rsidP="004A1D98">
      <w:pPr>
        <w:spacing w:after="0"/>
        <w:contextualSpacing/>
        <w:jc w:val="both"/>
        <w:rPr>
          <w:color w:val="FF0000"/>
        </w:rPr>
      </w:pPr>
    </w:p>
    <w:p w14:paraId="0AF9D615" w14:textId="77777777" w:rsidR="00F729FD" w:rsidRDefault="00F729FD" w:rsidP="00F729FD">
      <w:pPr>
        <w:spacing w:after="0"/>
        <w:contextualSpacing/>
        <w:jc w:val="both"/>
        <w:rPr>
          <w:color w:val="FF0000"/>
        </w:rPr>
      </w:pPr>
      <w:r>
        <w:rPr>
          <w:color w:val="FF0000"/>
        </w:rPr>
        <w:t>For this analysis, a</w:t>
      </w:r>
      <w:r w:rsidRPr="00F729FD">
        <w:rPr>
          <w:color w:val="FF0000"/>
        </w:rPr>
        <w:t>n energy system modeling approach</w:t>
      </w:r>
      <w:r>
        <w:rPr>
          <w:color w:val="FF0000"/>
        </w:rPr>
        <w:t xml:space="preserve"> </w:t>
      </w:r>
      <w:r w:rsidRPr="00F729FD">
        <w:rPr>
          <w:color w:val="FF0000"/>
        </w:rPr>
        <w:t>is used to generate and explore potential energy futures. The approach uses the Integrated MARKAL-EFOM System (TIMES) energy system model</w:t>
      </w:r>
      <w:r w:rsidR="002E4A2F">
        <w:rPr>
          <w:color w:val="FF0000"/>
        </w:rPr>
        <w:t xml:space="preserve"> and a database representation of the U.S. energy system called the EPAUS9rT,</w:t>
      </w:r>
      <w:r w:rsidRPr="00F729FD">
        <w:rPr>
          <w:color w:val="FF0000"/>
        </w:rPr>
        <w:t xml:space="preserve"> a</w:t>
      </w:r>
      <w:r w:rsidR="002E4A2F">
        <w:rPr>
          <w:color w:val="FF0000"/>
        </w:rPr>
        <w:t>pplying</w:t>
      </w:r>
      <w:r w:rsidRPr="00F729FD">
        <w:rPr>
          <w:color w:val="FF0000"/>
        </w:rPr>
        <w:t xml:space="preserve"> a nested parametric sensitivity analysis to represent potential futures. Combinations of carbon mitigation stringencies and offshore wind cost curves create</w:t>
      </w:r>
      <w:r>
        <w:rPr>
          <w:color w:val="FF0000"/>
        </w:rPr>
        <w:t>d</w:t>
      </w:r>
      <w:r w:rsidRPr="00F729FD">
        <w:rPr>
          <w:color w:val="FF0000"/>
        </w:rPr>
        <w:t xml:space="preserve"> vastly different energy futures with comparably different emissions profiles. </w:t>
      </w:r>
    </w:p>
    <w:p w14:paraId="2D969A08" w14:textId="77777777" w:rsidR="002E4A2F" w:rsidRDefault="002E4A2F" w:rsidP="00F729FD">
      <w:pPr>
        <w:spacing w:after="0"/>
        <w:contextualSpacing/>
        <w:jc w:val="both"/>
        <w:rPr>
          <w:color w:val="FF0000"/>
        </w:rPr>
      </w:pPr>
    </w:p>
    <w:p w14:paraId="059FDEF1" w14:textId="32248017" w:rsidR="002E4A2F" w:rsidRPr="00F729FD" w:rsidRDefault="002E4A2F" w:rsidP="00F729FD">
      <w:pPr>
        <w:spacing w:after="0"/>
        <w:contextualSpacing/>
        <w:jc w:val="both"/>
        <w:rPr>
          <w:color w:val="FF0000"/>
        </w:rPr>
      </w:pPr>
      <w:r>
        <w:rPr>
          <w:color w:val="FF0000"/>
        </w:rPr>
        <w:t>This sensitivity analysis allows us to explore the benefits of offshore wind as an energy source within the U.S. as it relates to air quality and GHG emissions reductions.</w:t>
      </w:r>
      <w:r w:rsidR="00087B87">
        <w:rPr>
          <w:color w:val="FF0000"/>
        </w:rPr>
        <w:t xml:space="preserve">  We look at results both nationally and regionally, analyzing the differences in regional adoption of off-shore wind and how access to this technology provides a broader range of emission reduction options for the power sector.</w:t>
      </w:r>
      <w:r>
        <w:rPr>
          <w:color w:val="FF0000"/>
        </w:rPr>
        <w:t xml:space="preserve">  (Add </w:t>
      </w:r>
      <w:proofErr w:type="gramStart"/>
      <w:r>
        <w:rPr>
          <w:color w:val="FF0000"/>
        </w:rPr>
        <w:t>a brief summary</w:t>
      </w:r>
      <w:proofErr w:type="gramEnd"/>
      <w:r>
        <w:rPr>
          <w:color w:val="FF0000"/>
        </w:rPr>
        <w:t xml:space="preserve"> of results)  </w:t>
      </w:r>
    </w:p>
    <w:p w14:paraId="61387DF5" w14:textId="77777777" w:rsidR="00F729FD" w:rsidRDefault="00F729FD" w:rsidP="004A1D98">
      <w:pPr>
        <w:spacing w:after="0"/>
        <w:contextualSpacing/>
        <w:jc w:val="both"/>
        <w:rPr>
          <w:color w:val="FF0000"/>
        </w:rPr>
      </w:pPr>
    </w:p>
    <w:p w14:paraId="4F44FD40" w14:textId="77777777" w:rsidR="00F729FD" w:rsidRDefault="00F729FD" w:rsidP="004A1D98">
      <w:pPr>
        <w:spacing w:after="0"/>
        <w:contextualSpacing/>
        <w:jc w:val="both"/>
        <w:rPr>
          <w:color w:val="FF0000"/>
        </w:rPr>
      </w:pPr>
    </w:p>
    <w:p w14:paraId="24B46F4C" w14:textId="77777777" w:rsidR="008570E5" w:rsidRDefault="008570E5" w:rsidP="00FD3B07">
      <w:pPr>
        <w:spacing w:after="0"/>
        <w:contextualSpacing/>
        <w:jc w:val="both"/>
      </w:pPr>
    </w:p>
    <w:p w14:paraId="391E716E" w14:textId="77777777" w:rsidR="00DF0151" w:rsidRDefault="008570E5" w:rsidP="00FD3B07">
      <w:pPr>
        <w:pStyle w:val="Heading2"/>
        <w:spacing w:before="0"/>
        <w:contextualSpacing/>
        <w:jc w:val="both"/>
      </w:pPr>
      <w:r>
        <w:t>Introduction</w:t>
      </w:r>
    </w:p>
    <w:p w14:paraId="5FF252FD" w14:textId="77777777" w:rsidR="00DF0151" w:rsidRPr="00DF0151" w:rsidRDefault="00DF0151" w:rsidP="00FD3B07">
      <w:pPr>
        <w:spacing w:after="0"/>
        <w:contextualSpacing/>
        <w:jc w:val="both"/>
      </w:pPr>
    </w:p>
    <w:p w14:paraId="6E669F6E" w14:textId="77777777"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Default="000B38A2" w:rsidP="00FD3B07">
      <w:pPr>
        <w:spacing w:after="0"/>
        <w:contextualSpacing/>
        <w:jc w:val="both"/>
      </w:pPr>
    </w:p>
    <w:p w14:paraId="662A36F8" w14:textId="2DAC704C" w:rsidR="00E535B1" w:rsidRDefault="003061BE" w:rsidP="00FD3B07">
      <w:pPr>
        <w:spacing w:after="0"/>
        <w:contextualSpacing/>
        <w:jc w:val="both"/>
      </w:pPr>
      <w:r>
        <w:rPr>
          <w:color w:val="FF0000"/>
        </w:rPr>
        <w:t>Twenty-five</w:t>
      </w:r>
      <w:r w:rsidR="00BD4400">
        <w:t xml:space="preserve"> coastal</w:t>
      </w:r>
      <w:r w:rsidR="0085451A">
        <w:t xml:space="preserve"> or great lakes</w:t>
      </w:r>
      <w:r w:rsidR="00BD4400">
        <w:t xml:space="preserve"> states and Washington D.C. have instituted Renewable Portfolio Standards or Goals (RPS)</w:t>
      </w:r>
      <w:r w:rsidR="003D0650">
        <w:rPr>
          <w:rStyle w:val="EndnoteReference"/>
        </w:rPr>
        <w:endnoteReference w:id="4"/>
      </w:r>
      <w:r w:rsidR="00BD4400">
        <w:t xml:space="preserve"> </w:t>
      </w:r>
      <w:r w:rsidR="000B4F1B">
        <w:t xml:space="preserve">and </w:t>
      </w:r>
      <w:r>
        <w:rPr>
          <w:color w:val="FF0000"/>
        </w:rPr>
        <w:t>twenty</w:t>
      </w:r>
      <w:r w:rsidR="003D0650">
        <w:t xml:space="preserve"> have set greenhouse gas (GHG) emissions targets.</w:t>
      </w:r>
      <w:r w:rsidR="003D0650">
        <w:rPr>
          <w:rStyle w:val="EndnoteReference"/>
        </w:rPr>
        <w:endnoteReference w:id="5"/>
      </w:r>
      <w:r w:rsidR="003D0650">
        <w:t xml:space="preserve"> Both </w:t>
      </w:r>
      <w:r w:rsidR="00367E00">
        <w:t xml:space="preserve">types of </w:t>
      </w:r>
      <w:r w:rsidR="003D0650">
        <w:t>policies incentivize the buildout of renewable and emissions-free generation resources</w:t>
      </w:r>
      <w:r w:rsidR="00C54F6C">
        <w:t xml:space="preserve">, for which offshore wind qualifies. </w:t>
      </w:r>
      <w:r w:rsidR="00131414">
        <w:t>These policies have already begun to change the energy landscape.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6"/>
      </w:r>
      <w:r w:rsidR="00131414">
        <w:t>, an increase of 5% from 2017.</w:t>
      </w:r>
      <w:r w:rsidR="00131414">
        <w:rPr>
          <w:rStyle w:val="EndnoteReference"/>
        </w:rPr>
        <w:endnoteReference w:id="7"/>
      </w:r>
      <w:r w:rsidR="00536A6F">
        <w:t xml:space="preserve"> 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840F42">
        <w:rPr>
          <w:color w:val="FF0000"/>
        </w:rPr>
        <w:t xml:space="preserve">With the growth of the </w:t>
      </w:r>
      <w:r w:rsidR="00232FEC" w:rsidRPr="00840F42">
        <w:rPr>
          <w:color w:val="FF0000"/>
        </w:rPr>
        <w:t xml:space="preserve">offshore </w:t>
      </w:r>
      <w:r w:rsidRPr="00840F42">
        <w:rPr>
          <w:color w:val="FF0000"/>
        </w:rPr>
        <w:t>industry in the US in mind, this research explore</w:t>
      </w:r>
      <w:r w:rsidR="00840F42" w:rsidRPr="00840F42">
        <w:rPr>
          <w:color w:val="FF0000"/>
        </w:rPr>
        <w:t>s</w:t>
      </w:r>
      <w:r w:rsidRPr="00840F42">
        <w:rPr>
          <w:color w:val="FF0000"/>
        </w:rPr>
        <w:t xml:space="preserve"> potential energy futures that include offshore wind and </w:t>
      </w:r>
      <w:r w:rsidR="00840F42" w:rsidRPr="00840F42">
        <w:rPr>
          <w:color w:val="FF0000"/>
        </w:rPr>
        <w:t>analyzes the</w:t>
      </w:r>
      <w:r w:rsidRPr="00840F42">
        <w:rPr>
          <w:color w:val="FF0000"/>
        </w:rPr>
        <w:t xml:space="preserve"> resulting changes to the </w:t>
      </w:r>
      <w:r w:rsidR="00840F42" w:rsidRPr="00840F42">
        <w:rPr>
          <w:color w:val="FF0000"/>
        </w:rPr>
        <w:t>electric sector technology mix and associated emissions</w:t>
      </w:r>
      <w:r w:rsidR="00B13E35" w:rsidRPr="00840F42">
        <w:rPr>
          <w:color w:val="FF0000"/>
        </w:rPr>
        <w:t xml:space="preserve">. </w:t>
      </w:r>
      <w:r w:rsidR="00E9101E">
        <w:t>Two 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77777777"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4EB4B43B" w14:textId="77777777" w:rsidR="00C902EC" w:rsidRDefault="00C902EC"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Default="00280D71" w:rsidP="00FD3B07">
      <w:pPr>
        <w:spacing w:after="0"/>
        <w:contextualSpacing/>
        <w:jc w:val="both"/>
      </w:pPr>
    </w:p>
    <w:p w14:paraId="7821A8F7" w14:textId="1B52D726" w:rsidR="00730D79" w:rsidRPr="00840F42" w:rsidRDefault="00CA6CCD" w:rsidP="00FD3B07">
      <w:pPr>
        <w:spacing w:after="0"/>
        <w:contextualSpacing/>
        <w:jc w:val="both"/>
        <w:rPr>
          <w:color w:val="FF0000"/>
        </w:rPr>
      </w:pPr>
      <w:r w:rsidRPr="00840F42">
        <w:rPr>
          <w:color w:val="FF0000"/>
        </w:rPr>
        <w:t xml:space="preserve">The approach </w:t>
      </w:r>
      <w:r w:rsidR="00840F42" w:rsidRPr="00840F42">
        <w:rPr>
          <w:color w:val="FF0000"/>
        </w:rPr>
        <w:t xml:space="preserve">involves a nested parametric sensitivity analysis </w:t>
      </w:r>
      <w:r w:rsidRPr="00840F42">
        <w:rPr>
          <w:color w:val="FF0000"/>
        </w:rPr>
        <w:t>us</w:t>
      </w:r>
      <w:r w:rsidR="00840F42" w:rsidRPr="00840F42">
        <w:rPr>
          <w:color w:val="FF0000"/>
        </w:rPr>
        <w:t>ing</w:t>
      </w:r>
      <w:r w:rsidRPr="00840F42">
        <w:rPr>
          <w:color w:val="FF0000"/>
        </w:rPr>
        <w:t xml:space="preserve"> the TIMES energy system model</w:t>
      </w:r>
      <w:r w:rsidR="00840F42" w:rsidRPr="00840F42">
        <w:rPr>
          <w:color w:val="FF0000"/>
        </w:rPr>
        <w:t xml:space="preserve"> with the EPAUS9rT, a database representation of the U.S. energy system.</w:t>
      </w:r>
      <w:r w:rsidR="00032FA4" w:rsidRPr="00840F42">
        <w:rPr>
          <w:color w:val="FF0000"/>
        </w:rPr>
        <w:t xml:space="preserve"> </w:t>
      </w:r>
      <w:r w:rsidR="00840F42" w:rsidRPr="00840F42">
        <w:rPr>
          <w:color w:val="FF0000"/>
        </w:rPr>
        <w:t xml:space="preserve"> </w:t>
      </w:r>
      <w:r w:rsidR="001E0C5F">
        <w:t xml:space="preserve">Combinations of </w:t>
      </w:r>
      <w:r w:rsidR="00280D71">
        <w:t>carbon mitigation stringencies and offshore wind cost curves create vastly different energy futures with comparably different emissions profiles</w:t>
      </w:r>
      <w:r w:rsidR="00E86FB7">
        <w:t xml:space="preserve">. </w:t>
      </w:r>
      <w:r w:rsidR="00E86FB7" w:rsidRPr="00840F42">
        <w:rPr>
          <w:color w:val="FF0000"/>
        </w:rPr>
        <w:t xml:space="preserve">The analysis </w:t>
      </w:r>
      <w:r w:rsidR="00840F42" w:rsidRPr="00840F42">
        <w:rPr>
          <w:color w:val="FF0000"/>
        </w:rPr>
        <w:t>allows us to analyze the factors associated with the implementation of offshore wind and the benefits to system emissions associated with an increase in wind power</w:t>
      </w:r>
      <w:r w:rsidR="00E86FB7" w:rsidRPr="00840F42">
        <w:rPr>
          <w:color w:val="FF0000"/>
        </w:rPr>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7777777"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8"/>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9"/>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Pr>
          <w:rStyle w:val="EndnoteReference"/>
        </w:rPr>
        <w:endnoteReference w:id="10"/>
      </w:r>
      <w:r>
        <w:t xml:space="preserve"> </w:t>
      </w:r>
    </w:p>
    <w:p w14:paraId="4D309EC5" w14:textId="77777777" w:rsidR="00D73F35" w:rsidRDefault="00D73F35" w:rsidP="00D73F35">
      <w:pPr>
        <w:spacing w:after="0"/>
        <w:contextualSpacing/>
        <w:jc w:val="both"/>
      </w:pPr>
    </w:p>
    <w:p w14:paraId="5D47BD03" w14:textId="77777777" w:rsidR="00D73F35" w:rsidRDefault="00D73F35" w:rsidP="00D73F35">
      <w:pPr>
        <w:spacing w:after="0"/>
        <w:contextualSpacing/>
        <w:jc w:val="both"/>
      </w:pPr>
      <w:r>
        <w:t>Steep LCOE decline has precedent in the US. Since 2009 the LCOE of solar PV and terrestrial wind have declined 88% and 69%, respectively.</w:t>
      </w:r>
      <w:r>
        <w:rPr>
          <w:rStyle w:val="EndnoteReference"/>
        </w:rPr>
        <w:endnoteReference w:id="11"/>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14:paraId="242B06F1" w14:textId="54148E84" w:rsidR="00D73F35" w:rsidRDefault="00D73F35" w:rsidP="00D73F35">
      <w:pPr>
        <w:spacing w:after="0"/>
        <w:contextualSpacing/>
        <w:jc w:val="center"/>
      </w:pPr>
      <w:r>
        <w:rPr>
          <w:noProof/>
        </w:rPr>
        <w:lastRenderedPageBreak/>
        <w:drawing>
          <wp:inline distT="0" distB="0" distL="0" distR="0" wp14:anchorId="20316BE6" wp14:editId="23052934">
            <wp:extent cx="4120738" cy="2560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9228" cy="2577844"/>
                    </a:xfrm>
                    <a:prstGeom prst="rect">
                      <a:avLst/>
                    </a:prstGeom>
                  </pic:spPr>
                </pic:pic>
              </a:graphicData>
            </a:graphic>
          </wp:inline>
        </w:drawing>
      </w:r>
      <w:r>
        <w:rPr>
          <w:rStyle w:val="EndnoteReference"/>
        </w:rPr>
        <w:endnoteReference w:id="12"/>
      </w:r>
    </w:p>
    <w:p w14:paraId="33AC4342" w14:textId="526CE166" w:rsidR="00840F42" w:rsidRPr="00840F42" w:rsidRDefault="00840F42" w:rsidP="00840F42">
      <w:pPr>
        <w:spacing w:after="0"/>
        <w:contextualSpacing/>
        <w:rPr>
          <w:color w:val="FF0000"/>
        </w:rPr>
      </w:pPr>
      <w:r>
        <w:rPr>
          <w:color w:val="FF0000"/>
        </w:rPr>
        <w:t>CREATE YOUR OWN TABLE, referencing this table, but putting in only the important and available data.</w:t>
      </w:r>
    </w:p>
    <w:p w14:paraId="0CC78389" w14:textId="77777777" w:rsidR="00840F42" w:rsidRDefault="00840F42" w:rsidP="00D73F35">
      <w:pPr>
        <w:spacing w:after="0"/>
        <w:contextualSpacing/>
        <w:jc w:val="center"/>
      </w:pPr>
    </w:p>
    <w:p w14:paraId="21B5FFC7" w14:textId="77777777"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3"/>
      </w:r>
      <w:r w:rsidR="00130066">
        <w:t>:</w:t>
      </w:r>
    </w:p>
    <w:p w14:paraId="5E223FEC" w14:textId="77777777" w:rsidR="00130066" w:rsidRDefault="00130066" w:rsidP="00FD3B07">
      <w:pPr>
        <w:pStyle w:val="ListParagraph"/>
        <w:numPr>
          <w:ilvl w:val="0"/>
          <w:numId w:val="3"/>
        </w:numPr>
        <w:spacing w:after="0"/>
        <w:jc w:val="both"/>
      </w:pPr>
      <w:r>
        <w:t>Massachusetts: 2016 law requiring procurement of 1,600 MW of offshore wind by 2027</w:t>
      </w:r>
    </w:p>
    <w:p w14:paraId="62FB1746" w14:textId="77777777" w:rsidR="00130066"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p>
    <w:p w14:paraId="55B8D0C3" w14:textId="77777777" w:rsidR="00130066" w:rsidRDefault="00130066" w:rsidP="00FD3B07">
      <w:pPr>
        <w:pStyle w:val="ListParagraph"/>
        <w:numPr>
          <w:ilvl w:val="0"/>
          <w:numId w:val="3"/>
        </w:numPr>
        <w:spacing w:after="0"/>
        <w:jc w:val="both"/>
      </w:pPr>
      <w:r>
        <w:t>New Jersey: 2018 law outlining target to develop 3,500 MW of offshore wind by 2030</w:t>
      </w:r>
      <w:r w:rsidR="005C7190">
        <w:t xml:space="preserve">, the first 1,1000 MW of which have just been won by </w:t>
      </w:r>
      <w:proofErr w:type="spellStart"/>
      <w:r w:rsidR="005C7190">
        <w:t>Orstead</w:t>
      </w:r>
      <w:proofErr w:type="spellEnd"/>
      <w:r w:rsidR="005C7190">
        <w:rPr>
          <w:rStyle w:val="EndnoteReference"/>
        </w:rPr>
        <w:endnoteReference w:id="14"/>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7777777"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26BE09CF" w14:textId="77777777" w:rsidR="00BE4451" w:rsidRDefault="00BE4451" w:rsidP="00FD3B07">
      <w:pPr>
        <w:pStyle w:val="ListParagraph"/>
        <w:spacing w:after="0"/>
        <w:ind w:left="776"/>
        <w:jc w:val="both"/>
      </w:pPr>
    </w:p>
    <w:p w14:paraId="1D3AA144" w14:textId="14AF6FBA" w:rsidR="00840F42" w:rsidRPr="00840F42" w:rsidRDefault="00840F42" w:rsidP="00FD3B07">
      <w:pPr>
        <w:spacing w:after="0"/>
        <w:contextualSpacing/>
        <w:jc w:val="both"/>
        <w:rPr>
          <w:color w:val="FF0000"/>
        </w:rPr>
      </w:pPr>
      <w:r>
        <w:rPr>
          <w:color w:val="FF0000"/>
        </w:rPr>
        <w:t>INCLUDE a literature review of analyses of wind penetration in the U.S.</w:t>
      </w:r>
    </w:p>
    <w:p w14:paraId="36832C75" w14:textId="77777777" w:rsidR="00840F42" w:rsidRDefault="00840F42" w:rsidP="00FD3B07">
      <w:pPr>
        <w:spacing w:after="0"/>
        <w:contextualSpacing/>
        <w:jc w:val="both"/>
      </w:pPr>
    </w:p>
    <w:p w14:paraId="638AFFD9" w14:textId="360FF519" w:rsidR="008570E5" w:rsidRDefault="00130066" w:rsidP="00FD3B07">
      <w:pPr>
        <w:spacing w:after="0"/>
        <w:contextualSpacing/>
        <w:jc w:val="both"/>
      </w:pPr>
      <w:r>
        <w:t xml:space="preserve">The large market in the US is at a tipping point, with a project pipeline of 25,434 MW of offshore wind energy as of June </w:t>
      </w:r>
      <w:commentRangeStart w:id="2"/>
      <w:r>
        <w:t>3018</w:t>
      </w:r>
      <w:commentRangeEnd w:id="2"/>
      <w:r w:rsidR="00B27C96">
        <w:rPr>
          <w:rStyle w:val="CommentReference"/>
        </w:rPr>
        <w:commentReference w:id="2"/>
      </w:r>
      <w:r>
        <w:t>.</w:t>
      </w:r>
      <w:r>
        <w:rPr>
          <w:rStyle w:val="EndnoteReference"/>
        </w:rPr>
        <w:endnoteReference w:id="15"/>
      </w:r>
      <w:r>
        <w:t xml:space="preserve">  Specific projects account for 3,892 MW of that capacity and the remaining 21,542 MW are comprised of undeveloped lease area. Of the project-based capacity, 2,000 MW is expected to be built and online by 2023. The US Bureau of Ocean Energy Management (BOEM), the agency responsible for offshore wind leasing areas, announced in June of 2019 that it would publish a “request for competitive interest” to build a transmission line for offshore wind off the coasts of New York and New Jersey.</w:t>
      </w:r>
      <w:r>
        <w:rPr>
          <w:rStyle w:val="EndnoteReference"/>
        </w:rPr>
        <w:endnoteReference w:id="16"/>
      </w:r>
      <w:r>
        <w:t xml:space="preserve"> 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77777777"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7A497DD7" w:rsidR="00B72FB6" w:rsidRPr="00087B87" w:rsidRDefault="00B72FB6" w:rsidP="00FD3B07">
      <w:pPr>
        <w:spacing w:after="0"/>
        <w:contextualSpacing/>
        <w:jc w:val="both"/>
        <w:rPr>
          <w:strike/>
        </w:rPr>
      </w:pPr>
      <w:r>
        <w:t xml:space="preserve">The TIMES </w:t>
      </w:r>
      <w:r w:rsidRPr="00087B87">
        <w:rPr>
          <w:strike/>
        </w:rPr>
        <w:t>and MARKAL models are both</w:t>
      </w:r>
      <w:r>
        <w:t xml:space="preserve"> </w:t>
      </w:r>
      <w:r w:rsidR="00087B87" w:rsidRPr="00087B87">
        <w:rPr>
          <w:color w:val="FF0000"/>
        </w:rPr>
        <w:t xml:space="preserve">is </w:t>
      </w:r>
      <w:r>
        <w:t>developed by the Energy Technology Systems Analysis Program (ETSAP), one of the longest running programs at the International Energy Agency (IEA).</w:t>
      </w:r>
      <w:r>
        <w:rPr>
          <w:rStyle w:val="EndnoteReference"/>
        </w:rPr>
        <w:endnoteReference w:id="17"/>
      </w:r>
      <w:r w:rsidR="009B7B2F">
        <w:t xml:space="preserve"> </w:t>
      </w:r>
      <w:r w:rsidR="009B7B2F" w:rsidRPr="00087B87">
        <w:rPr>
          <w:strike/>
        </w:rPr>
        <w:t xml:space="preserve">While both models share a similar modeling paradigm, the TIMES model includes some notable additions: (1) commodity related variables and (2) </w:t>
      </w:r>
      <w:r w:rsidR="00A65E3E" w:rsidRPr="00087B87">
        <w:rPr>
          <w:strike/>
        </w:rPr>
        <w:t>realistic investment cost payments.</w:t>
      </w:r>
      <w:r w:rsidR="00A65E3E">
        <w:t xml:space="preserve"> TIMES includes a wide range of commodity-related variables such as total production, total consumption, and process flows. Additionally, TIMES is </w:t>
      </w:r>
      <w:r w:rsidR="00A65E3E" w:rsidRPr="00087B87">
        <w:rPr>
          <w:strike/>
        </w:rPr>
        <w:t>more accurately and dynamically</w:t>
      </w:r>
      <w:r w:rsidR="00A65E3E">
        <w:t xml:space="preserve"> able to allocate costs investment timelines. </w:t>
      </w:r>
      <w:r w:rsidR="00A65E3E" w:rsidRPr="00087B87">
        <w:rPr>
          <w:strike/>
        </w:rPr>
        <w:t>For example, large investments are paid in yearly increments over the construction time and payment of the increments are spread out over the economic life of the product. Small processes, on the other hand, are assumed to expand capacity at regular intervals with investments occuring at those intervals instead of in one lump sum.</w:t>
      </w:r>
      <w:r w:rsidR="006F4121" w:rsidRPr="00087B87">
        <w:rPr>
          <w:strike/>
        </w:rPr>
        <w:t xml:space="preserve"> These additions, as well as others, allow</w:t>
      </w:r>
      <w:r w:rsidR="00EC6A96" w:rsidRPr="00087B87">
        <w:rPr>
          <w:strike/>
        </w:rPr>
        <w:t xml:space="preserve"> for more</w:t>
      </w:r>
      <w:r w:rsidR="006F4121" w:rsidRPr="00087B87">
        <w:rPr>
          <w:strike/>
        </w:rPr>
        <w:t xml:space="preserve"> flexibility in the TIMES mode</w:t>
      </w:r>
      <w:r w:rsidR="00322C6C" w:rsidRPr="00087B87">
        <w:rPr>
          <w:strike/>
        </w:rPr>
        <w:t>l</w:t>
      </w:r>
      <w:r w:rsidR="00EC6A96" w:rsidRPr="00087B87">
        <w:rPr>
          <w:strike/>
        </w:rPr>
        <w:t>.</w:t>
      </w:r>
      <w:r w:rsidR="006F4121" w:rsidRPr="00087B87">
        <w:rPr>
          <w:strike/>
        </w:rPr>
        <w:t xml:space="preserve"> </w:t>
      </w:r>
    </w:p>
    <w:p w14:paraId="0CB013F0" w14:textId="77777777" w:rsidR="000B38A2" w:rsidRPr="001C5CC6" w:rsidRDefault="000B38A2" w:rsidP="00FD3B07">
      <w:pPr>
        <w:spacing w:after="0"/>
        <w:contextualSpacing/>
        <w:jc w:val="both"/>
      </w:pPr>
    </w:p>
    <w:p w14:paraId="59F9A2F8" w14:textId="7777777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18"/>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r w:rsidRPr="000B38A2">
        <w:rPr>
          <w:i/>
        </w:rPr>
        <w:t>r,y</w:t>
      </w:r>
      <w:proofErr w:type="spell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r w:rsidRPr="000B38A2">
        <w:rPr>
          <w:i/>
        </w:rPr>
        <w:t>d</w:t>
      </w:r>
      <w:r w:rsidRPr="000B38A2">
        <w:rPr>
          <w:i/>
          <w:vertAlign w:val="subscript"/>
        </w:rPr>
        <w:t>r,y</w:t>
      </w:r>
      <w:proofErr w:type="spell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w:t>
      </w:r>
      <w:proofErr w:type="gramStart"/>
      <w:r>
        <w:t>in the area of</w:t>
      </w:r>
      <w:proofErr w:type="gramEnd"/>
      <w:r>
        <w:t xml:space="preserve"> study.</w:t>
      </w:r>
    </w:p>
    <w:p w14:paraId="0FB769C4" w14:textId="77777777" w:rsidR="000B38A2" w:rsidRDefault="000B38A2" w:rsidP="00FD3B07">
      <w:pPr>
        <w:spacing w:after="0"/>
        <w:contextualSpacing/>
        <w:jc w:val="both"/>
      </w:pPr>
    </w:p>
    <w:p w14:paraId="0A614565" w14:textId="174B139C" w:rsidR="00052A48" w:rsidRDefault="00087B87" w:rsidP="00FD3B07">
      <w:pPr>
        <w:spacing w:after="0"/>
        <w:contextualSpacing/>
        <w:jc w:val="both"/>
      </w:pPr>
      <w:r>
        <w:rPr>
          <w:color w:val="FF0000"/>
        </w:rPr>
        <w:t xml:space="preserve">Explain that the EPAUS9rT is regionally represented (with 9 regions) based on the U.S. census divisions.  </w:t>
      </w:r>
      <w:r w:rsidR="00C61E15">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set to vary by time of day, season, technology, and region. </w:t>
      </w:r>
      <w:r w:rsidR="00C61E15">
        <w:t xml:space="preserve">For each offshore wind installation, a lifetime of 30 years was </w:t>
      </w:r>
      <w:r w:rsidR="0037079A">
        <w:t>assumed</w:t>
      </w:r>
      <w:r w:rsidR="00C61E15">
        <w:t>.</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77777777" w:rsidR="00710F71" w:rsidRDefault="00710F71" w:rsidP="00FD3B07">
      <w:pPr>
        <w:spacing w:after="0"/>
        <w:contextualSpacing/>
        <w:jc w:val="both"/>
      </w:pPr>
    </w:p>
    <w:p w14:paraId="3DCA3481" w14:textId="77777777" w:rsidR="00CD0BCA" w:rsidRDefault="00CD0BCA" w:rsidP="00FD3B0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114D0D9C" w14:textId="77777777" w:rsidR="00052A48" w:rsidRDefault="00052A48" w:rsidP="00FD3B07">
      <w:pPr>
        <w:spacing w:after="0"/>
        <w:contextualSpacing/>
        <w:jc w:val="both"/>
      </w:pPr>
    </w:p>
    <w:p w14:paraId="540FDDDB" w14:textId="77777777" w:rsidR="00304B8A" w:rsidRDefault="00CD0BCA" w:rsidP="00CD0BCA">
      <w:pPr>
        <w:spacing w:after="0"/>
        <w:jc w:val="center"/>
      </w:pPr>
      <w:r>
        <w:rPr>
          <w:noProof/>
        </w:rPr>
        <w:drawing>
          <wp:inline distT="0" distB="0" distL="0" distR="0" wp14:anchorId="180A70C8" wp14:editId="639567AB">
            <wp:extent cx="4724400"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3257550"/>
                    </a:xfrm>
                    <a:prstGeom prst="rect">
                      <a:avLst/>
                    </a:prstGeom>
                  </pic:spPr>
                </pic:pic>
              </a:graphicData>
            </a:graphic>
          </wp:inline>
        </w:drawing>
      </w:r>
    </w:p>
    <w:p w14:paraId="7FBEFFA2" w14:textId="77777777" w:rsidR="00710F71" w:rsidRDefault="00710F71" w:rsidP="00710F71">
      <w:pPr>
        <w:spacing w:after="0"/>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5D61EB54" w14:textId="77777777" w:rsidR="001C1DBF" w:rsidRDefault="001C1DBF" w:rsidP="001C1DBF">
      <w:pPr>
        <w:spacing w:after="0"/>
        <w:jc w:val="center"/>
      </w:pPr>
      <w:r>
        <w:rPr>
          <w:noProof/>
        </w:rPr>
        <w:drawing>
          <wp:inline distT="0" distB="0" distL="0" distR="0" wp14:anchorId="75B7021B" wp14:editId="08D8B0BC">
            <wp:extent cx="47244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400" cy="3295650"/>
                    </a:xfrm>
                    <a:prstGeom prst="rect">
                      <a:avLst/>
                    </a:prstGeom>
                  </pic:spPr>
                </pic:pic>
              </a:graphicData>
            </a:graphic>
          </wp:inline>
        </w:drawing>
      </w:r>
    </w:p>
    <w:p w14:paraId="108DCA90" w14:textId="77777777" w:rsidR="006731E4" w:rsidRDefault="006731E4" w:rsidP="001C1DBF">
      <w:pPr>
        <w:spacing w:after="0"/>
        <w:jc w:val="center"/>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7777777" w:rsidR="00C90259" w:rsidRDefault="00C90259" w:rsidP="00C90259">
      <w:pPr>
        <w:spacing w:after="0"/>
      </w:pPr>
      <w:r>
        <w:t xml:space="preserve">The model was run 70 times, representing the combination of all </w:t>
      </w:r>
      <w:r w:rsidR="00E010F9">
        <w:t xml:space="preserve">7 </w:t>
      </w:r>
      <w:r>
        <w:t>cost curves and all</w:t>
      </w:r>
      <w:r w:rsidR="00E010F9">
        <w:t xml:space="preserve"> ten</w:t>
      </w:r>
      <w:r>
        <w:t xml:space="preserve"> emissions </w:t>
      </w:r>
      <w:r w:rsidR="00E010F9">
        <w:t xml:space="preserve">caps. Offshore wind was not built out in all scenarios. Until the cost of offshore wind was reduced by 40%, it was not economically viable, even in the most stringent carbon mitigation scenarios. At a 40% cost reduction, less than 30 GW of offshore wind is </w:t>
      </w:r>
      <w:r w:rsidR="00E010F9">
        <w:lastRenderedPageBreak/>
        <w:t>built out by 2050. At 50% cost reduction, offshore wind is built out to approximately 18 times the capacity as that in the 40% scenario. As costs decrease to 60%, 70%, and 80%, the differences in the total capacity off offshore wind decrease and the overall total dramatically increases.</w:t>
      </w:r>
    </w:p>
    <w:p w14:paraId="2B325D60" w14:textId="77777777" w:rsidR="00E010F9" w:rsidRDefault="00E010F9" w:rsidP="00E010F9">
      <w:pPr>
        <w:spacing w:after="0"/>
        <w:jc w:val="center"/>
      </w:pPr>
      <w:r>
        <w:rPr>
          <w:noProof/>
        </w:rPr>
        <w:drawing>
          <wp:inline distT="0" distB="0" distL="0" distR="0" wp14:anchorId="7C00D790" wp14:editId="475AA327">
            <wp:extent cx="4676775" cy="3314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314700"/>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7B3D2E3E" w14:textId="77777777" w:rsidR="00E010F9" w:rsidRDefault="00E010F9" w:rsidP="00E010F9">
      <w:pPr>
        <w:spacing w:after="0"/>
        <w:jc w:val="center"/>
      </w:pPr>
      <w:r>
        <w:rPr>
          <w:noProof/>
        </w:rPr>
        <w:drawing>
          <wp:inline distT="0" distB="0" distL="0" distR="0" wp14:anchorId="7B31E21C" wp14:editId="43BC4F4C">
            <wp:extent cx="47529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3295650"/>
                    </a:xfrm>
                    <a:prstGeom prst="rect">
                      <a:avLst/>
                    </a:prstGeom>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02988199" w14:textId="77777777" w:rsidR="00EB4D6A" w:rsidRDefault="00EB4D6A" w:rsidP="00C85DCF">
      <w:pPr>
        <w:spacing w:after="0"/>
        <w:jc w:val="center"/>
      </w:pPr>
      <w:r>
        <w:rPr>
          <w:noProof/>
        </w:rPr>
        <w:lastRenderedPageBreak/>
        <w:drawing>
          <wp:inline distT="0" distB="0" distL="0" distR="0" wp14:anchorId="2A3AEBA8" wp14:editId="316F45BA">
            <wp:extent cx="481965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9650" cy="3314700"/>
                    </a:xfrm>
                    <a:prstGeom prst="rect">
                      <a:avLst/>
                    </a:prstGeom>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drawing>
          <wp:inline distT="0" distB="0" distL="0" distR="0" wp14:anchorId="14D2C52B" wp14:editId="74E2B8DE">
            <wp:extent cx="475297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343275"/>
                    </a:xfrm>
                    <a:prstGeom prst="rect">
                      <a:avLst/>
                    </a:prstGeom>
                  </pic:spPr>
                </pic:pic>
              </a:graphicData>
            </a:graphic>
          </wp:inline>
        </w:drawing>
      </w:r>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0EEB0723" w:rsidR="000F7624" w:rsidRPr="00F100D1" w:rsidRDefault="000F7624" w:rsidP="000F7624">
      <w:pPr>
        <w:spacing w:after="0"/>
      </w:pPr>
      <w:r>
        <w:t>All five</w:t>
      </w:r>
      <w:r w:rsidR="00087B87">
        <w:t xml:space="preserve"> </w:t>
      </w:r>
      <w:r w:rsidR="00087B87">
        <w:rPr>
          <w:color w:val="FF0000"/>
        </w:rPr>
        <w:t>of the electric sector emissions that we</w:t>
      </w:r>
      <w:r>
        <w:t xml:space="preserve"> investigated </w:t>
      </w:r>
      <w:r w:rsidRPr="00087B87">
        <w:rPr>
          <w:strike/>
        </w:rPr>
        <w:t>electric sector emissions</w:t>
      </w:r>
      <w:r>
        <w:t xml:space="preserve"> see an overall decline by 2050 in the 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lastRenderedPageBreak/>
        <w:drawing>
          <wp:inline distT="0" distB="0" distL="0" distR="0" wp14:anchorId="38DB09F8" wp14:editId="461A4988">
            <wp:extent cx="48387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700" cy="3638550"/>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drawing>
          <wp:inline distT="0" distB="0" distL="0" distR="0" wp14:anchorId="7983C975" wp14:editId="4FD492A7">
            <wp:extent cx="4857750" cy="3419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3419475"/>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0366F77F" w14:textId="77777777" w:rsidR="008570E5" w:rsidRPr="008570E5" w:rsidRDefault="008570E5" w:rsidP="00FD3B07">
      <w:pPr>
        <w:pStyle w:val="Heading2"/>
        <w:spacing w:before="0"/>
        <w:contextualSpacing/>
        <w:jc w:val="both"/>
      </w:pPr>
      <w:r>
        <w:t>Notes on Modeling</w:t>
      </w:r>
    </w:p>
    <w:sectPr w:rsidR="008570E5" w:rsidRPr="008570E5" w:rsidSect="0077558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enox, Carol" w:date="2019-07-11T08:26:00Z" w:initials="LC">
    <w:p w14:paraId="167A37A8" w14:textId="77777777" w:rsidR="00F729FD" w:rsidRDefault="00F729FD">
      <w:pPr>
        <w:pStyle w:val="CommentText"/>
      </w:pPr>
      <w:r>
        <w:rPr>
          <w:rStyle w:val="CommentReference"/>
        </w:rPr>
        <w:annotationRef/>
      </w:r>
      <w:r>
        <w:t>Should change this to something that does not require a source.</w:t>
      </w:r>
    </w:p>
  </w:comment>
  <w:comment w:id="2" w:author="Lenox, Carol" w:date="2019-07-11T10:05:00Z" w:initials="LC">
    <w:p w14:paraId="6BFE4150" w14:textId="0F903D2C" w:rsidR="00B27C96" w:rsidRDefault="00B27C96">
      <w:pPr>
        <w:pStyle w:val="CommentText"/>
      </w:pPr>
      <w:r>
        <w:rPr>
          <w:rStyle w:val="CommentReference"/>
        </w:rPr>
        <w:annotationRef/>
      </w:r>
      <w:r>
        <w:t>I am assuming you mean 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7A37A8" w15:done="0"/>
  <w15:commentEx w15:paraId="6BFE41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7A37A8" w16cid:durableId="20D17140"/>
  <w16cid:commentId w16cid:paraId="6BFE4150" w16cid:durableId="20D188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7D704" w14:textId="77777777" w:rsidR="00A753FD" w:rsidRDefault="00A753FD" w:rsidP="00B72FB6">
      <w:pPr>
        <w:spacing w:after="0" w:line="240" w:lineRule="auto"/>
      </w:pPr>
      <w:r>
        <w:separator/>
      </w:r>
    </w:p>
  </w:endnote>
  <w:endnote w:type="continuationSeparator" w:id="0">
    <w:p w14:paraId="31F4C106" w14:textId="77777777" w:rsidR="00A753FD" w:rsidRDefault="00A753FD" w:rsidP="00B72FB6">
      <w:pPr>
        <w:spacing w:after="0" w:line="240" w:lineRule="auto"/>
      </w:pPr>
      <w:r>
        <w:continuationSeparator/>
      </w:r>
    </w:p>
  </w:endnote>
  <w:endnote w:id="1">
    <w:p w14:paraId="0D4F9D35" w14:textId="77777777" w:rsidR="004A1D98" w:rsidRDefault="004A1D98" w:rsidP="004A1D98">
      <w:pPr>
        <w:pStyle w:val="EndnoteText"/>
      </w:pPr>
      <w:r>
        <w:rPr>
          <w:rStyle w:val="EndnoteReference"/>
        </w:rPr>
        <w:endnoteRef/>
      </w:r>
      <w:r>
        <w:t xml:space="preserve"> </w:t>
      </w:r>
      <w:hyperlink r:id="rId1" w:history="1">
        <w:r>
          <w:rPr>
            <w:rStyle w:val="Hyperlink"/>
          </w:rPr>
          <w:t>https://windeurope.org/about-wind/statistics/european/wind-energy-in-europe-in-2018/</w:t>
        </w:r>
      </w:hyperlink>
    </w:p>
  </w:endnote>
  <w:endnote w:id="2">
    <w:p w14:paraId="424EA051" w14:textId="77777777" w:rsidR="004A1D98" w:rsidRDefault="004A1D98" w:rsidP="004A1D98">
      <w:pPr>
        <w:pStyle w:val="EndnoteText"/>
      </w:pPr>
      <w:r>
        <w:rPr>
          <w:rStyle w:val="EndnoteReference"/>
        </w:rPr>
        <w:endnoteRef/>
      </w:r>
      <w:r>
        <w:t xml:space="preserve"> </w:t>
      </w:r>
      <w:hyperlink r:id="rId2" w:history="1">
        <w:r>
          <w:rPr>
            <w:rStyle w:val="Hyperlink"/>
          </w:rPr>
          <w:t>https://www.nrel.gov/docs/fy16osti/66599.pdf</w:t>
        </w:r>
      </w:hyperlink>
    </w:p>
  </w:endnote>
  <w:endnote w:id="3">
    <w:p w14:paraId="5D6927C1" w14:textId="77777777" w:rsidR="00C82A97" w:rsidRDefault="00C82A97">
      <w:pPr>
        <w:pStyle w:val="EndnoteText"/>
      </w:pPr>
      <w:r>
        <w:rPr>
          <w:rStyle w:val="EndnoteReference"/>
        </w:rPr>
        <w:endnoteRef/>
      </w:r>
      <w:r>
        <w:t xml:space="preserve"> </w:t>
      </w:r>
      <w:hyperlink r:id="rId3" w:history="1">
        <w:r>
          <w:rPr>
            <w:rStyle w:val="Hyperlink"/>
          </w:rPr>
          <w:t>https://coast.noaa.gov/states/fast-facts/economics-and-demographics.html</w:t>
        </w:r>
      </w:hyperlink>
    </w:p>
  </w:endnote>
  <w:endnote w:id="4">
    <w:p w14:paraId="2626F945" w14:textId="77777777" w:rsidR="003D0650" w:rsidRDefault="003D0650">
      <w:pPr>
        <w:pStyle w:val="EndnoteText"/>
      </w:pPr>
      <w:r>
        <w:rPr>
          <w:rStyle w:val="EndnoteReference"/>
        </w:rPr>
        <w:endnoteRef/>
      </w:r>
      <w:r>
        <w:t xml:space="preserve"> </w:t>
      </w:r>
      <w:hyperlink r:id="rId4" w:history="1">
        <w:r>
          <w:rPr>
            <w:rStyle w:val="Hyperlink"/>
          </w:rPr>
          <w:t>https://s3.amazonaws.com/ncsolarcen-prod/wp-content/uploads/2019/07/RPS-CES-June2019.pdf</w:t>
        </w:r>
      </w:hyperlink>
    </w:p>
  </w:endnote>
  <w:endnote w:id="5">
    <w:p w14:paraId="4035A3F5" w14:textId="77777777" w:rsidR="003D0650" w:rsidRDefault="003D0650">
      <w:pPr>
        <w:pStyle w:val="EndnoteText"/>
      </w:pPr>
      <w:r>
        <w:rPr>
          <w:rStyle w:val="EndnoteReference"/>
        </w:rPr>
        <w:endnoteRef/>
      </w:r>
      <w:r>
        <w:t xml:space="preserve"> </w:t>
      </w:r>
      <w:hyperlink r:id="rId5" w:history="1">
        <w:r>
          <w:rPr>
            <w:rStyle w:val="Hyperlink"/>
          </w:rPr>
          <w:t>https://www.c2es.org/document/greenhouse-gas-emissions-targets/</w:t>
        </w:r>
      </w:hyperlink>
    </w:p>
  </w:endnote>
  <w:endnote w:id="6">
    <w:p w14:paraId="64DFCA50" w14:textId="77777777" w:rsidR="00131414" w:rsidRDefault="00131414">
      <w:pPr>
        <w:pStyle w:val="EndnoteText"/>
      </w:pPr>
      <w:r>
        <w:rPr>
          <w:rStyle w:val="EndnoteReference"/>
        </w:rPr>
        <w:endnoteRef/>
      </w:r>
      <w:r>
        <w:t xml:space="preserve"> </w:t>
      </w:r>
      <w:hyperlink r:id="rId6" w:history="1">
        <w:r>
          <w:rPr>
            <w:rStyle w:val="Hyperlink"/>
          </w:rPr>
          <w:t>https://www.eia.gov/tools/faqs/faq.php?id=427&amp;t=4</w:t>
        </w:r>
      </w:hyperlink>
    </w:p>
  </w:endnote>
  <w:endnote w:id="7">
    <w:p w14:paraId="786156DF" w14:textId="77777777" w:rsidR="00131414" w:rsidRDefault="00131414">
      <w:pPr>
        <w:pStyle w:val="EndnoteText"/>
      </w:pPr>
      <w:r>
        <w:rPr>
          <w:rStyle w:val="EndnoteReference"/>
        </w:rPr>
        <w:endnoteRef/>
      </w:r>
      <w:r>
        <w:t xml:space="preserve"> </w:t>
      </w:r>
      <w:hyperlink r:id="rId7" w:history="1">
        <w:r>
          <w:rPr>
            <w:rStyle w:val="Hyperlink"/>
          </w:rPr>
          <w:t>https://www.eia.gov/energyexplained/?page=us_energy_home</w:t>
        </w:r>
      </w:hyperlink>
    </w:p>
  </w:endnote>
  <w:endnote w:id="8">
    <w:p w14:paraId="494E93DC" w14:textId="77777777" w:rsidR="00D73F35" w:rsidRDefault="00D73F35" w:rsidP="00D73F35">
      <w:pPr>
        <w:pStyle w:val="EndnoteText"/>
      </w:pPr>
      <w:r>
        <w:rPr>
          <w:rStyle w:val="EndnoteReference"/>
        </w:rPr>
        <w:endnoteRef/>
      </w:r>
      <w:r>
        <w:t xml:space="preserve"> </w:t>
      </w:r>
      <w:hyperlink r:id="rId8" w:anchor="gs.op40g3" w:history="1">
        <w:r>
          <w:rPr>
            <w:rStyle w:val="Hyperlink"/>
          </w:rPr>
          <w:t>https://www.greentechmedia.com/articles/read/offshore-wind-reaches-cost-competitiveness-without-subsidies#gs.op40g3</w:t>
        </w:r>
      </w:hyperlink>
    </w:p>
  </w:endnote>
  <w:endnote w:id="9">
    <w:p w14:paraId="668B39A8" w14:textId="77777777" w:rsidR="00D73F35" w:rsidRDefault="00D73F35" w:rsidP="00D73F35">
      <w:pPr>
        <w:pStyle w:val="EndnoteText"/>
      </w:pPr>
      <w:r>
        <w:rPr>
          <w:rStyle w:val="EndnoteReference"/>
        </w:rPr>
        <w:endnoteRef/>
      </w:r>
      <w:r>
        <w:t xml:space="preserve"> </w:t>
      </w:r>
      <w:hyperlink r:id="rId9" w:history="1">
        <w:r>
          <w:rPr>
            <w:rStyle w:val="Hyperlink"/>
          </w:rPr>
          <w:t>https://www.nrel.gov/docs/fy17osti/67675.pdf</w:t>
        </w:r>
      </w:hyperlink>
    </w:p>
  </w:endnote>
  <w:endnote w:id="10">
    <w:p w14:paraId="062FE0F7" w14:textId="77777777" w:rsidR="00D73F35" w:rsidRDefault="00D73F35" w:rsidP="00D73F35">
      <w:pPr>
        <w:pStyle w:val="EndnoteText"/>
      </w:pPr>
      <w:r>
        <w:rPr>
          <w:rStyle w:val="EndnoteReference"/>
        </w:rPr>
        <w:endnoteRef/>
      </w:r>
      <w:r>
        <w:t xml:space="preserve"> </w:t>
      </w:r>
      <w:hyperlink r:id="rId10" w:history="1">
        <w:r>
          <w:rPr>
            <w:rStyle w:val="Hyperlink"/>
          </w:rPr>
          <w:t>https://www.ge.com/renewableenergy/wind-energy/offshore-wind/haliade-x-offshore-turbine</w:t>
        </w:r>
      </w:hyperlink>
    </w:p>
  </w:endnote>
  <w:endnote w:id="11">
    <w:p w14:paraId="75D60BAA" w14:textId="77777777" w:rsidR="00D73F35" w:rsidRDefault="00D73F35" w:rsidP="00D73F35">
      <w:pPr>
        <w:pStyle w:val="EndnoteText"/>
      </w:pPr>
      <w:r>
        <w:rPr>
          <w:rStyle w:val="EndnoteReference"/>
        </w:rPr>
        <w:endnoteRef/>
      </w:r>
      <w:r>
        <w:t xml:space="preserve"> </w:t>
      </w:r>
      <w:hyperlink r:id="rId11" w:history="1">
        <w:r>
          <w:rPr>
            <w:rStyle w:val="Hyperlink"/>
          </w:rPr>
          <w:t>https://www.lazard.com/media/450784/lazards-levelized-cost-of-energy-version-120-vfinal.pdf</w:t>
        </w:r>
      </w:hyperlink>
    </w:p>
  </w:endnote>
  <w:endnote w:id="12">
    <w:p w14:paraId="2F8A71D8" w14:textId="77777777" w:rsidR="00D73F35" w:rsidRDefault="00D73F35" w:rsidP="00D73F35">
      <w:pPr>
        <w:pStyle w:val="EndnoteText"/>
      </w:pPr>
      <w:r>
        <w:rPr>
          <w:rStyle w:val="EndnoteReference"/>
        </w:rPr>
        <w:endnoteRef/>
      </w:r>
      <w:r>
        <w:t xml:space="preserve"> </w:t>
      </w:r>
      <w:hyperlink r:id="rId12" w:history="1">
        <w:r>
          <w:rPr>
            <w:rStyle w:val="Hyperlink"/>
          </w:rPr>
          <w:t>https://www.eia.gov/outlooks/aeo/pdf/electricity_generation.pdf</w:t>
        </w:r>
      </w:hyperlink>
    </w:p>
  </w:endnote>
  <w:endnote w:id="13">
    <w:p w14:paraId="6D3E3353" w14:textId="77777777" w:rsidR="00130066" w:rsidRDefault="00130066" w:rsidP="00CB7434">
      <w:pPr>
        <w:pStyle w:val="EndnoteText"/>
      </w:pPr>
      <w:r>
        <w:rPr>
          <w:rStyle w:val="EndnoteReference"/>
        </w:rPr>
        <w:endnoteRef/>
      </w:r>
      <w:r>
        <w:t xml:space="preserve"> </w:t>
      </w:r>
      <w:hyperlink r:id="rId13" w:history="1">
        <w:r>
          <w:rPr>
            <w:rStyle w:val="Hyperlink"/>
          </w:rPr>
          <w:t>https://www.awea.org/Awea/media/About-AWEA/U-S-Offshore-Wind-Fact-Sheet-September-2018_2.pdf</w:t>
        </w:r>
      </w:hyperlink>
    </w:p>
  </w:endnote>
  <w:endnote w:id="14">
    <w:p w14:paraId="0643D86A" w14:textId="77777777" w:rsidR="005C7190" w:rsidRDefault="005C7190">
      <w:pPr>
        <w:pStyle w:val="EndnoteText"/>
      </w:pPr>
      <w:r>
        <w:rPr>
          <w:rStyle w:val="EndnoteReference"/>
        </w:rPr>
        <w:endnoteRef/>
      </w:r>
      <w:r>
        <w:t xml:space="preserve"> </w:t>
      </w:r>
      <w:hyperlink r:id="rId14" w:anchor="gs.kmsg2u" w:history="1">
        <w:r>
          <w:rPr>
            <w:rStyle w:val="Hyperlink"/>
          </w:rPr>
          <w:t>https://www.greentechmedia.com/articles/read/breaking-rsted-wins-new-jerseys-first-offshore-wind-solicitation#gs.kmsg2u</w:t>
        </w:r>
      </w:hyperlink>
    </w:p>
  </w:endnote>
  <w:endnote w:id="15">
    <w:p w14:paraId="73D2054A" w14:textId="77777777" w:rsidR="00130066" w:rsidRDefault="00130066" w:rsidP="00CB7434">
      <w:pPr>
        <w:pStyle w:val="EndnoteText"/>
      </w:pPr>
      <w:r>
        <w:rPr>
          <w:rStyle w:val="EndnoteReference"/>
        </w:rPr>
        <w:endnoteRef/>
      </w:r>
      <w:r>
        <w:t xml:space="preserve"> </w:t>
      </w:r>
      <w:hyperlink r:id="rId15" w:history="1">
        <w:r>
          <w:rPr>
            <w:rStyle w:val="Hyperlink"/>
          </w:rPr>
          <w:t>https://www.awea.org/Awea/media/About-AWEA/U-S-Offshore-Wind-Fact-Sheet-September-2018_2.pdf</w:t>
        </w:r>
      </w:hyperlink>
    </w:p>
  </w:endnote>
  <w:endnote w:id="16">
    <w:p w14:paraId="5B21DD38" w14:textId="77777777" w:rsidR="00130066" w:rsidRPr="006E083D" w:rsidRDefault="00130066" w:rsidP="00CB7434">
      <w:pPr>
        <w:pStyle w:val="EndnoteText"/>
      </w:pPr>
      <w:r>
        <w:rPr>
          <w:rStyle w:val="EndnoteReference"/>
        </w:rPr>
        <w:endnoteRef/>
      </w:r>
      <w:r>
        <w:t xml:space="preserve"> </w:t>
      </w:r>
      <w:hyperlink r:id="rId16" w:history="1">
        <w:r>
          <w:rPr>
            <w:rStyle w:val="Hyperlink"/>
          </w:rPr>
          <w:t>https://www.njspotlight.com/stories/19/06/18/big-question-for-offshore-wind-who-gets-power-to-the-customers/</w:t>
        </w:r>
      </w:hyperlink>
    </w:p>
  </w:endnote>
  <w:endnote w:id="17">
    <w:p w14:paraId="3D309891" w14:textId="77777777" w:rsidR="00B72FB6" w:rsidRDefault="00B72FB6" w:rsidP="00CB7434">
      <w:pPr>
        <w:pStyle w:val="EndnoteText"/>
      </w:pPr>
      <w:r>
        <w:rPr>
          <w:rStyle w:val="EndnoteReference"/>
        </w:rPr>
        <w:endnoteRef/>
      </w:r>
      <w:r>
        <w:t xml:space="preserve"> </w:t>
      </w:r>
      <w:hyperlink r:id="rId17" w:history="1">
        <w:r>
          <w:rPr>
            <w:rStyle w:val="Hyperlink"/>
          </w:rPr>
          <w:t>https://iea-etsap.org/</w:t>
        </w:r>
      </w:hyperlink>
    </w:p>
  </w:endnote>
  <w:endnote w:id="18">
    <w:p w14:paraId="0C59C9BF" w14:textId="77777777" w:rsidR="00B72FB6" w:rsidRDefault="00B72FB6" w:rsidP="00CB7434">
      <w:pPr>
        <w:spacing w:after="0"/>
      </w:pPr>
      <w:r>
        <w:rPr>
          <w:rStyle w:val="EndnoteReference"/>
        </w:rPr>
        <w:endnoteRef/>
      </w:r>
      <w:r>
        <w:t xml:space="preserve"> </w:t>
      </w:r>
      <w:hyperlink r:id="rId18" w:history="1">
        <w:r w:rsidRPr="00CB7434">
          <w:rPr>
            <w:rStyle w:val="Hyperlink"/>
            <w:sz w:val="20"/>
            <w:szCs w:val="20"/>
          </w:rPr>
          <w:t>https://iea-etsap.org/docs/Documentation_for_the_TIMES_Model-Part-I_July-2016.pdf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95218" w14:textId="77777777" w:rsidR="00A753FD" w:rsidRDefault="00A753FD" w:rsidP="00B72FB6">
      <w:pPr>
        <w:spacing w:after="0" w:line="240" w:lineRule="auto"/>
      </w:pPr>
      <w:r>
        <w:separator/>
      </w:r>
    </w:p>
  </w:footnote>
  <w:footnote w:type="continuationSeparator" w:id="0">
    <w:p w14:paraId="21CEFD15" w14:textId="77777777" w:rsidR="00A753FD" w:rsidRDefault="00A753FD"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nox, Carol">
    <w15:presenceInfo w15:providerId="AD" w15:userId="S-1-5-21-1339303556-449845944-1601390327-3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135C5"/>
    <w:rsid w:val="00032FA4"/>
    <w:rsid w:val="00045D45"/>
    <w:rsid w:val="00050B11"/>
    <w:rsid w:val="00052A48"/>
    <w:rsid w:val="00057B1D"/>
    <w:rsid w:val="000600C5"/>
    <w:rsid w:val="000725AD"/>
    <w:rsid w:val="00076820"/>
    <w:rsid w:val="00087B87"/>
    <w:rsid w:val="000A6265"/>
    <w:rsid w:val="000A6BF9"/>
    <w:rsid w:val="000B38A2"/>
    <w:rsid w:val="000B4F1B"/>
    <w:rsid w:val="000C6AE2"/>
    <w:rsid w:val="000E1F1A"/>
    <w:rsid w:val="000E2776"/>
    <w:rsid w:val="000E2D56"/>
    <w:rsid w:val="000E5F81"/>
    <w:rsid w:val="000F5336"/>
    <w:rsid w:val="000F7624"/>
    <w:rsid w:val="00102508"/>
    <w:rsid w:val="00113F30"/>
    <w:rsid w:val="00120A06"/>
    <w:rsid w:val="0012116C"/>
    <w:rsid w:val="00130066"/>
    <w:rsid w:val="0013129D"/>
    <w:rsid w:val="00131414"/>
    <w:rsid w:val="00196BFC"/>
    <w:rsid w:val="001A4547"/>
    <w:rsid w:val="001B2EC0"/>
    <w:rsid w:val="001C1DBF"/>
    <w:rsid w:val="001C3751"/>
    <w:rsid w:val="001C3FF0"/>
    <w:rsid w:val="001C5CC6"/>
    <w:rsid w:val="001C70B3"/>
    <w:rsid w:val="001D4F71"/>
    <w:rsid w:val="001D59AF"/>
    <w:rsid w:val="001E0C5F"/>
    <w:rsid w:val="001E6735"/>
    <w:rsid w:val="001F3CFF"/>
    <w:rsid w:val="00200B0C"/>
    <w:rsid w:val="00203AA1"/>
    <w:rsid w:val="00217FC3"/>
    <w:rsid w:val="00222298"/>
    <w:rsid w:val="0023222D"/>
    <w:rsid w:val="00232FEC"/>
    <w:rsid w:val="00280D71"/>
    <w:rsid w:val="002B4CE3"/>
    <w:rsid w:val="002B7D5D"/>
    <w:rsid w:val="002D157A"/>
    <w:rsid w:val="002D4028"/>
    <w:rsid w:val="002E4A2F"/>
    <w:rsid w:val="00303C7F"/>
    <w:rsid w:val="00304B8A"/>
    <w:rsid w:val="003061BE"/>
    <w:rsid w:val="00313C1B"/>
    <w:rsid w:val="00314C41"/>
    <w:rsid w:val="00322B7B"/>
    <w:rsid w:val="00322C6C"/>
    <w:rsid w:val="003358EC"/>
    <w:rsid w:val="003374A8"/>
    <w:rsid w:val="003477C7"/>
    <w:rsid w:val="00366525"/>
    <w:rsid w:val="00367E00"/>
    <w:rsid w:val="0037079A"/>
    <w:rsid w:val="00397B40"/>
    <w:rsid w:val="003A46A0"/>
    <w:rsid w:val="003B1F90"/>
    <w:rsid w:val="003B3C33"/>
    <w:rsid w:val="003B4A7E"/>
    <w:rsid w:val="003B5939"/>
    <w:rsid w:val="003B78E1"/>
    <w:rsid w:val="003C370A"/>
    <w:rsid w:val="003D0650"/>
    <w:rsid w:val="003E44A3"/>
    <w:rsid w:val="003F730F"/>
    <w:rsid w:val="00414583"/>
    <w:rsid w:val="00431D48"/>
    <w:rsid w:val="00434696"/>
    <w:rsid w:val="004350A7"/>
    <w:rsid w:val="004351EC"/>
    <w:rsid w:val="0045753F"/>
    <w:rsid w:val="0046351B"/>
    <w:rsid w:val="00463A55"/>
    <w:rsid w:val="0046759C"/>
    <w:rsid w:val="0048164F"/>
    <w:rsid w:val="00490563"/>
    <w:rsid w:val="004A1D98"/>
    <w:rsid w:val="004A6F8A"/>
    <w:rsid w:val="00536A6F"/>
    <w:rsid w:val="00544051"/>
    <w:rsid w:val="0054470C"/>
    <w:rsid w:val="00553323"/>
    <w:rsid w:val="00591FF7"/>
    <w:rsid w:val="005C7190"/>
    <w:rsid w:val="005D66A3"/>
    <w:rsid w:val="005F5C74"/>
    <w:rsid w:val="005F7F39"/>
    <w:rsid w:val="00602039"/>
    <w:rsid w:val="006154DE"/>
    <w:rsid w:val="00632CD2"/>
    <w:rsid w:val="00655D31"/>
    <w:rsid w:val="006678E8"/>
    <w:rsid w:val="006731E4"/>
    <w:rsid w:val="00682396"/>
    <w:rsid w:val="00686BF8"/>
    <w:rsid w:val="006A10AE"/>
    <w:rsid w:val="006C26B7"/>
    <w:rsid w:val="006D21CF"/>
    <w:rsid w:val="006D3114"/>
    <w:rsid w:val="006D5C08"/>
    <w:rsid w:val="006E083D"/>
    <w:rsid w:val="006F4121"/>
    <w:rsid w:val="006F44EF"/>
    <w:rsid w:val="00702B56"/>
    <w:rsid w:val="00702FAE"/>
    <w:rsid w:val="007037BE"/>
    <w:rsid w:val="00710F71"/>
    <w:rsid w:val="00726D59"/>
    <w:rsid w:val="00727347"/>
    <w:rsid w:val="00730D79"/>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D356F"/>
    <w:rsid w:val="007D6B36"/>
    <w:rsid w:val="007E1621"/>
    <w:rsid w:val="007F2D1B"/>
    <w:rsid w:val="00836741"/>
    <w:rsid w:val="0083729B"/>
    <w:rsid w:val="00840F42"/>
    <w:rsid w:val="0084698F"/>
    <w:rsid w:val="0085451A"/>
    <w:rsid w:val="008570E5"/>
    <w:rsid w:val="008613CA"/>
    <w:rsid w:val="008A6698"/>
    <w:rsid w:val="008B192A"/>
    <w:rsid w:val="008B4AE8"/>
    <w:rsid w:val="008C0D68"/>
    <w:rsid w:val="008C66EA"/>
    <w:rsid w:val="008F2840"/>
    <w:rsid w:val="00913B59"/>
    <w:rsid w:val="009211A9"/>
    <w:rsid w:val="009447CF"/>
    <w:rsid w:val="009456A5"/>
    <w:rsid w:val="00956A72"/>
    <w:rsid w:val="00960A4F"/>
    <w:rsid w:val="00977627"/>
    <w:rsid w:val="009825C3"/>
    <w:rsid w:val="00984169"/>
    <w:rsid w:val="00987247"/>
    <w:rsid w:val="009B3AB9"/>
    <w:rsid w:val="009B7B2F"/>
    <w:rsid w:val="009B7ECA"/>
    <w:rsid w:val="009D4065"/>
    <w:rsid w:val="009E386A"/>
    <w:rsid w:val="009E4193"/>
    <w:rsid w:val="00A00F88"/>
    <w:rsid w:val="00A2158F"/>
    <w:rsid w:val="00A61661"/>
    <w:rsid w:val="00A65E3E"/>
    <w:rsid w:val="00A753FD"/>
    <w:rsid w:val="00A82036"/>
    <w:rsid w:val="00A91E46"/>
    <w:rsid w:val="00A971DE"/>
    <w:rsid w:val="00AE292E"/>
    <w:rsid w:val="00AE5BF2"/>
    <w:rsid w:val="00B05CD0"/>
    <w:rsid w:val="00B13E35"/>
    <w:rsid w:val="00B27C96"/>
    <w:rsid w:val="00B43411"/>
    <w:rsid w:val="00B51C2F"/>
    <w:rsid w:val="00B6736D"/>
    <w:rsid w:val="00B67F3B"/>
    <w:rsid w:val="00B72FB6"/>
    <w:rsid w:val="00B7369D"/>
    <w:rsid w:val="00B73EB3"/>
    <w:rsid w:val="00B91B5E"/>
    <w:rsid w:val="00B9642C"/>
    <w:rsid w:val="00BA7554"/>
    <w:rsid w:val="00BB7081"/>
    <w:rsid w:val="00BD4400"/>
    <w:rsid w:val="00BE4451"/>
    <w:rsid w:val="00BE6CF8"/>
    <w:rsid w:val="00BF392D"/>
    <w:rsid w:val="00C00894"/>
    <w:rsid w:val="00C3792B"/>
    <w:rsid w:val="00C5075B"/>
    <w:rsid w:val="00C54F6C"/>
    <w:rsid w:val="00C61E15"/>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E22D7"/>
    <w:rsid w:val="00CE4452"/>
    <w:rsid w:val="00D0359E"/>
    <w:rsid w:val="00D17476"/>
    <w:rsid w:val="00D20D55"/>
    <w:rsid w:val="00D45566"/>
    <w:rsid w:val="00D45DBD"/>
    <w:rsid w:val="00D4742B"/>
    <w:rsid w:val="00D53C07"/>
    <w:rsid w:val="00D61287"/>
    <w:rsid w:val="00D639A5"/>
    <w:rsid w:val="00D71EA2"/>
    <w:rsid w:val="00D73F35"/>
    <w:rsid w:val="00D838C9"/>
    <w:rsid w:val="00D86D49"/>
    <w:rsid w:val="00D90245"/>
    <w:rsid w:val="00DA0A56"/>
    <w:rsid w:val="00DB10D4"/>
    <w:rsid w:val="00DB304A"/>
    <w:rsid w:val="00DB7317"/>
    <w:rsid w:val="00DC115E"/>
    <w:rsid w:val="00DC59A0"/>
    <w:rsid w:val="00DF0151"/>
    <w:rsid w:val="00E010F9"/>
    <w:rsid w:val="00E025CE"/>
    <w:rsid w:val="00E36AF0"/>
    <w:rsid w:val="00E525AC"/>
    <w:rsid w:val="00E52D6F"/>
    <w:rsid w:val="00E535B1"/>
    <w:rsid w:val="00E55900"/>
    <w:rsid w:val="00E65F26"/>
    <w:rsid w:val="00E81B02"/>
    <w:rsid w:val="00E820EE"/>
    <w:rsid w:val="00E86FB7"/>
    <w:rsid w:val="00E9101E"/>
    <w:rsid w:val="00EB33DC"/>
    <w:rsid w:val="00EB4D6A"/>
    <w:rsid w:val="00EC5414"/>
    <w:rsid w:val="00EC6A96"/>
    <w:rsid w:val="00ED3FBE"/>
    <w:rsid w:val="00ED6A22"/>
    <w:rsid w:val="00F03AA3"/>
    <w:rsid w:val="00F100D1"/>
    <w:rsid w:val="00F10AC4"/>
    <w:rsid w:val="00F17923"/>
    <w:rsid w:val="00F26C6D"/>
    <w:rsid w:val="00F43CBF"/>
    <w:rsid w:val="00F62892"/>
    <w:rsid w:val="00F634B6"/>
    <w:rsid w:val="00F63B14"/>
    <w:rsid w:val="00F729FD"/>
    <w:rsid w:val="00F84320"/>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semiHidden/>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greentechmedia.com/articles/read/offshore-wind-reaches-cost-competitiveness-without-subsidies" TargetMode="External"/><Relationship Id="rId13" Type="http://schemas.openxmlformats.org/officeDocument/2006/relationships/hyperlink" Target="https://www.awea.org/Awea/media/About-AWEA/U-S-Offshore-Wind-Fact-Sheet-September-2018_2.pdf" TargetMode="External"/><Relationship Id="rId18" Type="http://schemas.openxmlformats.org/officeDocument/2006/relationships/hyperlink" Target="https://iea-etsap.org/docs/Documentation_for_the_TIMES_Model-Part-I_July-2016.pdf" TargetMode="External"/><Relationship Id="rId3" Type="http://schemas.openxmlformats.org/officeDocument/2006/relationships/hyperlink" Target="https://coast.noaa.gov/states/fast-facts/economics-and-demographics.html" TargetMode="External"/><Relationship Id="rId7" Type="http://schemas.openxmlformats.org/officeDocument/2006/relationships/hyperlink" Target="https://www.eia.gov/energyexplained/?page=us_energy_home" TargetMode="External"/><Relationship Id="rId12" Type="http://schemas.openxmlformats.org/officeDocument/2006/relationships/hyperlink" Target="https://www.eia.gov/outlooks/aeo/pdf/electricity_generation.pdf" TargetMode="External"/><Relationship Id="rId17" Type="http://schemas.openxmlformats.org/officeDocument/2006/relationships/hyperlink" Target="https://iea-etsap.org/" TargetMode="External"/><Relationship Id="rId2" Type="http://schemas.openxmlformats.org/officeDocument/2006/relationships/hyperlink" Target="https://www.nrel.gov/docs/fy16osti/66599.pdf" TargetMode="External"/><Relationship Id="rId16" Type="http://schemas.openxmlformats.org/officeDocument/2006/relationships/hyperlink" Target="https://www.njspotlight.com/stories/19/06/18/big-question-for-offshore-wind-who-gets-power-to-the-customers/" TargetMode="External"/><Relationship Id="rId1" Type="http://schemas.openxmlformats.org/officeDocument/2006/relationships/hyperlink" Target="https://windeurope.org/about-wind/statistics/european/wind-energy-in-europe-in-2018/" TargetMode="External"/><Relationship Id="rId6" Type="http://schemas.openxmlformats.org/officeDocument/2006/relationships/hyperlink" Target="https://www.eia.gov/tools/faqs/faq.php?id=427&amp;t=4" TargetMode="External"/><Relationship Id="rId11" Type="http://schemas.openxmlformats.org/officeDocument/2006/relationships/hyperlink" Target="https://www.lazard.com/media/450784/lazards-levelized-cost-of-energy-version-120-vfinal.pdf" TargetMode="External"/><Relationship Id="rId5" Type="http://schemas.openxmlformats.org/officeDocument/2006/relationships/hyperlink" Target="https://www.c2es.org/document/greenhouse-gas-emissions-targets/" TargetMode="External"/><Relationship Id="rId15" Type="http://schemas.openxmlformats.org/officeDocument/2006/relationships/hyperlink" Target="https://www.awea.org/Awea/media/About-AWEA/U-S-Offshore-Wind-Fact-Sheet-September-2018_2.pdf" TargetMode="External"/><Relationship Id="rId10" Type="http://schemas.openxmlformats.org/officeDocument/2006/relationships/hyperlink" Target="https://www.ge.com/renewableenergy/wind-energy/offshore-wind/haliade-x-offshore-turbine" TargetMode="External"/><Relationship Id="rId4" Type="http://schemas.openxmlformats.org/officeDocument/2006/relationships/hyperlink" Target="https://s3.amazonaws.com/ncsolarcen-prod/wp-content/uploads/2019/07/RPS-CES-June2019.pdf" TargetMode="External"/><Relationship Id="rId9" Type="http://schemas.openxmlformats.org/officeDocument/2006/relationships/hyperlink" Target="https://www.nrel.gov/docs/fy17osti/67675.pdf" TargetMode="External"/><Relationship Id="rId14" Type="http://schemas.openxmlformats.org/officeDocument/2006/relationships/hyperlink" Target="https://www.greentechmedia.com/articles/read/breaking-rsted-wins-new-jerseys-first-offshore-wind-solici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6A453-9E69-4776-8A80-E371D4AB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cp:revision>
  <dcterms:created xsi:type="dcterms:W3CDTF">2019-07-11T14:42:00Z</dcterms:created>
  <dcterms:modified xsi:type="dcterms:W3CDTF">2019-07-11T14:42:00Z</dcterms:modified>
</cp:coreProperties>
</file>