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7A77" w14:textId="233285F9" w:rsidR="00D815B8" w:rsidRPr="00D815B8" w:rsidRDefault="00211655" w:rsidP="0086533D">
      <w:pPr>
        <w:pStyle w:val="Heading1"/>
        <w:spacing w:before="0"/>
        <w:contextualSpacing/>
        <w:jc w:val="both"/>
        <w:sectPr w:rsidR="00D815B8" w:rsidRPr="00D815B8" w:rsidSect="006E441D">
          <w:footerReference w:type="default" r:id="rId12"/>
          <w:pgSz w:w="12240" w:h="15840"/>
          <w:pgMar w:top="720" w:right="720" w:bottom="720" w:left="720" w:header="720" w:footer="720" w:gutter="0"/>
          <w:cols w:space="720"/>
          <w:docGrid w:linePitch="360"/>
        </w:sectPr>
      </w:pPr>
      <w:r>
        <w:t xml:space="preserve">Modeling the Contribution of Offshore Wind to the Grid Mix and Air Quality Implications: </w:t>
      </w:r>
      <w:r w:rsidR="000D3080">
        <w:t xml:space="preserve">U.S. </w:t>
      </w:r>
      <w:r>
        <w:t>National Approac</w:t>
      </w:r>
      <w:r w:rsidR="00696727">
        <w:t>h</w:t>
      </w:r>
    </w:p>
    <w:p w14:paraId="01FD354F" w14:textId="77777777" w:rsidR="00696727" w:rsidRDefault="00696727" w:rsidP="0086533D">
      <w:pPr>
        <w:contextualSpacing/>
      </w:pPr>
    </w:p>
    <w:p w14:paraId="0E247139" w14:textId="3C0C4712" w:rsidR="00D815B8" w:rsidRDefault="00D815B8" w:rsidP="0086533D">
      <w:pPr>
        <w:contextualSpacing/>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86533D">
      <w:pPr>
        <w:contextualSpacing/>
        <w:rPr>
          <w:b/>
        </w:rPr>
      </w:pPr>
    </w:p>
    <w:p w14:paraId="3AB9D4E9" w14:textId="4C85C898" w:rsidR="00D815B8" w:rsidRDefault="00D815B8" w:rsidP="0086533D">
      <w:pPr>
        <w:contextualSpacing/>
      </w:pPr>
      <w:proofErr w:type="spellStart"/>
      <w:proofErr w:type="gramStart"/>
      <w:r>
        <w:rPr>
          <w:vertAlign w:val="superscript"/>
        </w:rPr>
        <w:t>a</w:t>
      </w:r>
      <w:proofErr w:type="spellEnd"/>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86533D">
      <w:pPr>
        <w:contextualSpacing/>
      </w:pPr>
      <w:r>
        <w:rPr>
          <w:vertAlign w:val="superscript"/>
        </w:rPr>
        <w:t>b</w:t>
      </w:r>
      <w:r>
        <w:t xml:space="preserve"> U.S. Environmental Protection Agency, Office of Research and Development, 109 TW Alexander Dr., NC 27709, United States</w:t>
      </w:r>
    </w:p>
    <w:p w14:paraId="36D2FCB4" w14:textId="4BAC90E3" w:rsidR="00EF5961" w:rsidRPr="00EF5961" w:rsidRDefault="00EF5961" w:rsidP="0086533D">
      <w:pPr>
        <w:contextualSpacing/>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3" w:history="1">
        <w:r w:rsidRPr="00CC5FD7">
          <w:rPr>
            <w:rStyle w:val="Hyperlink"/>
          </w:rPr>
          <w:t>browning.morgan@epa.gov</w:t>
        </w:r>
      </w:hyperlink>
      <w:r>
        <w:t xml:space="preserve"> (M.S. Browning)</w:t>
      </w:r>
    </w:p>
    <w:p w14:paraId="31190E17" w14:textId="012E9795" w:rsidR="008570E5" w:rsidRDefault="008570E5" w:rsidP="0086533D">
      <w:pPr>
        <w:pStyle w:val="Heading2"/>
        <w:spacing w:before="0"/>
        <w:contextualSpacing/>
        <w:jc w:val="both"/>
      </w:pPr>
      <w:r w:rsidRPr="008570E5">
        <w:t>Abstract</w:t>
      </w:r>
    </w:p>
    <w:p w14:paraId="293E4473" w14:textId="77777777" w:rsidR="004A1D98" w:rsidRPr="00134E75" w:rsidRDefault="004A1D98" w:rsidP="0086533D">
      <w:pPr>
        <w:spacing w:after="0"/>
        <w:contextualSpacing/>
        <w:jc w:val="both"/>
      </w:pPr>
    </w:p>
    <w:p w14:paraId="7CD09671" w14:textId="44E72FC3" w:rsidR="00712618" w:rsidRDefault="004A1D98" w:rsidP="0086533D">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0" w:name="_Hlk20918300"/>
      <w:r w:rsidR="006B66AE" w:rsidRPr="006B66AE">
        <w:t>CO</w:t>
      </w:r>
      <w:r w:rsidR="006B66AE" w:rsidRPr="006B66AE">
        <w:rPr>
          <w:vertAlign w:val="subscript"/>
        </w:rPr>
        <w:t>2</w:t>
      </w:r>
      <w:bookmarkEnd w:id="0"/>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86533D">
      <w:pPr>
        <w:spacing w:after="0"/>
        <w:contextualSpacing/>
        <w:jc w:val="both"/>
      </w:pPr>
    </w:p>
    <w:p w14:paraId="05C1935D" w14:textId="1CA46DFB" w:rsidR="00FC7A88" w:rsidRDefault="00712618" w:rsidP="0086533D">
      <w:pPr>
        <w:spacing w:after="0"/>
        <w:contextualSpacing/>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86533D">
      <w:pPr>
        <w:spacing w:after="0"/>
        <w:contextualSpacing/>
        <w:jc w:val="both"/>
      </w:pPr>
    </w:p>
    <w:p w14:paraId="7A46AD07" w14:textId="10E4E2E8" w:rsidR="00586430" w:rsidRDefault="00586430" w:rsidP="0086533D">
      <w:pPr>
        <w:pStyle w:val="Heading2"/>
        <w:spacing w:before="0"/>
        <w:contextualSpacing/>
        <w:jc w:val="both"/>
      </w:pPr>
      <w:r>
        <w:t>Keywords</w:t>
      </w:r>
    </w:p>
    <w:p w14:paraId="24B46F4C" w14:textId="7EC98B4B" w:rsidR="008570E5" w:rsidRDefault="008570E5" w:rsidP="0086533D">
      <w:pPr>
        <w:spacing w:after="0"/>
        <w:contextualSpacing/>
        <w:jc w:val="both"/>
      </w:pPr>
    </w:p>
    <w:p w14:paraId="14F1AE4A" w14:textId="1F8B49EA" w:rsidR="00586430" w:rsidRDefault="00586430" w:rsidP="0086533D">
      <w:pPr>
        <w:spacing w:after="0"/>
        <w:contextualSpacing/>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86533D">
      <w:pPr>
        <w:spacing w:after="0"/>
        <w:contextualSpacing/>
        <w:jc w:val="both"/>
      </w:pPr>
    </w:p>
    <w:p w14:paraId="2D86273A" w14:textId="59117607" w:rsidR="002C2783" w:rsidRDefault="002C2783" w:rsidP="0086533D">
      <w:pPr>
        <w:pStyle w:val="Heading2"/>
        <w:spacing w:before="0"/>
        <w:contextualSpacing/>
        <w:jc w:val="both"/>
      </w:pPr>
      <w:r>
        <w:t>Highlights</w:t>
      </w:r>
    </w:p>
    <w:p w14:paraId="0E9BB025" w14:textId="77777777" w:rsidR="002C2783" w:rsidRDefault="002C2783" w:rsidP="0086533D">
      <w:pPr>
        <w:spacing w:after="0"/>
        <w:contextualSpacing/>
        <w:jc w:val="both"/>
      </w:pPr>
    </w:p>
    <w:p w14:paraId="6826A49E" w14:textId="6B4834AF" w:rsidR="002C2783" w:rsidRDefault="00E66609" w:rsidP="0086533D">
      <w:pPr>
        <w:pStyle w:val="ListParagraph"/>
        <w:numPr>
          <w:ilvl w:val="0"/>
          <w:numId w:val="9"/>
        </w:numPr>
        <w:spacing w:after="0"/>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86533D">
      <w:pPr>
        <w:pStyle w:val="ListParagraph"/>
        <w:numPr>
          <w:ilvl w:val="0"/>
          <w:numId w:val="9"/>
        </w:numPr>
        <w:spacing w:after="0"/>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86533D">
      <w:pPr>
        <w:pStyle w:val="ListParagraph"/>
        <w:numPr>
          <w:ilvl w:val="0"/>
          <w:numId w:val="9"/>
        </w:numPr>
        <w:spacing w:after="0"/>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86533D">
      <w:pPr>
        <w:pStyle w:val="ListParagraph"/>
        <w:numPr>
          <w:ilvl w:val="0"/>
          <w:numId w:val="9"/>
        </w:numPr>
        <w:spacing w:after="0"/>
        <w:jc w:val="both"/>
      </w:pPr>
      <w:r>
        <w:t>Cost is the chief barrier to achieving these emissions reductions</w:t>
      </w:r>
    </w:p>
    <w:p w14:paraId="5EC58818" w14:textId="77777777" w:rsidR="00586430" w:rsidRDefault="00586430" w:rsidP="0086533D">
      <w:pPr>
        <w:spacing w:after="0"/>
        <w:contextualSpacing/>
        <w:jc w:val="both"/>
      </w:pPr>
    </w:p>
    <w:p w14:paraId="391E716E" w14:textId="4FC300A3" w:rsidR="00DF0151" w:rsidRDefault="008570E5" w:rsidP="0086533D">
      <w:pPr>
        <w:pStyle w:val="Heading2"/>
        <w:spacing w:before="0"/>
        <w:contextualSpacing/>
        <w:jc w:val="both"/>
      </w:pPr>
      <w:r>
        <w:t>Introduction</w:t>
      </w:r>
      <w:r w:rsidR="004262BF">
        <w:t xml:space="preserve"> and objectives</w:t>
      </w:r>
    </w:p>
    <w:p w14:paraId="5FF252FD" w14:textId="77777777" w:rsidR="00DF0151" w:rsidRPr="00DF0151" w:rsidRDefault="00DF0151" w:rsidP="0086533D">
      <w:pPr>
        <w:spacing w:after="0"/>
        <w:contextualSpacing/>
        <w:jc w:val="both"/>
      </w:pPr>
    </w:p>
    <w:p w14:paraId="6E669F6E" w14:textId="5738D09A" w:rsidR="00CE22D7" w:rsidRDefault="001507A4" w:rsidP="0086533D">
      <w:pPr>
        <w:spacing w:after="0"/>
        <w:contextualSpacing/>
        <w:jc w:val="both"/>
      </w:pPr>
      <w:r>
        <w:lastRenderedPageBreak/>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3162D2">
        <w:instrText xml:space="preserve"> ADDIN EN.CITE &lt;EndNote&gt;&lt;Cite&gt;&lt;Author&gt;NOAA&lt;/Author&gt;&lt;Year&gt;2014&lt;/Year&gt;&lt;RecNum&gt;74&lt;/RecNum&gt;&lt;DisplayText&gt;[2, 3]&lt;/DisplayText&gt;&lt;record&gt;&lt;rec-number&gt;74&lt;/rec-number&gt;&lt;foreign-keys&gt;&lt;key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3162D2">
        <w:rPr>
          <w:noProof/>
        </w:rPr>
        <w:t>[2, 3]</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3162D2">
        <w:instrText xml:space="preserve"> ADDIN EN.CITE &lt;EndNote&gt;&lt;Cite&gt;&lt;Author&gt;Musial&lt;/Author&gt;&lt;Year&gt;2016&lt;/Year&gt;&lt;RecNum&gt;72&lt;/RecNum&gt;&lt;DisplayText&gt;[4]&lt;/DisplayText&gt;&lt;record&gt;&lt;rec-number&gt;72&lt;/rec-number&gt;&lt;foreign-keys&gt;&lt;key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3162D2">
        <w:rPr>
          <w:noProof/>
        </w:rPr>
        <w:t>[4]</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3162D2">
        <w:instrText xml:space="preserve"> ADDIN EN.CITE &lt;EndNote&gt;&lt;Cite&gt;&lt;Author&gt;Green&lt;/Author&gt;&lt;Year&gt;2011&lt;/Year&gt;&lt;RecNum&gt;42&lt;/RecNum&gt;&lt;DisplayText&gt;[5, 6]&lt;/DisplayText&gt;&lt;record&gt;&lt;rec-number&gt;42&lt;/rec-number&gt;&lt;foreign-keys&gt;&lt;key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3162D2">
        <w:rPr>
          <w:noProof/>
        </w:rPr>
        <w:t>[5, 6]</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3162D2">
        <w:instrText xml:space="preserve"> ADDIN EN.CITE &lt;EndNote&gt;&lt;Cite&gt;&lt;Author&gt;Stehly&lt;/Author&gt;&lt;Year&gt;2017&lt;/Year&gt;&lt;RecNum&gt;143&lt;/RecNum&gt;&lt;DisplayText&gt;[7]&lt;/DisplayText&gt;&lt;record&gt;&lt;rec-number&gt;143&lt;/rec-number&gt;&lt;foreign-keys&gt;&lt;key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3162D2">
        <w:rPr>
          <w:noProof/>
        </w:rPr>
        <w:t>[7]</w:t>
      </w:r>
      <w:r w:rsidR="006C0FE6">
        <w:fldChar w:fldCharType="end"/>
      </w:r>
      <w:r w:rsidR="00CA0F53">
        <w:t xml:space="preserve">. </w:t>
      </w:r>
    </w:p>
    <w:p w14:paraId="71FF31E6" w14:textId="77777777" w:rsidR="000B38A2" w:rsidRPr="00134E75" w:rsidRDefault="000B38A2" w:rsidP="0086533D">
      <w:pPr>
        <w:spacing w:after="0"/>
        <w:contextualSpacing/>
        <w:jc w:val="both"/>
      </w:pPr>
    </w:p>
    <w:p w14:paraId="662A36F8" w14:textId="6D61682F" w:rsidR="00E535B1" w:rsidRDefault="003061BE" w:rsidP="0086533D">
      <w:pPr>
        <w:spacing w:after="0"/>
        <w:contextualSpacing/>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3162D2">
        <w:instrText xml:space="preserve"> ADDIN EN.CITE &lt;EndNote&gt;&lt;Cite&gt;&lt;Author&gt;NCCETC&lt;/Author&gt;&lt;Year&gt;2019&lt;/Year&gt;&lt;RecNum&gt;75&lt;/RecNum&gt;&lt;DisplayText&gt;[8, 9]&lt;/DisplayText&gt;&lt;record&gt;&lt;rec-number&gt;75&lt;/rec-number&gt;&lt;foreign-keys&gt;&lt;key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3162D2">
        <w:rPr>
          <w:noProof/>
        </w:rPr>
        <w:t>[8, 9]</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3162D2">
        <w:instrText xml:space="preserve"> ADDIN EN.CITE &lt;EndNote&gt;&lt;Cite&gt;&lt;Author&gt;U.S. EIA&lt;/Author&gt;&lt;Year&gt;2018&lt;/Year&gt;&lt;RecNum&gt;77&lt;/RecNum&gt;&lt;DisplayText&gt;[10, 11]&lt;/DisplayText&gt;&lt;record&gt;&lt;rec-number&gt;77&lt;/rec-number&gt;&lt;foreign-keys&gt;&lt;key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3162D2">
        <w:rPr>
          <w:noProof/>
        </w:rPr>
        <w:t>[10, 11]</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86533D">
      <w:pPr>
        <w:spacing w:after="0"/>
        <w:contextualSpacing/>
        <w:jc w:val="both"/>
      </w:pPr>
    </w:p>
    <w:p w14:paraId="15EC8730" w14:textId="588E7F0B" w:rsidR="00730D79" w:rsidRDefault="000E1F1A" w:rsidP="0086533D">
      <w:pPr>
        <w:spacing w:after="0"/>
        <w:contextualSpacing/>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86533D">
      <w:pPr>
        <w:spacing w:after="0"/>
        <w:contextualSpacing/>
        <w:jc w:val="both"/>
      </w:pPr>
    </w:p>
    <w:p w14:paraId="7377C320" w14:textId="36A01CCF" w:rsidR="00730D79" w:rsidRDefault="00B51C2F" w:rsidP="0086533D">
      <w:pPr>
        <w:spacing w:after="0"/>
        <w:contextualSpacing/>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86533D">
      <w:pPr>
        <w:spacing w:after="0"/>
        <w:contextualSpacing/>
        <w:jc w:val="both"/>
      </w:pPr>
    </w:p>
    <w:p w14:paraId="26B02629" w14:textId="66A0803E" w:rsidR="00A00F88" w:rsidRDefault="00B51C2F" w:rsidP="0086533D">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86533D">
      <w:pPr>
        <w:spacing w:after="0"/>
        <w:contextualSpacing/>
        <w:jc w:val="both"/>
      </w:pPr>
    </w:p>
    <w:p w14:paraId="014BE5B6" w14:textId="0EA45287" w:rsidR="00F264B3" w:rsidRDefault="00BB769D" w:rsidP="0086533D">
      <w:pPr>
        <w:spacing w:after="0"/>
        <w:contextualSpacing/>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 xml:space="preserve">n </w:t>
      </w:r>
      <w:r w:rsidR="004478A3">
        <w:fldChar w:fldCharType="begin"/>
      </w:r>
      <w:r w:rsidR="003162D2">
        <w:instrText xml:space="preserve"> ADDIN EN.CITE &lt;EndNote&gt;&lt;Cite&gt;&lt;Author&gt;U.S. EIA&lt;/Author&gt;&lt;Year&gt;2019&lt;/Year&gt;&lt;RecNum&gt;79&lt;/RecNum&gt;&lt;DisplayText&gt;[1]&lt;/DisplayText&gt;&lt;record&gt;&lt;rec-number&gt;79&lt;/rec-number&gt;&lt;foreign-keys&gt;&lt;key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3162D2">
        <w:rPr>
          <w:noProof/>
        </w:rPr>
        <w:t>[1]</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54%</w:t>
      </w:r>
      <w:r w:rsidR="007579C4">
        <w:t xml:space="preserve"> </w:t>
      </w:r>
      <w:r w:rsidR="001F4640">
        <w:t xml:space="preserve">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86533D">
      <w:pPr>
        <w:spacing w:after="0"/>
        <w:contextualSpacing/>
        <w:jc w:val="both"/>
      </w:pPr>
    </w:p>
    <w:p w14:paraId="05732443" w14:textId="23CA371D" w:rsidR="00280D71" w:rsidRDefault="00076820" w:rsidP="0086533D">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w:t>
      </w:r>
      <w:r w:rsidR="009D4065">
        <w:lastRenderedPageBreak/>
        <w:t xml:space="preserve">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86533D">
      <w:pPr>
        <w:spacing w:after="0"/>
        <w:contextualSpacing/>
        <w:jc w:val="both"/>
      </w:pPr>
    </w:p>
    <w:p w14:paraId="7821A8F7" w14:textId="7AD607DF" w:rsidR="00730D79" w:rsidRPr="00134E75" w:rsidRDefault="00CA6CCD" w:rsidP="0086533D">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p>
    <w:p w14:paraId="3E5BFE85" w14:textId="77777777" w:rsidR="00304B8A" w:rsidRDefault="00304B8A" w:rsidP="0086533D">
      <w:pPr>
        <w:spacing w:after="0"/>
        <w:contextualSpacing/>
        <w:jc w:val="both"/>
      </w:pPr>
    </w:p>
    <w:p w14:paraId="6A4018A5" w14:textId="77777777" w:rsidR="00304B8A" w:rsidRPr="00304B8A" w:rsidRDefault="008570E5" w:rsidP="0086533D">
      <w:pPr>
        <w:pStyle w:val="Heading2"/>
        <w:spacing w:before="0"/>
        <w:contextualSpacing/>
        <w:jc w:val="both"/>
      </w:pPr>
      <w:r>
        <w:t>Background</w:t>
      </w:r>
    </w:p>
    <w:p w14:paraId="37FE5419" w14:textId="77777777" w:rsidR="00304B8A" w:rsidRDefault="00304B8A" w:rsidP="0086533D">
      <w:pPr>
        <w:spacing w:after="0"/>
        <w:contextualSpacing/>
        <w:jc w:val="both"/>
      </w:pPr>
    </w:p>
    <w:p w14:paraId="486F5379" w14:textId="6EA36854" w:rsidR="000A0946" w:rsidRDefault="001507A4" w:rsidP="0086533D">
      <w:pPr>
        <w:spacing w:after="0"/>
        <w:contextualSpacing/>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86533D">
      <w:pPr>
        <w:spacing w:after="0"/>
        <w:contextualSpacing/>
        <w:jc w:val="both"/>
      </w:pPr>
    </w:p>
    <w:p w14:paraId="782ACF25" w14:textId="0767B2D3" w:rsidR="006E441D" w:rsidRDefault="003D046D" w:rsidP="0086533D">
      <w:pPr>
        <w:spacing w:after="0"/>
        <w:contextualSpacing/>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3ECA2BE1" w:rsidR="0015075E" w:rsidRDefault="003D046D" w:rsidP="0086533D">
      <w:pPr>
        <w:spacing w:after="0"/>
        <w:contextualSpacing/>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86533D">
      <w:pPr>
        <w:spacing w:after="0"/>
        <w:contextualSpacing/>
        <w:jc w:val="both"/>
      </w:pPr>
    </w:p>
    <w:p w14:paraId="32ED1AF9" w14:textId="138BD3EA" w:rsidR="00D73F35" w:rsidRDefault="00D73F35" w:rsidP="0086533D">
      <w:pPr>
        <w:spacing w:after="0"/>
        <w:contextualSpacing/>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xml:space="preserve">. Supply chain and infrastructure advancement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86533D">
      <w:pPr>
        <w:spacing w:after="0"/>
        <w:contextualSpacing/>
        <w:jc w:val="both"/>
      </w:pPr>
    </w:p>
    <w:p w14:paraId="242B06F1" w14:textId="5874ED46" w:rsidR="00D73F35" w:rsidRDefault="00D73F35" w:rsidP="0086533D">
      <w:pPr>
        <w:spacing w:after="0"/>
        <w:contextualSpacing/>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xml:space="preserve">. </w:t>
      </w:r>
      <w:r w:rsidR="00FA1950">
        <w:lastRenderedPageBreak/>
        <w:t>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p>
    <w:p w14:paraId="0CC78389" w14:textId="5A21B988" w:rsidR="00840F42" w:rsidRDefault="003162D2" w:rsidP="003162D2">
      <w:pPr>
        <w:spacing w:after="0"/>
        <w:contextualSpacing/>
        <w:jc w:val="both"/>
      </w:pPr>
      <w:r>
        <w:rPr>
          <w:noProof/>
        </w:rPr>
        <mc:AlternateContent>
          <mc:Choice Requires="wps">
            <w:drawing>
              <wp:inline distT="0" distB="0" distL="0" distR="0" wp14:anchorId="0C825F4D" wp14:editId="63D4E8D0">
                <wp:extent cx="6836735" cy="1404620"/>
                <wp:effectExtent l="0" t="0" r="2159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6735" cy="1404620"/>
                        </a:xfrm>
                        <a:prstGeom prst="rect">
                          <a:avLst/>
                        </a:prstGeom>
                        <a:solidFill>
                          <a:srgbClr val="FFFFFF"/>
                        </a:solidFill>
                        <a:ln w="9525">
                          <a:solidFill>
                            <a:schemeClr val="bg1"/>
                          </a:solidFill>
                          <a:miter lim="800000"/>
                          <a:headEnd/>
                          <a:tailEnd/>
                        </a:ln>
                      </wps:spPr>
                      <wps:txbx>
                        <w:txbxContent>
                          <w:p w14:paraId="04F542D1" w14:textId="741D8E31" w:rsidR="00214AC1" w:rsidRDefault="00214AC1" w:rsidP="003162D2">
                            <w:pPr>
                              <w:spacing w:after="0"/>
                              <w:contextualSpacing/>
                              <w:jc w:val="center"/>
                            </w:pPr>
                            <w:r>
                              <w:rPr>
                                <w:noProof/>
                              </w:rPr>
                              <w:drawing>
                                <wp:inline distT="0" distB="0" distL="0" distR="0" wp14:anchorId="377EDFF4" wp14:editId="19625C40">
                                  <wp:extent cx="4999355" cy="2279015"/>
                                  <wp:effectExtent l="19050" t="19050" r="107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0539"/>
                                          <a:stretch/>
                                        </pic:blipFill>
                                        <pic:spPr bwMode="auto">
                                          <a:xfrm>
                                            <a:off x="0" y="0"/>
                                            <a:ext cx="5020886" cy="22891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81AAEE2" w14:textId="67C41DCE" w:rsidR="00214AC1" w:rsidRDefault="00214AC1" w:rsidP="003162D2">
                            <w:pPr>
                              <w:pStyle w:val="Caption"/>
                              <w:keepNext/>
                              <w:contextualSpacing/>
                              <w:jc w:val="center"/>
                            </w:pPr>
                            <w:r>
                              <w:t xml:space="preserve">Table </w:t>
                            </w:r>
                            <w:r w:rsidR="00382046">
                              <w:fldChar w:fldCharType="begin"/>
                            </w:r>
                            <w:r w:rsidR="00382046">
                              <w:instrText xml:space="preserve"> SEQ Table \* ARABIC </w:instrText>
                            </w:r>
                            <w:r w:rsidR="00382046">
                              <w:fldChar w:fldCharType="separate"/>
                            </w:r>
                            <w:r>
                              <w:rPr>
                                <w:noProof/>
                              </w:rPr>
                              <w:t>1</w:t>
                            </w:r>
                            <w:r w:rsidR="00382046">
                              <w:rPr>
                                <w:noProof/>
                              </w:rPr>
                              <w:fldChar w:fldCharType="end"/>
                            </w:r>
                            <w:r>
                              <w:t xml:space="preserve">. AEO 2018 LCOE </w:t>
                            </w:r>
                            <w:r>
                              <w:fldChar w:fldCharType="begin"/>
                            </w:r>
                            <w:r>
                              <w:instrText xml:space="preserve"> ADDIN EN.CITE &lt;EndNote&gt;&lt;Cite&gt;&lt;Author&gt;U.S. EIA&lt;/Author&gt;&lt;Year&gt;2019&lt;/Year&gt;&lt;RecNum&gt;79&lt;/RecNum&gt;&lt;DisplayText&gt;[1]&lt;/DisplayText&gt;&lt;record&gt;&lt;rec-number&gt;79&lt;/rec-number&gt;&lt;foreign-keys&gt;&lt;key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w:t>
                            </w:r>
                            <w:r>
                              <w:fldChar w:fldCharType="end"/>
                            </w:r>
                          </w:p>
                        </w:txbxContent>
                      </wps:txbx>
                      <wps:bodyPr rot="0" vert="horz" wrap="square" lIns="91440" tIns="45720" rIns="91440" bIns="45720" anchor="t" anchorCtr="0">
                        <a:spAutoFit/>
                      </wps:bodyPr>
                    </wps:wsp>
                  </a:graphicData>
                </a:graphic>
              </wp:inline>
            </w:drawing>
          </mc:Choice>
          <mc:Fallback>
            <w:pict>
              <v:shapetype w14:anchorId="0C825F4D" id="_x0000_t202" coordsize="21600,21600" o:spt="202" path="m,l,21600r21600,l21600,xe">
                <v:stroke joinstyle="miter"/>
                <v:path gradientshapeok="t" o:connecttype="rect"/>
              </v:shapetype>
              <v:shape id="Text Box 2" o:spid="_x0000_s1026" type="#_x0000_t202" style="width:538.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" strokecolor="white [3212]">
                <v:textbox style="mso-fit-shape-to-text:t">
                  <w:txbxContent>
                    <w:p w14:paraId="04F542D1" w14:textId="741D8E31" w:rsidR="00214AC1" w:rsidRDefault="00214AC1" w:rsidP="003162D2">
                      <w:pPr>
                        <w:spacing w:after="0"/>
                        <w:contextualSpacing/>
                        <w:jc w:val="center"/>
                      </w:pPr>
                      <w:r>
                        <w:rPr>
                          <w:noProof/>
                        </w:rPr>
                        <w:drawing>
                          <wp:inline distT="0" distB="0" distL="0" distR="0" wp14:anchorId="377EDFF4" wp14:editId="19625C40">
                            <wp:extent cx="4999355" cy="2279015"/>
                            <wp:effectExtent l="19050" t="19050" r="107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0539"/>
                                    <a:stretch/>
                                  </pic:blipFill>
                                  <pic:spPr bwMode="auto">
                                    <a:xfrm>
                                      <a:off x="0" y="0"/>
                                      <a:ext cx="5020886" cy="22891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81AAEE2" w14:textId="67C41DCE" w:rsidR="00214AC1" w:rsidRDefault="00214AC1" w:rsidP="003162D2">
                      <w:pPr>
                        <w:pStyle w:val="Caption"/>
                        <w:keepNext/>
                        <w:contextualSpacing/>
                        <w:jc w:val="center"/>
                      </w:pPr>
                      <w:r>
                        <w:t xml:space="preserve">Table </w:t>
                      </w:r>
                      <w:r w:rsidR="00382046">
                        <w:fldChar w:fldCharType="begin"/>
                      </w:r>
                      <w:r w:rsidR="00382046">
                        <w:instrText xml:space="preserve"> SEQ Table \* ARABIC </w:instrText>
                      </w:r>
                      <w:r w:rsidR="00382046">
                        <w:fldChar w:fldCharType="separate"/>
                      </w:r>
                      <w:r>
                        <w:rPr>
                          <w:noProof/>
                        </w:rPr>
                        <w:t>1</w:t>
                      </w:r>
                      <w:r w:rsidR="00382046">
                        <w:rPr>
                          <w:noProof/>
                        </w:rPr>
                        <w:fldChar w:fldCharType="end"/>
                      </w:r>
                      <w:r>
                        <w:t xml:space="preserve">. AEO 2018 LCOE </w:t>
                      </w:r>
                      <w:r>
                        <w:fldChar w:fldCharType="begin"/>
                      </w:r>
                      <w:r>
                        <w:instrText xml:space="preserve"> ADDIN EN.CITE &lt;EndNote&gt;&lt;Cite&gt;&lt;Author&gt;U.S. EIA&lt;/Author&gt;&lt;Year&gt;2019&lt;/Year&gt;&lt;RecNum&gt;79&lt;/RecNum&gt;&lt;DisplayText&gt;[1]&lt;/DisplayText&gt;&lt;record&gt;&lt;rec-number&gt;79&lt;/rec-number&gt;&lt;foreign-keys&gt;&lt;key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w:t>
                      </w:r>
                      <w:r>
                        <w:fldChar w:fldCharType="end"/>
                      </w:r>
                    </w:p>
                  </w:txbxContent>
                </v:textbox>
                <w10:anchorlock/>
              </v:shape>
            </w:pict>
          </mc:Fallback>
        </mc:AlternateContent>
      </w:r>
    </w:p>
    <w:p w14:paraId="21B5FFC7" w14:textId="382EEE4C" w:rsidR="00130066" w:rsidRDefault="00050B11" w:rsidP="0086533D">
      <w:pPr>
        <w:spacing w:after="0"/>
        <w:contextualSpacing/>
        <w:jc w:val="both"/>
      </w:pPr>
      <w:r>
        <w:t xml:space="preserve">Despite the high price of </w:t>
      </w:r>
      <w:r w:rsidR="001507A4">
        <w:t>OSW</w:t>
      </w:r>
      <w:r>
        <w:t xml:space="preserve"> in the U</w:t>
      </w:r>
      <w:r w:rsidR="007A7BFA">
        <w:t>.</w:t>
      </w:r>
      <w:r>
        <w:t>S</w:t>
      </w:r>
      <w:r w:rsidR="007A7BFA">
        <w:t>.</w:t>
      </w:r>
      <w:r>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86533D">
      <w:pPr>
        <w:pStyle w:val="ListParagraph"/>
        <w:numPr>
          <w:ilvl w:val="0"/>
          <w:numId w:val="3"/>
        </w:numPr>
        <w:spacing w:after="0"/>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86533D">
      <w:pPr>
        <w:pStyle w:val="ListParagraph"/>
        <w:numPr>
          <w:ilvl w:val="0"/>
          <w:numId w:val="3"/>
        </w:numPr>
        <w:spacing w:after="0"/>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86533D">
      <w:pPr>
        <w:pStyle w:val="ListParagraph"/>
        <w:numPr>
          <w:ilvl w:val="0"/>
          <w:numId w:val="3"/>
        </w:numPr>
        <w:spacing w:after="0"/>
        <w:jc w:val="both"/>
      </w:pPr>
      <w:r>
        <w:t>Maine: 2019 Maine Offshore Wind Initiative and floating offshore turbine demonstration project announced by the Governor</w:t>
      </w:r>
    </w:p>
    <w:p w14:paraId="6CB9E6FA" w14:textId="351AC8C7" w:rsidR="00D5468B" w:rsidRDefault="00D5468B" w:rsidP="0086533D">
      <w:pPr>
        <w:pStyle w:val="ListParagraph"/>
        <w:numPr>
          <w:ilvl w:val="0"/>
          <w:numId w:val="3"/>
        </w:numPr>
        <w:spacing w:after="0"/>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86533D">
      <w:pPr>
        <w:pStyle w:val="ListParagraph"/>
        <w:numPr>
          <w:ilvl w:val="0"/>
          <w:numId w:val="3"/>
        </w:numPr>
        <w:spacing w:after="0"/>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41A852DA" w:rsidR="00544BC1" w:rsidRDefault="00544BC1" w:rsidP="0086533D">
      <w:pPr>
        <w:pStyle w:val="ListParagraph"/>
        <w:numPr>
          <w:ilvl w:val="0"/>
          <w:numId w:val="3"/>
        </w:numPr>
        <w:spacing w:after="0"/>
        <w:jc w:val="both"/>
      </w:pPr>
      <w:r>
        <w:t xml:space="preserve">New Jersey: 2018 law outlining target to develop 3,500 MW of OSW by 2030, the first 1,1000 MW of which have just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86533D">
      <w:pPr>
        <w:pStyle w:val="ListParagraph"/>
        <w:numPr>
          <w:ilvl w:val="0"/>
          <w:numId w:val="3"/>
        </w:numPr>
        <w:spacing w:after="0"/>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86533D">
      <w:pPr>
        <w:pStyle w:val="ListParagraph"/>
        <w:numPr>
          <w:ilvl w:val="0"/>
          <w:numId w:val="3"/>
        </w:numPr>
        <w:spacing w:after="0"/>
        <w:jc w:val="both"/>
      </w:pPr>
      <w:r>
        <w:t xml:space="preserve">Rhode Island: 2018 competitive procurement for 400 MW of </w:t>
      </w:r>
      <w:r w:rsidR="001507A4">
        <w:t>OSW</w:t>
      </w:r>
      <w:r>
        <w:t>, in collaboration with Massachusetts</w:t>
      </w:r>
    </w:p>
    <w:p w14:paraId="58AE0336" w14:textId="461CBCBF" w:rsidR="00130066" w:rsidRDefault="00130066" w:rsidP="0086533D">
      <w:pPr>
        <w:pStyle w:val="ListParagraph"/>
        <w:numPr>
          <w:ilvl w:val="0"/>
          <w:numId w:val="3"/>
        </w:numPr>
        <w:spacing w:after="0"/>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26BE09CF" w14:textId="02F8F318" w:rsidR="00BE4451" w:rsidRDefault="00BE4451" w:rsidP="0086533D">
      <w:pPr>
        <w:spacing w:after="0"/>
        <w:contextualSpacing/>
        <w:jc w:val="both"/>
      </w:pPr>
    </w:p>
    <w:p w14:paraId="3D3BFF26" w14:textId="1C6DBD39" w:rsidR="00B60C0C" w:rsidRDefault="00B60C0C" w:rsidP="0086533D">
      <w:pPr>
        <w:spacing w:after="0"/>
        <w:contextualSpacing/>
        <w:jc w:val="both"/>
      </w:pPr>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86533D">
      <w:pPr>
        <w:spacing w:after="0"/>
        <w:contextualSpacing/>
        <w:jc w:val="both"/>
      </w:pPr>
    </w:p>
    <w:p w14:paraId="30DA680A" w14:textId="41B839BC" w:rsidR="00F85D12" w:rsidRDefault="008C6C29" w:rsidP="0086533D">
      <w:pPr>
        <w:spacing w:after="0"/>
        <w:contextualSpacing/>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86533D">
      <w:pPr>
        <w:spacing w:after="0"/>
        <w:contextualSpacing/>
        <w:jc w:val="both"/>
      </w:pPr>
    </w:p>
    <w:p w14:paraId="7A18A26F" w14:textId="51E53A68" w:rsidR="00796714" w:rsidRDefault="00470433" w:rsidP="0086533D">
      <w:pPr>
        <w:spacing w:after="0"/>
        <w:contextualSpacing/>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86533D">
      <w:pPr>
        <w:spacing w:after="0"/>
        <w:contextualSpacing/>
        <w:jc w:val="both"/>
      </w:pPr>
    </w:p>
    <w:p w14:paraId="12BAFE6B" w14:textId="1C9F85C9" w:rsidR="004F2C6D" w:rsidRDefault="002039FD" w:rsidP="0086533D">
      <w:pPr>
        <w:spacing w:after="0"/>
        <w:contextualSpacing/>
        <w:jc w:val="both"/>
      </w:pPr>
      <w:r>
        <w:t>U.S</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86533D">
      <w:pPr>
        <w:spacing w:after="0"/>
        <w:contextualSpacing/>
        <w:jc w:val="both"/>
      </w:pPr>
    </w:p>
    <w:p w14:paraId="638AFFD9" w14:textId="13E12E23" w:rsidR="008570E5" w:rsidRDefault="0060238F" w:rsidP="0086533D">
      <w:pPr>
        <w:spacing w:after="0"/>
        <w:contextualSpacing/>
        <w:jc w:val="both"/>
      </w:pPr>
      <w:r>
        <w:t xml:space="preserve">These studies demonstrate the direct </w:t>
      </w:r>
      <w:r w:rsidR="0052610E">
        <w:t>e</w:t>
      </w:r>
      <w:r>
        <w:t>ffects and benefits of wind technologies to their surroundings, but do not quantify the nation-wide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86533D">
      <w:pPr>
        <w:spacing w:after="0"/>
        <w:contextualSpacing/>
        <w:jc w:val="both"/>
      </w:pPr>
    </w:p>
    <w:p w14:paraId="553669A3" w14:textId="79AC3E97" w:rsidR="001C5CC6" w:rsidRDefault="0090084D" w:rsidP="0086533D">
      <w:pPr>
        <w:pStyle w:val="Heading2"/>
        <w:spacing w:before="0"/>
        <w:contextualSpacing/>
        <w:jc w:val="both"/>
      </w:pPr>
      <w:r>
        <w:t>Materials and Methods</w:t>
      </w:r>
    </w:p>
    <w:p w14:paraId="237F6E74" w14:textId="77777777" w:rsidR="000B38A2" w:rsidRPr="000B38A2" w:rsidRDefault="000B38A2" w:rsidP="0086533D">
      <w:pPr>
        <w:spacing w:after="0"/>
        <w:contextualSpacing/>
        <w:jc w:val="both"/>
      </w:pPr>
    </w:p>
    <w:p w14:paraId="6ABD229E" w14:textId="166838BA" w:rsidR="001C5CC6" w:rsidRDefault="00FE13D7" w:rsidP="0086533D">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 xml:space="preserve">EPAUS9rT model to investigate </w:t>
      </w:r>
      <w:r w:rsidR="00956A72">
        <w:lastRenderedPageBreak/>
        <w:t>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xml:space="preserve">. This allows the use of one model for all sectors instead of a piecemeal approach. </w:t>
      </w:r>
    </w:p>
    <w:p w14:paraId="74E5F65D" w14:textId="77777777" w:rsidR="000B38A2" w:rsidRDefault="000B38A2" w:rsidP="0086533D">
      <w:pPr>
        <w:spacing w:after="0"/>
        <w:contextualSpacing/>
        <w:jc w:val="both"/>
      </w:pPr>
    </w:p>
    <w:p w14:paraId="3C0A652C" w14:textId="6DDB743C" w:rsidR="00BE64CD" w:rsidRDefault="00B72FB6" w:rsidP="0086533D">
      <w:pPr>
        <w:spacing w:after="0"/>
        <w:contextualSpacing/>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86533D">
      <w:pPr>
        <w:spacing w:after="0"/>
        <w:contextualSpacing/>
        <w:jc w:val="both"/>
      </w:pPr>
    </w:p>
    <w:p w14:paraId="58EDFA8E" w14:textId="7D95326C" w:rsidR="000B38A2" w:rsidRPr="00F62892" w:rsidRDefault="006A10AE" w:rsidP="0086533D">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A603B">
        <w:rPr>
          <w:i/>
        </w:rPr>
        <w:t xml:space="preserve"> </w:t>
      </w:r>
      <w:r w:rsidR="000A603B">
        <w:rPr>
          <w:i/>
        </w:rPr>
        <w:fldChar w:fldCharType="begin"/>
      </w:r>
      <w:r w:rsidR="000A603B">
        <w:rPr>
          <w:i/>
        </w:rP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Pr>
          <w:i/>
        </w:rPr>
        <w:fldChar w:fldCharType="separate"/>
      </w:r>
      <w:r w:rsidR="000A603B">
        <w:rPr>
          <w:i/>
          <w:noProof/>
        </w:rPr>
        <w:t>[71]</w:t>
      </w:r>
      <w:r w:rsidR="000A603B">
        <w:rPr>
          <w:i/>
        </w:rPr>
        <w:fldChar w:fldCharType="end"/>
      </w:r>
      <w:r w:rsidR="00A2575D">
        <w:rPr>
          <w:i/>
        </w:rPr>
        <w:t>.</w:t>
      </w:r>
    </w:p>
    <w:p w14:paraId="2A00AB23" w14:textId="31D5D8A1" w:rsidR="00245398" w:rsidRDefault="00F6170A" w:rsidP="00F6170A">
      <w:pPr>
        <w:pStyle w:val="Caption"/>
        <w:keepNext/>
        <w:jc w:val="both"/>
      </w:pPr>
      <w:r>
        <w:rPr>
          <w:noProof/>
        </w:rPr>
        <mc:AlternateContent>
          <mc:Choice Requires="wps">
            <w:drawing>
              <wp:inline distT="0" distB="0" distL="0" distR="0" wp14:anchorId="52EFA4C5" wp14:editId="73E46656">
                <wp:extent cx="6889898" cy="1404620"/>
                <wp:effectExtent l="0" t="0" r="2540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solidFill>
                          <a:srgbClr val="FFFFFF"/>
                        </a:solidFill>
                        <a:ln w="9525">
                          <a:solidFill>
                            <a:schemeClr val="bg1"/>
                          </a:solidFill>
                          <a:miter lim="800000"/>
                          <a:headEnd/>
                          <a:tailEnd/>
                        </a:ln>
                      </wps:spPr>
                      <wps:txbx>
                        <w:txbxContent>
                          <w:p w14:paraId="0BF9EA46" w14:textId="13F252E2" w:rsidR="00214AC1" w:rsidRDefault="00214AC1" w:rsidP="00F6170A">
                            <w:pPr>
                              <w:pStyle w:val="Caption"/>
                              <w:keepNext/>
                              <w:jc w:val="both"/>
                            </w:pPr>
                            <w:r>
                              <w:t xml:space="preserve">Equation </w:t>
                            </w:r>
                            <w:r w:rsidR="00382046">
                              <w:fldChar w:fldCharType="begin"/>
                            </w:r>
                            <w:r w:rsidR="00382046">
                              <w:instrText xml:space="preserve"> SEQ Equation \* ARABIC </w:instrText>
                            </w:r>
                            <w:r w:rsidR="00382046">
                              <w:fldChar w:fldCharType="separate"/>
                            </w:r>
                            <w:r>
                              <w:rPr>
                                <w:noProof/>
                              </w:rPr>
                              <w:t>1</w:t>
                            </w:r>
                            <w:r w:rsidR="00382046">
                              <w:rPr>
                                <w:noProof/>
                              </w:rPr>
                              <w:fldChar w:fldCharType="end"/>
                            </w:r>
                            <w:r>
                              <w:t xml:space="preserve">: TIMES Objective Function </w:t>
                            </w:r>
                          </w:p>
                          <w:p w14:paraId="274C0C83" w14:textId="7472CAAA" w:rsidR="00214AC1" w:rsidRPr="00F6170A" w:rsidRDefault="00214AC1" w:rsidP="00F6170A">
                            <w:pP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p w14:paraId="11D17934" w14:textId="77777777" w:rsidR="00214AC1" w:rsidRDefault="00214AC1" w:rsidP="00F6170A">
                            <w:pPr>
                              <w:spacing w:after="0"/>
                              <w:ind w:firstLine="720"/>
                              <w:contextualSpacing/>
                              <w:jc w:val="both"/>
                            </w:pPr>
                            <w:r>
                              <w:t>Where:</w:t>
                            </w:r>
                          </w:p>
                          <w:p w14:paraId="2C2376D1" w14:textId="77777777" w:rsidR="00214AC1" w:rsidRDefault="00214AC1" w:rsidP="00F6170A">
                            <w:pPr>
                              <w:pStyle w:val="ListParagraph"/>
                              <w:numPr>
                                <w:ilvl w:val="0"/>
                                <w:numId w:val="5"/>
                              </w:numPr>
                              <w:spacing w:after="0"/>
                              <w:jc w:val="both"/>
                            </w:pPr>
                            <w:r w:rsidRPr="000B38A2">
                              <w:rPr>
                                <w:i/>
                              </w:rPr>
                              <w:t>NPV</w:t>
                            </w:r>
                            <w:r>
                              <w:t xml:space="preserve"> is the net present value of total cost for all regions;</w:t>
                            </w:r>
                          </w:p>
                          <w:p w14:paraId="6791E8DF" w14:textId="77777777" w:rsidR="00214AC1" w:rsidRPr="000B38A2" w:rsidRDefault="00214AC1" w:rsidP="00F6170A">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639F8EA6" w14:textId="77777777" w:rsidR="00214AC1" w:rsidRPr="000B38A2" w:rsidRDefault="00214AC1" w:rsidP="00F6170A">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7B3055C3" w14:textId="77777777" w:rsidR="00214AC1" w:rsidRPr="000B38A2" w:rsidRDefault="00214AC1" w:rsidP="00F6170A">
                            <w:pPr>
                              <w:pStyle w:val="ListParagraph"/>
                              <w:numPr>
                                <w:ilvl w:val="0"/>
                                <w:numId w:val="5"/>
                              </w:numPr>
                              <w:spacing w:after="0"/>
                              <w:jc w:val="both"/>
                              <w:rPr>
                                <w:i/>
                              </w:rPr>
                            </w:pPr>
                            <w:r w:rsidRPr="000B38A2">
                              <w:rPr>
                                <w:i/>
                              </w:rPr>
                              <w:t>REFYR</w:t>
                            </w:r>
                            <w:r>
                              <w:t xml:space="preserve"> is discounting reference year;</w:t>
                            </w:r>
                          </w:p>
                          <w:p w14:paraId="0857036B" w14:textId="77777777" w:rsidR="00214AC1" w:rsidRPr="000B38A2" w:rsidRDefault="00214AC1" w:rsidP="00F6170A">
                            <w:pPr>
                              <w:pStyle w:val="ListParagraph"/>
                              <w:numPr>
                                <w:ilvl w:val="0"/>
                                <w:numId w:val="5"/>
                              </w:numPr>
                              <w:spacing w:after="0"/>
                              <w:jc w:val="both"/>
                              <w:rPr>
                                <w:i/>
                              </w:rPr>
                            </w:pPr>
                            <w:r w:rsidRPr="000B38A2">
                              <w:rPr>
                                <w:i/>
                              </w:rPr>
                              <w:t>YEARS</w:t>
                            </w:r>
                            <w:r>
                              <w:t xml:space="preserve"> is the number of years for which the results will be modeled; and </w:t>
                            </w:r>
                          </w:p>
                          <w:p w14:paraId="72D5DECE" w14:textId="1B962EB7" w:rsidR="00214AC1" w:rsidRDefault="00214AC1" w:rsidP="00F6170A">
                            <w:pPr>
                              <w:pStyle w:val="ListParagraph"/>
                              <w:numPr>
                                <w:ilvl w:val="0"/>
                                <w:numId w:val="5"/>
                              </w:numPr>
                              <w:spacing w:after="0"/>
                              <w:jc w:val="both"/>
                            </w:pPr>
                            <w:r w:rsidRPr="000B38A2">
                              <w:rPr>
                                <w:i/>
                              </w:rPr>
                              <w:t>R</w:t>
                            </w:r>
                            <w:r>
                              <w:t xml:space="preserve"> is the group of regions in the study.</w:t>
                            </w:r>
                          </w:p>
                        </w:txbxContent>
                      </wps:txbx>
                      <wps:bodyPr rot="0" vert="horz" wrap="square" lIns="91440" tIns="45720" rIns="91440" bIns="45720" anchor="t" anchorCtr="0">
                        <a:spAutoFit/>
                      </wps:bodyPr>
                    </wps:wsp>
                  </a:graphicData>
                </a:graphic>
              </wp:inline>
            </w:drawing>
          </mc:Choice>
          <mc:Fallback>
            <w:pict>
              <v:shape w14:anchorId="52EFA4C5" id="_x0000_s1027" type="#_x0000_t202" style="width:5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" strokecolor="white [3212]">
                <v:textbox style="mso-fit-shape-to-text:t">
                  <w:txbxContent>
                    <w:p w14:paraId="0BF9EA46" w14:textId="13F252E2" w:rsidR="00214AC1" w:rsidRDefault="00214AC1" w:rsidP="00F6170A">
                      <w:pPr>
                        <w:pStyle w:val="Caption"/>
                        <w:keepNext/>
                        <w:jc w:val="both"/>
                      </w:pPr>
                      <w:r>
                        <w:t xml:space="preserve">Equation </w:t>
                      </w:r>
                      <w:r w:rsidR="00382046">
                        <w:fldChar w:fldCharType="begin"/>
                      </w:r>
                      <w:r w:rsidR="00382046">
                        <w:instrText xml:space="preserve"> SEQ Equation \* ARABIC </w:instrText>
                      </w:r>
                      <w:r w:rsidR="00382046">
                        <w:fldChar w:fldCharType="separate"/>
                      </w:r>
                      <w:r>
                        <w:rPr>
                          <w:noProof/>
                        </w:rPr>
                        <w:t>1</w:t>
                      </w:r>
                      <w:r w:rsidR="00382046">
                        <w:rPr>
                          <w:noProof/>
                        </w:rPr>
                        <w:fldChar w:fldCharType="end"/>
                      </w:r>
                      <w:r>
                        <w:t xml:space="preserve">: TIMES Objective Function </w:t>
                      </w:r>
                    </w:p>
                    <w:p w14:paraId="274C0C83" w14:textId="7472CAAA" w:rsidR="00214AC1" w:rsidRPr="00F6170A" w:rsidRDefault="00214AC1" w:rsidP="00F6170A">
                      <w:pP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p w14:paraId="11D17934" w14:textId="77777777" w:rsidR="00214AC1" w:rsidRDefault="00214AC1" w:rsidP="00F6170A">
                      <w:pPr>
                        <w:spacing w:after="0"/>
                        <w:ind w:firstLine="720"/>
                        <w:contextualSpacing/>
                        <w:jc w:val="both"/>
                      </w:pPr>
                      <w:r>
                        <w:t>Where:</w:t>
                      </w:r>
                    </w:p>
                    <w:p w14:paraId="2C2376D1" w14:textId="77777777" w:rsidR="00214AC1" w:rsidRDefault="00214AC1" w:rsidP="00F6170A">
                      <w:pPr>
                        <w:pStyle w:val="ListParagraph"/>
                        <w:numPr>
                          <w:ilvl w:val="0"/>
                          <w:numId w:val="5"/>
                        </w:numPr>
                        <w:spacing w:after="0"/>
                        <w:jc w:val="both"/>
                      </w:pPr>
                      <w:r w:rsidRPr="000B38A2">
                        <w:rPr>
                          <w:i/>
                        </w:rPr>
                        <w:t>NPV</w:t>
                      </w:r>
                      <w:r>
                        <w:t xml:space="preserve"> is the net present value of total cost for all regions;</w:t>
                      </w:r>
                    </w:p>
                    <w:p w14:paraId="6791E8DF" w14:textId="77777777" w:rsidR="00214AC1" w:rsidRPr="000B38A2" w:rsidRDefault="00214AC1" w:rsidP="00F6170A">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639F8EA6" w14:textId="77777777" w:rsidR="00214AC1" w:rsidRPr="000B38A2" w:rsidRDefault="00214AC1" w:rsidP="00F6170A">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7B3055C3" w14:textId="77777777" w:rsidR="00214AC1" w:rsidRPr="000B38A2" w:rsidRDefault="00214AC1" w:rsidP="00F6170A">
                      <w:pPr>
                        <w:pStyle w:val="ListParagraph"/>
                        <w:numPr>
                          <w:ilvl w:val="0"/>
                          <w:numId w:val="5"/>
                        </w:numPr>
                        <w:spacing w:after="0"/>
                        <w:jc w:val="both"/>
                        <w:rPr>
                          <w:i/>
                        </w:rPr>
                      </w:pPr>
                      <w:r w:rsidRPr="000B38A2">
                        <w:rPr>
                          <w:i/>
                        </w:rPr>
                        <w:t>REFYR</w:t>
                      </w:r>
                      <w:r>
                        <w:t xml:space="preserve"> is discounting reference year;</w:t>
                      </w:r>
                    </w:p>
                    <w:p w14:paraId="0857036B" w14:textId="77777777" w:rsidR="00214AC1" w:rsidRPr="000B38A2" w:rsidRDefault="00214AC1" w:rsidP="00F6170A">
                      <w:pPr>
                        <w:pStyle w:val="ListParagraph"/>
                        <w:numPr>
                          <w:ilvl w:val="0"/>
                          <w:numId w:val="5"/>
                        </w:numPr>
                        <w:spacing w:after="0"/>
                        <w:jc w:val="both"/>
                        <w:rPr>
                          <w:i/>
                        </w:rPr>
                      </w:pPr>
                      <w:r w:rsidRPr="000B38A2">
                        <w:rPr>
                          <w:i/>
                        </w:rPr>
                        <w:t>YEARS</w:t>
                      </w:r>
                      <w:r>
                        <w:t xml:space="preserve"> is the number of years for which the results will be modeled; and </w:t>
                      </w:r>
                    </w:p>
                    <w:p w14:paraId="72D5DECE" w14:textId="1B962EB7" w:rsidR="00214AC1" w:rsidRDefault="00214AC1" w:rsidP="00F6170A">
                      <w:pPr>
                        <w:pStyle w:val="ListParagraph"/>
                        <w:numPr>
                          <w:ilvl w:val="0"/>
                          <w:numId w:val="5"/>
                        </w:numPr>
                        <w:spacing w:after="0"/>
                        <w:jc w:val="both"/>
                      </w:pPr>
                      <w:r w:rsidRPr="000B38A2">
                        <w:rPr>
                          <w:i/>
                        </w:rPr>
                        <w:t>R</w:t>
                      </w:r>
                      <w:r>
                        <w:t xml:space="preserve"> is the group of regions in the study.</w:t>
                      </w:r>
                    </w:p>
                  </w:txbxContent>
                </v:textbox>
                <w10:anchorlock/>
              </v:shape>
            </w:pict>
          </mc:Fallback>
        </mc:AlternateContent>
      </w:r>
    </w:p>
    <w:p w14:paraId="18C24DED" w14:textId="56937F07" w:rsidR="00245398" w:rsidRDefault="00245398" w:rsidP="0086533D">
      <w:pPr>
        <w:spacing w:after="0"/>
        <w:contextualSpacing/>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86533D">
      <w:pPr>
        <w:spacing w:after="0"/>
        <w:contextualSpacing/>
        <w:jc w:val="both"/>
      </w:pPr>
    </w:p>
    <w:p w14:paraId="076C6C7C" w14:textId="0D3C86F7" w:rsidR="00AE292E" w:rsidRDefault="007C65E2" w:rsidP="0086533D">
      <w:pPr>
        <w:spacing w:after="0"/>
        <w:contextualSpacing/>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259E1CF9" w14:textId="409125B3" w:rsidR="00710F71" w:rsidRDefault="00256CE3" w:rsidP="0086533D">
      <w:pPr>
        <w:spacing w:after="0"/>
        <w:contextualSpacing/>
      </w:pPr>
      <w:r>
        <w:t xml:space="preserve">                         </w:t>
      </w:r>
    </w:p>
    <w:p w14:paraId="26B40B15" w14:textId="396A7214" w:rsidR="00D21177" w:rsidRDefault="00CD0BCA" w:rsidP="0086533D">
      <w:pPr>
        <w:spacing w:after="0"/>
        <w:contextualSpacing/>
        <w:jc w:val="both"/>
      </w:pPr>
      <w:r>
        <w:t xml:space="preserve">Cost curves for </w:t>
      </w:r>
      <w:r w:rsidR="001507A4">
        <w:t>OSW</w:t>
      </w:r>
      <w:r>
        <w:t xml:space="preserve">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w:t>
      </w:r>
      <w:r w:rsidR="001507A4">
        <w:t>OSW</w:t>
      </w:r>
      <w:r w:rsidR="0084698F">
        <w:t xml:space="preserve"> by 2035. </w:t>
      </w:r>
    </w:p>
    <w:p w14:paraId="537ADC51" w14:textId="77777777" w:rsidR="00D21177" w:rsidRDefault="00D21177" w:rsidP="0086533D">
      <w:pPr>
        <w:spacing w:after="0"/>
        <w:contextualSpacing/>
        <w:jc w:val="both"/>
      </w:pPr>
    </w:p>
    <w:p w14:paraId="108DCA90" w14:textId="3653BD9F" w:rsidR="006731E4" w:rsidRDefault="009431C4" w:rsidP="0086533D">
      <w:pPr>
        <w:spacing w:after="0"/>
        <w:contextualSpacing/>
        <w:jc w:val="both"/>
      </w:pPr>
      <w:r>
        <w:lastRenderedPageBreak/>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 </w:t>
      </w:r>
      <w:r w:rsidR="00147735">
        <w:t xml:space="preserve">The </w:t>
      </w:r>
      <w:r w:rsidR="00544051">
        <w:t xml:space="preserve">2010 emissions were calculated endogenously, using the TIMES model and EPAUS9rT database.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790AFE1B" w14:textId="35C3536F" w:rsidR="000E0CE0" w:rsidRDefault="000E0CE0" w:rsidP="0086533D">
      <w:pPr>
        <w:spacing w:after="0"/>
        <w:contextualSpacing/>
        <w:jc w:val="both"/>
      </w:pPr>
    </w:p>
    <w:p w14:paraId="1701CF70" w14:textId="3C744FE7" w:rsidR="00F341E5" w:rsidRDefault="000E0CE0" w:rsidP="0086533D">
      <w:pPr>
        <w:spacing w:after="0"/>
        <w:contextualSpacing/>
        <w:jc w:val="both"/>
      </w:pPr>
      <w:r>
        <w:t xml:space="preserve">All scenarios constructed and evaluated in the TIMES model ran from 2010 to 2050. </w:t>
      </w:r>
    </w:p>
    <w:p w14:paraId="6B7D2C6A" w14:textId="29DCB47E" w:rsidR="00E3188C" w:rsidRDefault="00E3188C" w:rsidP="0086533D">
      <w:pPr>
        <w:spacing w:after="0"/>
        <w:contextualSpacing/>
        <w:jc w:val="both"/>
      </w:pPr>
      <w:r>
        <w:rPr>
          <w:noProof/>
        </w:rPr>
        <mc:AlternateContent>
          <mc:Choice Requires="wps">
            <w:drawing>
              <wp:inline distT="0" distB="0" distL="0" distR="0" wp14:anchorId="4DD81FF9" wp14:editId="0D957779">
                <wp:extent cx="6858000" cy="1404620"/>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solidFill>
                            <a:schemeClr val="bg1"/>
                          </a:solidFill>
                          <a:miter lim="800000"/>
                          <a:headEnd/>
                          <a:tailEnd/>
                        </a:ln>
                      </wps:spPr>
                      <wps:txbx>
                        <w:txbxContent>
                          <w:p w14:paraId="5D9BF9A5" w14:textId="42BEBC91" w:rsidR="00214AC1" w:rsidRDefault="00214AC1" w:rsidP="00E3188C">
                            <w:pPr>
                              <w:spacing w:after="0"/>
                              <w:contextualSpacing/>
                              <w:jc w:val="both"/>
                            </w:pPr>
                          </w:p>
                          <w:p w14:paraId="43C5057C" w14:textId="77777777" w:rsidR="00214AC1" w:rsidRDefault="00214AC1" w:rsidP="00E3188C">
                            <w:pPr>
                              <w:keepNext/>
                              <w:spacing w:after="0"/>
                              <w:contextualSpacing/>
                              <w:jc w:val="both"/>
                            </w:pPr>
                            <w:r>
                              <w:rPr>
                                <w:noProof/>
                              </w:rPr>
                              <w:drawing>
                                <wp:inline distT="0" distB="0" distL="0" distR="0" wp14:anchorId="0421E6B8" wp14:editId="6E309D07">
                                  <wp:extent cx="6594401" cy="2234160"/>
                                  <wp:effectExtent l="19050" t="19050" r="1651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09270" cy="2239198"/>
                                          </a:xfrm>
                                          <a:prstGeom prst="rect">
                                            <a:avLst/>
                                          </a:prstGeom>
                                          <a:ln>
                                            <a:solidFill>
                                              <a:schemeClr val="tx1"/>
                                            </a:solidFill>
                                          </a:ln>
                                        </pic:spPr>
                                      </pic:pic>
                                    </a:graphicData>
                                  </a:graphic>
                                </wp:inline>
                              </w:drawing>
                            </w:r>
                          </w:p>
                          <w:p w14:paraId="66CEB42F" w14:textId="47113E19" w:rsidR="00214AC1" w:rsidRDefault="00214AC1" w:rsidP="00E3188C">
                            <w:pPr>
                              <w:pStyle w:val="Caption"/>
                              <w:contextualSpacing/>
                              <w:jc w:val="both"/>
                            </w:pPr>
                            <w:r>
                              <w:t xml:space="preserve">Figure </w:t>
                            </w:r>
                            <w:r w:rsidR="00382046">
                              <w:fldChar w:fldCharType="begin"/>
                            </w:r>
                            <w:r w:rsidR="00382046">
                              <w:instrText xml:space="preserve"> SEQ Figure \* ARABIC </w:instrText>
                            </w:r>
                            <w:r w:rsidR="00382046">
                              <w:fldChar w:fldCharType="separate"/>
                            </w:r>
                            <w:r>
                              <w:rPr>
                                <w:noProof/>
                              </w:rPr>
                              <w:t>1</w:t>
                            </w:r>
                            <w:r w:rsidR="00382046">
                              <w:rPr>
                                <w:noProof/>
                              </w:rPr>
                              <w:fldChar w:fldCharType="end"/>
                            </w:r>
                            <w:r>
                              <w:t>. CO2 Cap and OSW Cost Curve Scenario Construction</w:t>
                            </w:r>
                          </w:p>
                        </w:txbxContent>
                      </wps:txbx>
                      <wps:bodyPr rot="0" vert="horz" wrap="square" lIns="91440" tIns="45720" rIns="91440" bIns="45720" anchor="t" anchorCtr="0">
                        <a:spAutoFit/>
                      </wps:bodyPr>
                    </wps:wsp>
                  </a:graphicData>
                </a:graphic>
              </wp:inline>
            </w:drawing>
          </mc:Choice>
          <mc:Fallback>
            <w:pict>
              <v:shape w14:anchorId="4DD81FF9" id="_x0000_s1028" type="#_x0000_t202" style="width:5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" strokecolor="white [3212]">
                <v:textbox style="mso-fit-shape-to-text:t">
                  <w:txbxContent>
                    <w:p w14:paraId="5D9BF9A5" w14:textId="42BEBC91" w:rsidR="00214AC1" w:rsidRDefault="00214AC1" w:rsidP="00E3188C">
                      <w:pPr>
                        <w:spacing w:after="0"/>
                        <w:contextualSpacing/>
                        <w:jc w:val="both"/>
                      </w:pPr>
                    </w:p>
                    <w:p w14:paraId="43C5057C" w14:textId="77777777" w:rsidR="00214AC1" w:rsidRDefault="00214AC1" w:rsidP="00E3188C">
                      <w:pPr>
                        <w:keepNext/>
                        <w:spacing w:after="0"/>
                        <w:contextualSpacing/>
                        <w:jc w:val="both"/>
                      </w:pPr>
                      <w:r>
                        <w:rPr>
                          <w:noProof/>
                        </w:rPr>
                        <w:drawing>
                          <wp:inline distT="0" distB="0" distL="0" distR="0" wp14:anchorId="0421E6B8" wp14:editId="6E309D07">
                            <wp:extent cx="6594401" cy="2234160"/>
                            <wp:effectExtent l="19050" t="19050" r="1651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09270" cy="2239198"/>
                                    </a:xfrm>
                                    <a:prstGeom prst="rect">
                                      <a:avLst/>
                                    </a:prstGeom>
                                    <a:ln>
                                      <a:solidFill>
                                        <a:schemeClr val="tx1"/>
                                      </a:solidFill>
                                    </a:ln>
                                  </pic:spPr>
                                </pic:pic>
                              </a:graphicData>
                            </a:graphic>
                          </wp:inline>
                        </w:drawing>
                      </w:r>
                    </w:p>
                    <w:p w14:paraId="66CEB42F" w14:textId="47113E19" w:rsidR="00214AC1" w:rsidRDefault="00214AC1" w:rsidP="00E3188C">
                      <w:pPr>
                        <w:pStyle w:val="Caption"/>
                        <w:contextualSpacing/>
                        <w:jc w:val="both"/>
                      </w:pPr>
                      <w:r>
                        <w:t xml:space="preserve">Figure </w:t>
                      </w:r>
                      <w:r w:rsidR="00382046">
                        <w:fldChar w:fldCharType="begin"/>
                      </w:r>
                      <w:r w:rsidR="00382046">
                        <w:instrText xml:space="preserve"> SEQ Figure \* ARABIC </w:instrText>
                      </w:r>
                      <w:r w:rsidR="00382046">
                        <w:fldChar w:fldCharType="separate"/>
                      </w:r>
                      <w:r>
                        <w:rPr>
                          <w:noProof/>
                        </w:rPr>
                        <w:t>1</w:t>
                      </w:r>
                      <w:r w:rsidR="00382046">
                        <w:rPr>
                          <w:noProof/>
                        </w:rPr>
                        <w:fldChar w:fldCharType="end"/>
                      </w:r>
                      <w:r>
                        <w:t>. CO2 Cap and OSW Cost Curve Scenario Construction</w:t>
                      </w:r>
                    </w:p>
                  </w:txbxContent>
                </v:textbox>
                <w10:anchorlock/>
              </v:shape>
            </w:pict>
          </mc:Fallback>
        </mc:AlternateContent>
      </w:r>
    </w:p>
    <w:p w14:paraId="2AA0B002" w14:textId="43171D62" w:rsidR="006731E4" w:rsidRDefault="00A154AC" w:rsidP="0086533D">
      <w:pPr>
        <w:pStyle w:val="Heading2"/>
        <w:spacing w:before="0"/>
        <w:contextualSpacing/>
        <w:jc w:val="both"/>
      </w:pPr>
      <w:r>
        <w:t>Results and Discussion</w:t>
      </w:r>
    </w:p>
    <w:p w14:paraId="718D1151" w14:textId="77777777" w:rsidR="006731E4" w:rsidRDefault="006731E4" w:rsidP="0086533D">
      <w:pPr>
        <w:spacing w:after="0"/>
        <w:contextualSpacing/>
      </w:pPr>
    </w:p>
    <w:p w14:paraId="79150AF6" w14:textId="50562C3E" w:rsidR="00EC06A0" w:rsidRDefault="00E55F21" w:rsidP="0086533D">
      <w:pPr>
        <w:keepNext/>
        <w:spacing w:after="0"/>
        <w:contextualSpacing/>
        <w:jc w:val="both"/>
        <w:rPr>
          <w:noProof/>
        </w:rPr>
      </w:pPr>
      <w:r>
        <w:t xml:space="preserve">A total of </w:t>
      </w:r>
      <w:r w:rsidR="00473E2A">
        <w:t>49</w:t>
      </w:r>
      <w:r>
        <w:t xml:space="preserve"> scenarios were </w:t>
      </w:r>
      <w:r w:rsidR="00840225">
        <w:t>created</w:t>
      </w:r>
      <w:r>
        <w:t>, representing the combination of all seven cost c</w:t>
      </w:r>
      <w:r w:rsidR="00672BC3">
        <w:t>u</w:t>
      </w:r>
      <w:r>
        <w:t xml:space="preserve">rves and emissions caps. The model results showed that </w:t>
      </w:r>
      <w:r w:rsidR="001507A4">
        <w:t>OSW</w:t>
      </w:r>
      <w:r w:rsidR="00E010F9">
        <w:t xml:space="preserve"> was not built out in </w:t>
      </w:r>
      <w:r w:rsidR="00E57CB2">
        <w:t>all</w:t>
      </w:r>
      <w:r>
        <w:t xml:space="preserve"> </w:t>
      </w:r>
      <w:r w:rsidR="00DC4443">
        <w:t>cases</w:t>
      </w:r>
      <w:r w:rsidR="004F6D90">
        <w:t>, as represented in Figure 2</w:t>
      </w:r>
      <w:r w:rsidR="00E010F9">
        <w:t xml:space="preserve">. Until the cost of </w:t>
      </w:r>
      <w:r w:rsidR="001507A4">
        <w:t>OSW</w:t>
      </w:r>
      <w:r w:rsidR="00E010F9">
        <w:t xml:space="preserve"> was reduced by </w:t>
      </w:r>
      <w:r w:rsidR="008D4B80">
        <w:t>5</w:t>
      </w:r>
      <w:r w:rsidR="00E010F9">
        <w:t xml:space="preserve">0%, it was not economically viable, even in the most stringent carbon mitigation scenario. At a </w:t>
      </w:r>
      <w:r w:rsidR="002F1943">
        <w:t>5</w:t>
      </w:r>
      <w:r w:rsidR="00E010F9">
        <w:t xml:space="preserve">0% cost reduction </w:t>
      </w:r>
      <w:r w:rsidR="00C54D12">
        <w:t>17</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1.8 GW is built in the</w:t>
      </w:r>
      <w:r w:rsidR="00C54D12">
        <w:t xml:space="preserve"> </w:t>
      </w:r>
      <w:r w:rsidR="00486E47">
        <w:t>60% carbon mitigation scenario</w:t>
      </w:r>
      <w:r w:rsidR="00E010F9">
        <w:t xml:space="preserve">. </w:t>
      </w:r>
      <w:r w:rsidR="00D87FF6">
        <w:t>At a 60% cost reduction, OSW is built</w:t>
      </w:r>
      <w:r w:rsidR="00845AAF">
        <w:t xml:space="preserve"> in all carbon mitigation scenarios, with the largest buildout coming at the </w:t>
      </w:r>
      <w:r w:rsidR="00CB336B">
        <w:lastRenderedPageBreak/>
        <w:t>h</w:t>
      </w:r>
      <w:r w:rsidR="00845AAF">
        <w:t>ighest cost reduction across all carbon mitigation scenarios.</w:t>
      </w:r>
      <w:r w:rsidR="009E77C8">
        <w:t xml:space="preserve"> Over all scenarios, the largest market share that OSW achieves is 37% in the lowest cost and highest carbon mitigation stringency scenario.</w:t>
      </w:r>
      <w:r w:rsidR="00EC06A0" w:rsidRPr="00EC06A0">
        <w:rPr>
          <w:noProof/>
        </w:rPr>
        <w:t xml:space="preserve"> </w:t>
      </w:r>
    </w:p>
    <w:p w14:paraId="77142AF5" w14:textId="77777777" w:rsidR="005A6536" w:rsidRDefault="005A6536" w:rsidP="005A6536">
      <w:pPr>
        <w:keepNext/>
        <w:spacing w:after="0"/>
        <w:contextualSpacing/>
        <w:jc w:val="both"/>
      </w:pPr>
      <w:r>
        <w:rPr>
          <w:noProof/>
        </w:rPr>
        <mc:AlternateContent>
          <mc:Choice Requires="wps">
            <w:drawing>
              <wp:inline distT="0" distB="0" distL="0" distR="0" wp14:anchorId="5B221B2E" wp14:editId="56E5D773">
                <wp:extent cx="6847367" cy="1404620"/>
                <wp:effectExtent l="0" t="0" r="10795" b="196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367" cy="1404620"/>
                        </a:xfrm>
                        <a:prstGeom prst="rect">
                          <a:avLst/>
                        </a:prstGeom>
                        <a:solidFill>
                          <a:srgbClr val="FFFFFF"/>
                        </a:solidFill>
                        <a:ln w="9525">
                          <a:solidFill>
                            <a:schemeClr val="bg1"/>
                          </a:solidFill>
                          <a:miter lim="800000"/>
                          <a:headEnd/>
                          <a:tailEnd/>
                        </a:ln>
                      </wps:spPr>
                      <wps:txbx>
                        <w:txbxContent>
                          <w:p w14:paraId="30DADF57" w14:textId="6C8647CA" w:rsidR="00214AC1" w:rsidRDefault="00214AC1" w:rsidP="005A6536">
                            <w:pPr>
                              <w:keepNext/>
                              <w:spacing w:after="0"/>
                              <w:contextualSpacing/>
                              <w:jc w:val="center"/>
                            </w:pPr>
                            <w:r>
                              <w:rPr>
                                <w:noProof/>
                              </w:rPr>
                              <w:drawing>
                                <wp:inline distT="0" distB="0" distL="0" distR="0" wp14:anchorId="1D26C6EF" wp14:editId="2026CE18">
                                  <wp:extent cx="3242768" cy="2639089"/>
                                  <wp:effectExtent l="19050" t="19050" r="1524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4321" cy="2648491"/>
                                          </a:xfrm>
                                          <a:prstGeom prst="rect">
                                            <a:avLst/>
                                          </a:prstGeom>
                                          <a:ln>
                                            <a:solidFill>
                                              <a:schemeClr val="tx1"/>
                                            </a:solidFill>
                                          </a:ln>
                                        </pic:spPr>
                                      </pic:pic>
                                    </a:graphicData>
                                  </a:graphic>
                                </wp:inline>
                              </w:drawing>
                            </w:r>
                          </w:p>
                          <w:p w14:paraId="157B2E2A" w14:textId="0B6D727D" w:rsidR="00214AC1" w:rsidRDefault="00214AC1" w:rsidP="005A6536">
                            <w:pPr>
                              <w:pStyle w:val="Caption"/>
                              <w:contextualSpacing/>
                              <w:jc w:val="center"/>
                            </w:pPr>
                            <w:r>
                              <w:t xml:space="preserve">Figure </w:t>
                            </w:r>
                            <w:r w:rsidR="00382046">
                              <w:fldChar w:fldCharType="begin"/>
                            </w:r>
                            <w:r w:rsidR="00382046">
                              <w:instrText xml:space="preserve"> SEQ Figure \* ARABIC </w:instrText>
                            </w:r>
                            <w:r w:rsidR="00382046">
                              <w:fldChar w:fldCharType="separate"/>
                            </w:r>
                            <w:r>
                              <w:rPr>
                                <w:noProof/>
                              </w:rPr>
                              <w:t>2</w:t>
                            </w:r>
                            <w:r w:rsidR="00382046">
                              <w:rPr>
                                <w:noProof/>
                              </w:rPr>
                              <w:fldChar w:fldCharType="end"/>
                            </w:r>
                            <w:r>
                              <w:t>. Total OSW Capacity in 2050</w:t>
                            </w:r>
                          </w:p>
                        </w:txbxContent>
                      </wps:txbx>
                      <wps:bodyPr rot="0" vert="horz" wrap="square" lIns="91440" tIns="45720" rIns="91440" bIns="45720" anchor="t" anchorCtr="0">
                        <a:spAutoFit/>
                      </wps:bodyPr>
                    </wps:wsp>
                  </a:graphicData>
                </a:graphic>
              </wp:inline>
            </w:drawing>
          </mc:Choice>
          <mc:Fallback>
            <w:pict>
              <v:shape w14:anchorId="5B221B2E" id="_x0000_s1029" type="#_x0000_t202" style="width:5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" strokecolor="white [3212]">
                <v:textbox style="mso-fit-shape-to-text:t">
                  <w:txbxContent>
                    <w:p w14:paraId="30DADF57" w14:textId="6C8647CA" w:rsidR="00214AC1" w:rsidRDefault="00214AC1" w:rsidP="005A6536">
                      <w:pPr>
                        <w:keepNext/>
                        <w:spacing w:after="0"/>
                        <w:contextualSpacing/>
                        <w:jc w:val="center"/>
                      </w:pPr>
                      <w:r>
                        <w:rPr>
                          <w:noProof/>
                        </w:rPr>
                        <w:drawing>
                          <wp:inline distT="0" distB="0" distL="0" distR="0" wp14:anchorId="1D26C6EF" wp14:editId="2026CE18">
                            <wp:extent cx="3242768" cy="2639089"/>
                            <wp:effectExtent l="19050" t="19050" r="1524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4321" cy="2648491"/>
                                    </a:xfrm>
                                    <a:prstGeom prst="rect">
                                      <a:avLst/>
                                    </a:prstGeom>
                                    <a:ln>
                                      <a:solidFill>
                                        <a:schemeClr val="tx1"/>
                                      </a:solidFill>
                                    </a:ln>
                                  </pic:spPr>
                                </pic:pic>
                              </a:graphicData>
                            </a:graphic>
                          </wp:inline>
                        </w:drawing>
                      </w:r>
                    </w:p>
                    <w:p w14:paraId="157B2E2A" w14:textId="0B6D727D" w:rsidR="00214AC1" w:rsidRDefault="00214AC1" w:rsidP="005A6536">
                      <w:pPr>
                        <w:pStyle w:val="Caption"/>
                        <w:contextualSpacing/>
                        <w:jc w:val="center"/>
                      </w:pPr>
                      <w:r>
                        <w:t xml:space="preserve">Figure </w:t>
                      </w:r>
                      <w:r w:rsidR="00382046">
                        <w:fldChar w:fldCharType="begin"/>
                      </w:r>
                      <w:r w:rsidR="00382046">
                        <w:instrText xml:space="preserve"> SEQ Figure \* ARABIC </w:instrText>
                      </w:r>
                      <w:r w:rsidR="00382046">
                        <w:fldChar w:fldCharType="separate"/>
                      </w:r>
                      <w:r>
                        <w:rPr>
                          <w:noProof/>
                        </w:rPr>
                        <w:t>2</w:t>
                      </w:r>
                      <w:r w:rsidR="00382046">
                        <w:rPr>
                          <w:noProof/>
                        </w:rPr>
                        <w:fldChar w:fldCharType="end"/>
                      </w:r>
                      <w:r>
                        <w:t>. Total OSW Capacity in 2050</w:t>
                      </w:r>
                    </w:p>
                  </w:txbxContent>
                </v:textbox>
                <w10:anchorlock/>
              </v:shape>
            </w:pict>
          </mc:Fallback>
        </mc:AlternateContent>
      </w:r>
    </w:p>
    <w:p w14:paraId="34675A37" w14:textId="61FD696C" w:rsidR="00530BAB" w:rsidRPr="003D6E3A" w:rsidRDefault="001507A4" w:rsidP="005A6536">
      <w:pPr>
        <w:keepNext/>
        <w:spacing w:after="0"/>
        <w:contextualSpacing/>
        <w:jc w:val="both"/>
        <w:rPr>
          <w:color w:val="FF0000"/>
        </w:rPr>
      </w:pPr>
      <w:r w:rsidRPr="003D6E3A">
        <w:rPr>
          <w:color w:val="FF0000"/>
        </w:rPr>
        <w:t>OSW</w:t>
      </w:r>
      <w:r w:rsidR="00E010F9" w:rsidRPr="003D6E3A">
        <w:rPr>
          <w:color w:val="FF0000"/>
        </w:rPr>
        <w:t xml:space="preserve">’s sensitivity to carbon mitigation stringency is well defined </w:t>
      </w:r>
      <w:r w:rsidR="0040645E" w:rsidRPr="003D6E3A">
        <w:rPr>
          <w:color w:val="FF0000"/>
        </w:rPr>
        <w:t>across all technology costs</w:t>
      </w:r>
      <w:r w:rsidR="00E010F9" w:rsidRPr="003D6E3A">
        <w:rPr>
          <w:color w:val="FF0000"/>
        </w:rPr>
        <w:t xml:space="preserve">. More stringent carbon mitigation incentivizes the buildout of </w:t>
      </w:r>
      <w:r w:rsidRPr="003D6E3A">
        <w:rPr>
          <w:color w:val="FF0000"/>
        </w:rPr>
        <w:t>OSW</w:t>
      </w:r>
      <w:r w:rsidR="00E010F9" w:rsidRPr="003D6E3A">
        <w:rPr>
          <w:color w:val="FF0000"/>
        </w:rPr>
        <w:t xml:space="preserve"> sooner, and at larger capacities, </w:t>
      </w:r>
      <w:r w:rsidR="00417B6E" w:rsidRPr="003D6E3A">
        <w:rPr>
          <w:color w:val="FF0000"/>
        </w:rPr>
        <w:t xml:space="preserve">at </w:t>
      </w:r>
      <w:r w:rsidR="00563DF7" w:rsidRPr="003D6E3A">
        <w:rPr>
          <w:color w:val="FF0000"/>
        </w:rPr>
        <w:t>a</w:t>
      </w:r>
      <w:r w:rsidR="00E010F9" w:rsidRPr="003D6E3A">
        <w:rPr>
          <w:color w:val="FF0000"/>
        </w:rPr>
        <w:t xml:space="preserve"> 50% </w:t>
      </w:r>
      <w:r w:rsidR="00563DF7" w:rsidRPr="003D6E3A">
        <w:rPr>
          <w:color w:val="FF0000"/>
        </w:rPr>
        <w:t>cost reduction, however only affects the total capacity at higher cost reductions (Figure 3</w:t>
      </w:r>
      <w:r w:rsidR="00E3536B" w:rsidRPr="003D6E3A">
        <w:rPr>
          <w:color w:val="FF0000"/>
        </w:rPr>
        <w:t>)</w:t>
      </w:r>
      <w:r w:rsidR="00563DF7" w:rsidRPr="003D6E3A">
        <w:rPr>
          <w:color w:val="FF0000"/>
        </w:rPr>
        <w:t>.</w:t>
      </w:r>
      <w:r w:rsidR="002E0D04" w:rsidRPr="003D6E3A">
        <w:rPr>
          <w:color w:val="FF0000"/>
        </w:rPr>
        <w:t xml:space="preserve"> </w:t>
      </w:r>
      <w:r w:rsidR="00262471" w:rsidRPr="003D6E3A">
        <w:rPr>
          <w:color w:val="FF0000"/>
        </w:rPr>
        <w:t xml:space="preserve">The cheaper OSW becomes, the more capacity is built out each </w:t>
      </w:r>
      <w:r w:rsidR="00514A1B" w:rsidRPr="003D6E3A">
        <w:rPr>
          <w:color w:val="FF0000"/>
        </w:rPr>
        <w:t>time period</w:t>
      </w:r>
      <w:r w:rsidR="00262471" w:rsidRPr="003D6E3A">
        <w:rPr>
          <w:color w:val="FF0000"/>
        </w:rPr>
        <w:t xml:space="preserve">, </w:t>
      </w:r>
      <w:r w:rsidR="00514A1B" w:rsidRPr="003D6E3A">
        <w:rPr>
          <w:color w:val="FF0000"/>
        </w:rPr>
        <w:t>regardless of carbon mitigation stringency</w:t>
      </w:r>
      <w:r w:rsidR="00262471" w:rsidRPr="003D6E3A">
        <w:rPr>
          <w:color w:val="FF0000"/>
        </w:rPr>
        <w:t xml:space="preserve">. We see in all scenarios, however, that OSW is built out in high </w:t>
      </w:r>
      <w:r w:rsidR="002B2884" w:rsidRPr="003D6E3A">
        <w:rPr>
          <w:color w:val="FF0000"/>
        </w:rPr>
        <w:t xml:space="preserve">and relatively level </w:t>
      </w:r>
      <w:r w:rsidR="00186F5A" w:rsidRPr="003D6E3A">
        <w:rPr>
          <w:color w:val="FF0000"/>
        </w:rPr>
        <w:t>once it enters the market</w:t>
      </w:r>
      <w:r w:rsidR="00262471" w:rsidRPr="003D6E3A">
        <w:rPr>
          <w:color w:val="FF0000"/>
        </w:rPr>
        <w:t xml:space="preserve">. </w:t>
      </w:r>
    </w:p>
    <w:p w14:paraId="35CE8791" w14:textId="782E22A6" w:rsidR="005576CC" w:rsidRDefault="00530BAB" w:rsidP="009D3BB5">
      <w:pPr>
        <w:spacing w:after="0"/>
        <w:contextualSpacing/>
      </w:pPr>
      <w:r>
        <w:rPr>
          <w:noProof/>
        </w:rPr>
        <mc:AlternateContent>
          <mc:Choice Requires="wps">
            <w:drawing>
              <wp:inline distT="0" distB="0" distL="0" distR="0" wp14:anchorId="4E194817" wp14:editId="20D5F1DB">
                <wp:extent cx="6877050" cy="1404620"/>
                <wp:effectExtent l="0" t="0" r="19050" b="2032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404620"/>
                        </a:xfrm>
                        <a:prstGeom prst="rect">
                          <a:avLst/>
                        </a:prstGeom>
                        <a:solidFill>
                          <a:srgbClr val="FFFFFF"/>
                        </a:solidFill>
                        <a:ln w="9525">
                          <a:solidFill>
                            <a:schemeClr val="bg1"/>
                          </a:solidFill>
                          <a:miter lim="800000"/>
                          <a:headEnd/>
                          <a:tailEnd/>
                        </a:ln>
                      </wps:spPr>
                      <wps:txbx>
                        <w:txbxContent>
                          <w:p w14:paraId="0D84E68A" w14:textId="6BFE8A44" w:rsidR="00214AC1" w:rsidRDefault="00214AC1" w:rsidP="00A4748B">
                            <w:pPr>
                              <w:keepNext/>
                              <w:spacing w:after="0"/>
                              <w:contextualSpacing/>
                              <w:jc w:val="center"/>
                            </w:pPr>
                            <w:r>
                              <w:rPr>
                                <w:noProof/>
                              </w:rPr>
                              <w:drawing>
                                <wp:inline distT="0" distB="0" distL="0" distR="0" wp14:anchorId="1F0B3323" wp14:editId="16533FA4">
                                  <wp:extent cx="5635256" cy="29573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W Total and New Cap.png"/>
                                          <pic:cNvPicPr/>
                                        </pic:nvPicPr>
                                        <pic:blipFill>
                                          <a:blip r:embed="rId17">
                                            <a:extLst>
                                              <a:ext uri="{28A0092B-C50C-407E-A947-70E740481C1C}">
                                                <a14:useLocalDpi xmlns:a14="http://schemas.microsoft.com/office/drawing/2010/main" val="0"/>
                                              </a:ext>
                                            </a:extLst>
                                          </a:blip>
                                          <a:stretch>
                                            <a:fillRect/>
                                          </a:stretch>
                                        </pic:blipFill>
                                        <pic:spPr>
                                          <a:xfrm>
                                            <a:off x="0" y="0"/>
                                            <a:ext cx="5646046" cy="2962994"/>
                                          </a:xfrm>
                                          <a:prstGeom prst="rect">
                                            <a:avLst/>
                                          </a:prstGeom>
                                        </pic:spPr>
                                      </pic:pic>
                                    </a:graphicData>
                                  </a:graphic>
                                </wp:inline>
                              </w:drawing>
                            </w:r>
                          </w:p>
                          <w:p w14:paraId="3F802334" w14:textId="6229F2D9" w:rsidR="00214AC1" w:rsidRDefault="00214AC1" w:rsidP="00A4748B">
                            <w:pPr>
                              <w:pStyle w:val="Caption"/>
                              <w:contextualSpacing/>
                            </w:pPr>
                            <w:r>
                              <w:t xml:space="preserve">Figure </w:t>
                            </w:r>
                            <w:r w:rsidR="00382046">
                              <w:fldChar w:fldCharType="begin"/>
                            </w:r>
                            <w:r w:rsidR="00382046">
                              <w:instrText xml:space="preserve"> SEQ Figure \* ARABIC </w:instrText>
                            </w:r>
                            <w:r w:rsidR="00382046">
                              <w:fldChar w:fldCharType="separate"/>
                            </w:r>
                            <w:r>
                              <w:rPr>
                                <w:noProof/>
                              </w:rPr>
                              <w:t>3</w:t>
                            </w:r>
                            <w:r w:rsidR="00382046">
                              <w:rPr>
                                <w:noProof/>
                              </w:rPr>
                              <w:fldChar w:fldCharType="end"/>
                            </w:r>
                            <w:r>
                              <w:t>. Total and New OSW Capacity by Scenario</w:t>
                            </w:r>
                          </w:p>
                        </w:txbxContent>
                      </wps:txbx>
                      <wps:bodyPr rot="0" vert="horz" wrap="square" lIns="91440" tIns="45720" rIns="91440" bIns="45720" anchor="t" anchorCtr="0">
                        <a:spAutoFit/>
                      </wps:bodyPr>
                    </wps:wsp>
                  </a:graphicData>
                </a:graphic>
              </wp:inline>
            </w:drawing>
          </mc:Choice>
          <mc:Fallback>
            <w:pict>
              <v:shape w14:anchorId="4E194817" id="_x0000_s1030" type="#_x0000_t202" style="width:5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" strokecolor="white [3212]">
                <v:textbox style="mso-fit-shape-to-text:t">
                  <w:txbxContent>
                    <w:p w14:paraId="0D84E68A" w14:textId="6BFE8A44" w:rsidR="00214AC1" w:rsidRDefault="00214AC1" w:rsidP="00A4748B">
                      <w:pPr>
                        <w:keepNext/>
                        <w:spacing w:after="0"/>
                        <w:contextualSpacing/>
                        <w:jc w:val="center"/>
                      </w:pPr>
                      <w:r>
                        <w:rPr>
                          <w:noProof/>
                        </w:rPr>
                        <w:drawing>
                          <wp:inline distT="0" distB="0" distL="0" distR="0" wp14:anchorId="1F0B3323" wp14:editId="16533FA4">
                            <wp:extent cx="5635256" cy="29573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W Total and New Cap.png"/>
                                    <pic:cNvPicPr/>
                                  </pic:nvPicPr>
                                  <pic:blipFill>
                                    <a:blip r:embed="rId17">
                                      <a:extLst>
                                        <a:ext uri="{28A0092B-C50C-407E-A947-70E740481C1C}">
                                          <a14:useLocalDpi xmlns:a14="http://schemas.microsoft.com/office/drawing/2010/main" val="0"/>
                                        </a:ext>
                                      </a:extLst>
                                    </a:blip>
                                    <a:stretch>
                                      <a:fillRect/>
                                    </a:stretch>
                                  </pic:blipFill>
                                  <pic:spPr>
                                    <a:xfrm>
                                      <a:off x="0" y="0"/>
                                      <a:ext cx="5646046" cy="2962994"/>
                                    </a:xfrm>
                                    <a:prstGeom prst="rect">
                                      <a:avLst/>
                                    </a:prstGeom>
                                  </pic:spPr>
                                </pic:pic>
                              </a:graphicData>
                            </a:graphic>
                          </wp:inline>
                        </w:drawing>
                      </w:r>
                    </w:p>
                    <w:p w14:paraId="3F802334" w14:textId="6229F2D9" w:rsidR="00214AC1" w:rsidRDefault="00214AC1" w:rsidP="00A4748B">
                      <w:pPr>
                        <w:pStyle w:val="Caption"/>
                        <w:contextualSpacing/>
                      </w:pPr>
                      <w:r>
                        <w:t xml:space="preserve">Figure </w:t>
                      </w:r>
                      <w:r w:rsidR="00382046">
                        <w:fldChar w:fldCharType="begin"/>
                      </w:r>
                      <w:r w:rsidR="00382046">
                        <w:instrText xml:space="preserve"> SEQ Figure \* ARABIC </w:instrText>
                      </w:r>
                      <w:r w:rsidR="00382046">
                        <w:fldChar w:fldCharType="separate"/>
                      </w:r>
                      <w:r>
                        <w:rPr>
                          <w:noProof/>
                        </w:rPr>
                        <w:t>3</w:t>
                      </w:r>
                      <w:r w:rsidR="00382046">
                        <w:rPr>
                          <w:noProof/>
                        </w:rPr>
                        <w:fldChar w:fldCharType="end"/>
                      </w:r>
                      <w:r>
                        <w:t>. Total and New OSW Capacity by Scenario</w:t>
                      </w:r>
                    </w:p>
                  </w:txbxContent>
                </v:textbox>
                <w10:anchorlock/>
              </v:shape>
            </w:pict>
          </mc:Fallback>
        </mc:AlternateContent>
      </w:r>
      <w:bookmarkStart w:id="1" w:name="_GoBack"/>
      <w:bookmarkEnd w:id="1"/>
    </w:p>
    <w:p w14:paraId="0CE6DE5B" w14:textId="2B8BE8FF" w:rsidR="000E6B42" w:rsidRDefault="002E0D04" w:rsidP="0086533D">
      <w:pPr>
        <w:spacing w:after="0"/>
        <w:contextualSpacing/>
        <w:jc w:val="both"/>
      </w:pPr>
      <w:r>
        <w:t xml:space="preserve">Overall buildout of OSW varied across regions. OSW was not built out in either Region 4 or Region 6. Of the regions where OSW was built, Region 5 </w:t>
      </w:r>
      <w:r w:rsidR="00CF4650">
        <w:t>elicited</w:t>
      </w:r>
      <w:r>
        <w:t xml:space="preserve"> the largest buildout and Region </w:t>
      </w:r>
      <w:r w:rsidR="00F3683D">
        <w:t>7 the smallest</w:t>
      </w:r>
      <w:r w:rsidR="00410B18">
        <w:t>, though the differences also varied between scenarios</w:t>
      </w:r>
      <w:r w:rsidR="00F3683D">
        <w:t xml:space="preserve"> (Figure 4).</w:t>
      </w:r>
    </w:p>
    <w:p w14:paraId="06192B72" w14:textId="40411BA9" w:rsidR="00D35F9B" w:rsidRDefault="0027022E" w:rsidP="0027022E">
      <w:pPr>
        <w:keepNext/>
        <w:spacing w:after="0"/>
        <w:contextualSpacing/>
      </w:pPr>
      <w:r>
        <w:rPr>
          <w:noProof/>
        </w:rPr>
        <w:lastRenderedPageBreak/>
        <mc:AlternateContent>
          <mc:Choice Requires="wps">
            <w:drawing>
              <wp:inline distT="0" distB="0" distL="0" distR="0" wp14:anchorId="5CF8D263" wp14:editId="7CD41CDF">
                <wp:extent cx="6847367" cy="1404620"/>
                <wp:effectExtent l="0" t="0" r="10795" b="1968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367" cy="1404620"/>
                        </a:xfrm>
                        <a:prstGeom prst="rect">
                          <a:avLst/>
                        </a:prstGeom>
                        <a:solidFill>
                          <a:srgbClr val="FFFFFF"/>
                        </a:solidFill>
                        <a:ln w="9525">
                          <a:solidFill>
                            <a:schemeClr val="bg1"/>
                          </a:solidFill>
                          <a:miter lim="800000"/>
                          <a:headEnd/>
                          <a:tailEnd/>
                        </a:ln>
                      </wps:spPr>
                      <wps:txbx>
                        <w:txbxContent>
                          <w:p w14:paraId="224F0147" w14:textId="2A36F411" w:rsidR="00214AC1" w:rsidRDefault="00214AC1" w:rsidP="0027022E">
                            <w:pPr>
                              <w:keepNext/>
                              <w:spacing w:after="0"/>
                              <w:contextualSpacing/>
                              <w:jc w:val="center"/>
                            </w:pPr>
                            <w:r>
                              <w:rPr>
                                <w:noProof/>
                              </w:rPr>
                              <w:drawing>
                                <wp:inline distT="0" distB="0" distL="0" distR="0" wp14:anchorId="6C54ABD5" wp14:editId="0750ED4A">
                                  <wp:extent cx="3059275" cy="2201545"/>
                                  <wp:effectExtent l="19050" t="19050" r="273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275" cy="2201545"/>
                                          </a:xfrm>
                                          <a:prstGeom prst="rect">
                                            <a:avLst/>
                                          </a:prstGeom>
                                          <a:ln>
                                            <a:solidFill>
                                              <a:schemeClr val="tx1"/>
                                            </a:solidFill>
                                          </a:ln>
                                        </pic:spPr>
                                      </pic:pic>
                                    </a:graphicData>
                                  </a:graphic>
                                </wp:inline>
                              </w:drawing>
                            </w:r>
                          </w:p>
                          <w:p w14:paraId="436132ED" w14:textId="11F0802D" w:rsidR="00214AC1" w:rsidRDefault="00214AC1" w:rsidP="0027022E">
                            <w:pPr>
                              <w:pStyle w:val="Caption"/>
                              <w:contextualSpacing/>
                              <w:jc w:val="center"/>
                            </w:pPr>
                            <w:r>
                              <w:t xml:space="preserve">Figure </w:t>
                            </w:r>
                            <w:r w:rsidR="00382046">
                              <w:fldChar w:fldCharType="begin"/>
                            </w:r>
                            <w:r w:rsidR="00382046">
                              <w:instrText xml:space="preserve"> SEQ Figure \* ARABIC </w:instrText>
                            </w:r>
                            <w:r w:rsidR="00382046">
                              <w:fldChar w:fldCharType="separate"/>
                            </w:r>
                            <w:r>
                              <w:rPr>
                                <w:noProof/>
                              </w:rPr>
                              <w:t>4</w:t>
                            </w:r>
                            <w:r w:rsidR="00382046">
                              <w:rPr>
                                <w:noProof/>
                              </w:rPr>
                              <w:fldChar w:fldCharType="end"/>
                            </w:r>
                            <w:r>
                              <w:t>. Average OSW capacity per region across scenarios</w:t>
                            </w:r>
                          </w:p>
                        </w:txbxContent>
                      </wps:txbx>
                      <wps:bodyPr rot="0" vert="horz" wrap="square" lIns="91440" tIns="45720" rIns="91440" bIns="45720" anchor="t" anchorCtr="0">
                        <a:spAutoFit/>
                      </wps:bodyPr>
                    </wps:wsp>
                  </a:graphicData>
                </a:graphic>
              </wp:inline>
            </w:drawing>
          </mc:Choice>
          <mc:Fallback>
            <w:pict>
              <v:shape w14:anchorId="5CF8D263" id="_x0000_s1031" type="#_x0000_t202" style="width:5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" strokecolor="white [3212]">
                <v:textbox style="mso-fit-shape-to-text:t">
                  <w:txbxContent>
                    <w:p w14:paraId="224F0147" w14:textId="2A36F411" w:rsidR="00214AC1" w:rsidRDefault="00214AC1" w:rsidP="0027022E">
                      <w:pPr>
                        <w:keepNext/>
                        <w:spacing w:after="0"/>
                        <w:contextualSpacing/>
                        <w:jc w:val="center"/>
                      </w:pPr>
                      <w:r>
                        <w:rPr>
                          <w:noProof/>
                        </w:rPr>
                        <w:drawing>
                          <wp:inline distT="0" distB="0" distL="0" distR="0" wp14:anchorId="6C54ABD5" wp14:editId="0750ED4A">
                            <wp:extent cx="3059275" cy="2201545"/>
                            <wp:effectExtent l="19050" t="19050" r="273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275" cy="2201545"/>
                                    </a:xfrm>
                                    <a:prstGeom prst="rect">
                                      <a:avLst/>
                                    </a:prstGeom>
                                    <a:ln>
                                      <a:solidFill>
                                        <a:schemeClr val="tx1"/>
                                      </a:solidFill>
                                    </a:ln>
                                  </pic:spPr>
                                </pic:pic>
                              </a:graphicData>
                            </a:graphic>
                          </wp:inline>
                        </w:drawing>
                      </w:r>
                    </w:p>
                    <w:p w14:paraId="436132ED" w14:textId="11F0802D" w:rsidR="00214AC1" w:rsidRDefault="00214AC1" w:rsidP="0027022E">
                      <w:pPr>
                        <w:pStyle w:val="Caption"/>
                        <w:contextualSpacing/>
                        <w:jc w:val="center"/>
                      </w:pPr>
                      <w:r>
                        <w:t xml:space="preserve">Figure </w:t>
                      </w:r>
                      <w:r w:rsidR="00382046">
                        <w:fldChar w:fldCharType="begin"/>
                      </w:r>
                      <w:r w:rsidR="00382046">
                        <w:instrText xml:space="preserve"> SEQ Figure \* ARABIC </w:instrText>
                      </w:r>
                      <w:r w:rsidR="00382046">
                        <w:fldChar w:fldCharType="separate"/>
                      </w:r>
                      <w:r>
                        <w:rPr>
                          <w:noProof/>
                        </w:rPr>
                        <w:t>4</w:t>
                      </w:r>
                      <w:r w:rsidR="00382046">
                        <w:rPr>
                          <w:noProof/>
                        </w:rPr>
                        <w:fldChar w:fldCharType="end"/>
                      </w:r>
                      <w:r>
                        <w:t>. Average OSW capacity per region across scenarios</w:t>
                      </w:r>
                    </w:p>
                  </w:txbxContent>
                </v:textbox>
                <w10:anchorlock/>
              </v:shape>
            </w:pict>
          </mc:Fallback>
        </mc:AlternateContent>
      </w:r>
    </w:p>
    <w:p w14:paraId="20D557A5" w14:textId="5141AAA1" w:rsidR="00EB4D6A" w:rsidRDefault="00314C41" w:rsidP="00A4748B">
      <w:pPr>
        <w:spacing w:after="0"/>
        <w:contextualSpacing/>
        <w:jc w:val="both"/>
      </w:pPr>
      <w:r>
        <w:t xml:space="preserve">The deployment of </w:t>
      </w:r>
      <w:r w:rsidR="001507A4">
        <w:t>OSW</w:t>
      </w:r>
      <w:r>
        <w:t xml:space="preserve"> displaces coal, natural gas</w:t>
      </w:r>
      <w:r w:rsidR="001A4D5B">
        <w:t>, terrestrial wind, and solar PV</w:t>
      </w:r>
      <w:r w:rsidR="005E1E57">
        <w:t xml:space="preserve"> (Figure</w:t>
      </w:r>
      <w:r w:rsidR="00BE68A0">
        <w:t xml:space="preserve"> 5</w:t>
      </w:r>
      <w:r w:rsidR="005E1E57">
        <w:t>)</w:t>
      </w:r>
      <w:r w:rsidR="00B92153">
        <w:t>, though the technologies displaced vary between scenarios</w:t>
      </w:r>
      <w:r>
        <w:t xml:space="preserve">. Below we can see that in the cases where </w:t>
      </w:r>
      <w:r w:rsidR="001507A4">
        <w:t>OSW</w:t>
      </w:r>
      <w:r>
        <w:t xml:space="preserve"> is cheapest, </w:t>
      </w:r>
      <w:r w:rsidR="00AF6EA9">
        <w:t>the displaced technologies vary dramatically with carbon mitigation stringency. In the business as usual case for</w:t>
      </w:r>
      <w:r w:rsidR="00EC2200">
        <w:t xml:space="preserve"> emissions, OSW primarily displaces wind and solar</w:t>
      </w:r>
      <w:r>
        <w:t xml:space="preserve">. </w:t>
      </w:r>
      <w:r w:rsidR="00EC2200">
        <w:t xml:space="preserve">Only as carbon mitigation stringency increases does OSW displace natural gas and coal at higher levels. </w:t>
      </w:r>
      <w:r w:rsidR="00DB22A4">
        <w:t xml:space="preserve">In scenarios where the most OSW is built out, natural gas is the </w:t>
      </w:r>
      <w:r w:rsidR="006A2292">
        <w:t>most impacted</w:t>
      </w:r>
      <w:r w:rsidR="00DB22A4">
        <w:t xml:space="preserve"> technology</w:t>
      </w:r>
      <w:r>
        <w:t xml:space="preserve">. Natural gas makes up </w:t>
      </w:r>
      <w:r w:rsidR="009D03F8">
        <w:t>the largest</w:t>
      </w:r>
      <w:r>
        <w:t xml:space="preserve"> large market share of the 2050 grid in all </w:t>
      </w:r>
      <w:r w:rsidR="009D03F8">
        <w:t>scenarios regardless of</w:t>
      </w:r>
      <w:r>
        <w:t xml:space="preserve"> </w:t>
      </w:r>
      <w:r w:rsidR="001507A4">
        <w:t>OSW</w:t>
      </w:r>
      <w:r>
        <w:t xml:space="preserve"> </w:t>
      </w:r>
      <w:r w:rsidR="009D03F8">
        <w:t xml:space="preserve">buildout, but the amount of natural gas is dramatically reduced when OSW is built out. </w:t>
      </w:r>
      <w:r>
        <w:t xml:space="preserve">Coal sees a similar displacement when </w:t>
      </w:r>
      <w:r w:rsidR="001507A4">
        <w:t>OSW</w:t>
      </w:r>
      <w:r>
        <w:t xml:space="preserve"> is built out</w:t>
      </w:r>
      <w:r w:rsidR="006678E8">
        <w:t xml:space="preserve">. While the cost of </w:t>
      </w:r>
      <w:r w:rsidR="001507A4">
        <w:t>OSW</w:t>
      </w:r>
      <w:r w:rsidR="006678E8">
        <w:t xml:space="preserve"> elicits a decline in </w:t>
      </w:r>
      <w:r w:rsidR="00C90A3E">
        <w:t>the generation</w:t>
      </w:r>
      <w:r w:rsidR="006678E8">
        <w:t xml:space="preserve"> </w:t>
      </w:r>
      <w:r w:rsidR="00C90A3E">
        <w:t>from</w:t>
      </w:r>
      <w:r w:rsidR="006678E8">
        <w:t xml:space="preserve"> </w:t>
      </w:r>
      <w:r w:rsidR="004254A3">
        <w:t>fossil-fuel resources</w:t>
      </w:r>
      <w:r w:rsidR="006678E8">
        <w:t>, we see that terrestrial wind</w:t>
      </w:r>
      <w:r w:rsidR="000943DC">
        <w:t xml:space="preserve"> and</w:t>
      </w:r>
      <w:r w:rsidR="006678E8">
        <w:t xml:space="preserve"> </w:t>
      </w:r>
      <w:r w:rsidR="000943DC">
        <w:t>are also affected. All scenarios that impose a carbon cap elicit greater quantities of these technologies, however we can also see that as OSW becomes cheaper, the growth of these technologies is slower</w:t>
      </w:r>
      <w:r w:rsidR="00F634B6">
        <w:t xml:space="preserve">.  </w:t>
      </w:r>
      <w:r w:rsidR="00A02456">
        <w:t xml:space="preserve">The market share for all technologies in all scenarios is depicted in Table </w:t>
      </w:r>
      <w:r w:rsidR="007D752B">
        <w:t>4</w:t>
      </w:r>
      <w:r w:rsidR="00A02456">
        <w:t xml:space="preserve"> (end of document).</w:t>
      </w:r>
    </w:p>
    <w:p w14:paraId="56CEEDCD" w14:textId="25E484BF" w:rsidR="00AB636D" w:rsidRDefault="00A4748B" w:rsidP="00A4748B">
      <w:pPr>
        <w:keepNext/>
        <w:spacing w:after="0"/>
        <w:contextualSpacing/>
      </w:pPr>
      <w:r>
        <w:rPr>
          <w:noProof/>
        </w:rPr>
        <mc:AlternateContent>
          <mc:Choice Requires="wps">
            <w:drawing>
              <wp:inline distT="0" distB="0" distL="0" distR="0" wp14:anchorId="056898CE" wp14:editId="5A957243">
                <wp:extent cx="6815470" cy="1404620"/>
                <wp:effectExtent l="0" t="0" r="23495" b="1968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70" cy="1404620"/>
                        </a:xfrm>
                        <a:prstGeom prst="rect">
                          <a:avLst/>
                        </a:prstGeom>
                        <a:solidFill>
                          <a:srgbClr val="FFFFFF"/>
                        </a:solidFill>
                        <a:ln w="9525">
                          <a:solidFill>
                            <a:schemeClr val="bg1"/>
                          </a:solidFill>
                          <a:miter lim="800000"/>
                          <a:headEnd/>
                          <a:tailEnd/>
                        </a:ln>
                      </wps:spPr>
                      <wps:txbx>
                        <w:txbxContent>
                          <w:p w14:paraId="0D934DD4" w14:textId="0B5941B5" w:rsidR="00214AC1" w:rsidRDefault="00214AC1" w:rsidP="00A4748B">
                            <w:pPr>
                              <w:keepNext/>
                              <w:spacing w:after="0"/>
                              <w:contextualSpacing/>
                              <w:jc w:val="center"/>
                            </w:pPr>
                            <w:r>
                              <w:rPr>
                                <w:noProof/>
                              </w:rPr>
                              <w:drawing>
                                <wp:inline distT="0" distB="0" distL="0" distR="0" wp14:anchorId="6EB78A88" wp14:editId="511E7CE6">
                                  <wp:extent cx="3295650" cy="2834910"/>
                                  <wp:effectExtent l="19050" t="19050" r="19050"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2834910"/>
                                          </a:xfrm>
                                          <a:prstGeom prst="rect">
                                            <a:avLst/>
                                          </a:prstGeom>
                                          <a:ln>
                                            <a:solidFill>
                                              <a:schemeClr val="tx1"/>
                                            </a:solidFill>
                                          </a:ln>
                                        </pic:spPr>
                                      </pic:pic>
                                    </a:graphicData>
                                  </a:graphic>
                                </wp:inline>
                              </w:drawing>
                            </w:r>
                          </w:p>
                          <w:p w14:paraId="65B75A21" w14:textId="1D7ED08B" w:rsidR="00214AC1" w:rsidRDefault="00214AC1" w:rsidP="00A4748B">
                            <w:pPr>
                              <w:pStyle w:val="Caption"/>
                              <w:contextualSpacing/>
                              <w:jc w:val="center"/>
                            </w:pPr>
                            <w:r>
                              <w:t xml:space="preserve">Figure </w:t>
                            </w:r>
                            <w:r w:rsidR="00382046">
                              <w:fldChar w:fldCharType="begin"/>
                            </w:r>
                            <w:r w:rsidR="00382046">
                              <w:instrText xml:space="preserve"> SEQ Figure \* ARABIC </w:instrText>
                            </w:r>
                            <w:r w:rsidR="00382046">
                              <w:fldChar w:fldCharType="separate"/>
                            </w:r>
                            <w:r>
                              <w:rPr>
                                <w:noProof/>
                              </w:rPr>
                              <w:t>6</w:t>
                            </w:r>
                            <w:r w:rsidR="00382046">
                              <w:rPr>
                                <w:noProof/>
                              </w:rPr>
                              <w:fldChar w:fldCharType="end"/>
                            </w:r>
                            <w:r>
                              <w:t>. Electricity production by technology</w:t>
                            </w:r>
                          </w:p>
                        </w:txbxContent>
                      </wps:txbx>
                      <wps:bodyPr rot="0" vert="horz" wrap="square" lIns="91440" tIns="45720" rIns="91440" bIns="45720" anchor="t" anchorCtr="0">
                        <a:spAutoFit/>
                      </wps:bodyPr>
                    </wps:wsp>
                  </a:graphicData>
                </a:graphic>
              </wp:inline>
            </w:drawing>
          </mc:Choice>
          <mc:Fallback>
            <w:pict>
              <v:shape w14:anchorId="056898CE" id="_x0000_s1032" type="#_x0000_t202" style="width:53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" strokecolor="white [3212]">
                <v:textbox style="mso-fit-shape-to-text:t">
                  <w:txbxContent>
                    <w:p w14:paraId="0D934DD4" w14:textId="0B5941B5" w:rsidR="00214AC1" w:rsidRDefault="00214AC1" w:rsidP="00A4748B">
                      <w:pPr>
                        <w:keepNext/>
                        <w:spacing w:after="0"/>
                        <w:contextualSpacing/>
                        <w:jc w:val="center"/>
                      </w:pPr>
                      <w:r>
                        <w:rPr>
                          <w:noProof/>
                        </w:rPr>
                        <w:drawing>
                          <wp:inline distT="0" distB="0" distL="0" distR="0" wp14:anchorId="6EB78A88" wp14:editId="511E7CE6">
                            <wp:extent cx="3295650" cy="2834910"/>
                            <wp:effectExtent l="19050" t="19050" r="19050"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2834910"/>
                                    </a:xfrm>
                                    <a:prstGeom prst="rect">
                                      <a:avLst/>
                                    </a:prstGeom>
                                    <a:ln>
                                      <a:solidFill>
                                        <a:schemeClr val="tx1"/>
                                      </a:solidFill>
                                    </a:ln>
                                  </pic:spPr>
                                </pic:pic>
                              </a:graphicData>
                            </a:graphic>
                          </wp:inline>
                        </w:drawing>
                      </w:r>
                    </w:p>
                    <w:p w14:paraId="65B75A21" w14:textId="1D7ED08B" w:rsidR="00214AC1" w:rsidRDefault="00214AC1" w:rsidP="00A4748B">
                      <w:pPr>
                        <w:pStyle w:val="Caption"/>
                        <w:contextualSpacing/>
                        <w:jc w:val="center"/>
                      </w:pPr>
                      <w:r>
                        <w:t xml:space="preserve">Figure </w:t>
                      </w:r>
                      <w:r w:rsidR="00382046">
                        <w:fldChar w:fldCharType="begin"/>
                      </w:r>
                      <w:r w:rsidR="00382046">
                        <w:instrText xml:space="preserve"> SEQ Figure \* ARABIC </w:instrText>
                      </w:r>
                      <w:r w:rsidR="00382046">
                        <w:fldChar w:fldCharType="separate"/>
                      </w:r>
                      <w:r>
                        <w:rPr>
                          <w:noProof/>
                        </w:rPr>
                        <w:t>6</w:t>
                      </w:r>
                      <w:r w:rsidR="00382046">
                        <w:rPr>
                          <w:noProof/>
                        </w:rPr>
                        <w:fldChar w:fldCharType="end"/>
                      </w:r>
                      <w:r>
                        <w:t>. Electricity production by technology</w:t>
                      </w:r>
                    </w:p>
                  </w:txbxContent>
                </v:textbox>
                <w10:anchorlock/>
              </v:shape>
            </w:pict>
          </mc:Fallback>
        </mc:AlternateContent>
      </w:r>
    </w:p>
    <w:p w14:paraId="7F0B3D02" w14:textId="1A918CE9" w:rsidR="007E4E63" w:rsidRDefault="005323A8" w:rsidP="0086533D">
      <w:pPr>
        <w:spacing w:after="0"/>
        <w:contextualSpacing/>
        <w:jc w:val="both"/>
      </w:pPr>
      <w:proofErr w:type="gramStart"/>
      <w:r>
        <w:t>Due to the fact that</w:t>
      </w:r>
      <w:proofErr w:type="gramEnd"/>
      <w:r>
        <w:t xml:space="preserve"> OSW displaces other emissions-neutral technologies</w:t>
      </w:r>
      <w:r w:rsidR="004A7E54">
        <w:t xml:space="preserve"> in some scenarios, it is harder to disentangle the </w:t>
      </w:r>
      <w:proofErr w:type="spellStart"/>
      <w:r w:rsidR="004A7E54">
        <w:t>affects</w:t>
      </w:r>
      <w:proofErr w:type="spellEnd"/>
      <w:r w:rsidR="004A7E54">
        <w:t xml:space="preserve"> of OSW costs and carbon mitigation stringency on total emissions. In order to tease out some of this complexity, we looked at some confounding factors. Carbon mitigation stringency elicited a higher percentage of renewables independent of OSW cost, though OSW cost did </w:t>
      </w:r>
      <w:r w:rsidR="004E0F19">
        <w:t>contribute to higher percentages in all scenarios</w:t>
      </w:r>
      <w:r w:rsidR="00FC3648">
        <w:t xml:space="preserve"> (Figure 7)</w:t>
      </w:r>
      <w:r w:rsidR="004E0F19">
        <w:t xml:space="preserve">. Additionally, </w:t>
      </w:r>
      <w:r w:rsidR="004E0F19">
        <w:lastRenderedPageBreak/>
        <w:t>carbon mitigation stringency had a marked impact on total electricity production, reducing overall production in scenarios with high mitigation stringency</w:t>
      </w:r>
      <w:r w:rsidR="00FC3648">
        <w:t xml:space="preserve"> (Figure 8)</w:t>
      </w:r>
      <w:r w:rsidR="004E0F19">
        <w:t>.</w:t>
      </w:r>
    </w:p>
    <w:p w14:paraId="5C41691E" w14:textId="77777777" w:rsidR="004A7E54" w:rsidRDefault="004A7E54" w:rsidP="0086533D">
      <w:pPr>
        <w:keepNext/>
        <w:spacing w:after="0"/>
        <w:contextualSpacing/>
      </w:pPr>
      <w:r>
        <w:rPr>
          <w:noProof/>
        </w:rPr>
        <w:drawing>
          <wp:inline distT="0" distB="0" distL="0" distR="0" wp14:anchorId="1C6C1861" wp14:editId="5448FF40">
            <wp:extent cx="3381375" cy="2092000"/>
            <wp:effectExtent l="19050" t="19050" r="9525" b="228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302" cy="2121651"/>
                    </a:xfrm>
                    <a:prstGeom prst="rect">
                      <a:avLst/>
                    </a:prstGeom>
                    <a:ln>
                      <a:solidFill>
                        <a:schemeClr val="tx1"/>
                      </a:solidFill>
                    </a:ln>
                  </pic:spPr>
                </pic:pic>
              </a:graphicData>
            </a:graphic>
          </wp:inline>
        </w:drawing>
      </w:r>
      <w:r>
        <w:rPr>
          <w:noProof/>
        </w:rPr>
        <w:drawing>
          <wp:inline distT="0" distB="0" distL="0" distR="0" wp14:anchorId="5422DAC1" wp14:editId="7B31C9A4">
            <wp:extent cx="3114675" cy="2104322"/>
            <wp:effectExtent l="19050" t="19050" r="952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1484" cy="2129191"/>
                    </a:xfrm>
                    <a:prstGeom prst="rect">
                      <a:avLst/>
                    </a:prstGeom>
                    <a:ln>
                      <a:solidFill>
                        <a:schemeClr val="tx1"/>
                      </a:solidFill>
                    </a:ln>
                  </pic:spPr>
                </pic:pic>
              </a:graphicData>
            </a:graphic>
          </wp:inline>
        </w:drawing>
      </w:r>
    </w:p>
    <w:p w14:paraId="145EF7E0" w14:textId="22349A9E" w:rsidR="004A7E54" w:rsidRDefault="004A7E54" w:rsidP="0086533D">
      <w:pPr>
        <w:pStyle w:val="Caption"/>
        <w:contextualSpacing/>
      </w:pPr>
      <w:r>
        <w:t xml:space="preserve">Figure </w:t>
      </w:r>
      <w:r w:rsidR="00491C2A">
        <w:t>6</w:t>
      </w:r>
      <w:r>
        <w:t>. Total electricity production                                                                               Figure</w:t>
      </w:r>
      <w:r w:rsidR="00491C2A">
        <w:t xml:space="preserve"> 7</w:t>
      </w:r>
      <w:r>
        <w:t>. Percent renewable technology generation</w:t>
      </w:r>
    </w:p>
    <w:p w14:paraId="3F2D8834" w14:textId="64B216C2" w:rsidR="002D491D" w:rsidRPr="00654568" w:rsidRDefault="00EA000A" w:rsidP="0086533D">
      <w:pPr>
        <w:spacing w:after="0"/>
        <w:contextualSpacing/>
        <w:jc w:val="both"/>
      </w:pPr>
      <w:r>
        <w:rPr>
          <w:noProof/>
        </w:rPr>
        <w:t>The impact of these factors, as well as the impact of OSW buildout, contributed to an overall reduction in all emissions investigated in all scenarios over the baseline scenario.</w:t>
      </w:r>
      <w:r w:rsidR="00FB36FF">
        <w:rPr>
          <w:noProof/>
        </w:rPr>
        <w:t xml:space="preserve"> As shown in Figure 9,  all pollutants saw a significant reduction in </w:t>
      </w:r>
      <w:r w:rsidR="00654568">
        <w:rPr>
          <w:noProof/>
        </w:rPr>
        <w:t>emissions, but the largest reduction was in SO</w:t>
      </w:r>
      <w:r w:rsidR="00654568">
        <w:rPr>
          <w:noProof/>
          <w:vertAlign w:val="subscript"/>
        </w:rPr>
        <w:t>2</w:t>
      </w:r>
      <w:r w:rsidR="00654568">
        <w:rPr>
          <w:noProof/>
        </w:rPr>
        <w:t>. The dramatic decrease in these emissions stems from the model’s representation of existing SO</w:t>
      </w:r>
      <w:r w:rsidR="00654568">
        <w:rPr>
          <w:noProof/>
          <w:vertAlign w:val="subscript"/>
        </w:rPr>
        <w:t>2</w:t>
      </w:r>
      <w:r w:rsidR="00654568">
        <w:rPr>
          <w:noProof/>
        </w:rPr>
        <w:t xml:space="preserve"> policies that require substantial shift away from sulfur-rich fuels.</w:t>
      </w:r>
    </w:p>
    <w:p w14:paraId="23422991" w14:textId="553917AB" w:rsidR="007E4E63" w:rsidRDefault="007E4E63" w:rsidP="0086533D">
      <w:pPr>
        <w:spacing w:after="0"/>
        <w:contextualSpacing/>
      </w:pPr>
    </w:p>
    <w:p w14:paraId="72C9BF88" w14:textId="77777777" w:rsidR="00FB36FF" w:rsidRDefault="00AD5252" w:rsidP="0086533D">
      <w:pPr>
        <w:keepNext/>
        <w:spacing w:after="0"/>
        <w:contextualSpacing/>
      </w:pPr>
      <w:r>
        <w:rPr>
          <w:noProof/>
        </w:rPr>
        <w:drawing>
          <wp:inline distT="0" distB="0" distL="0" distR="0" wp14:anchorId="44C51D88" wp14:editId="6B546A6D">
            <wp:extent cx="6858000" cy="2308225"/>
            <wp:effectExtent l="19050" t="19050" r="1905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2308225"/>
                    </a:xfrm>
                    <a:prstGeom prst="rect">
                      <a:avLst/>
                    </a:prstGeom>
                    <a:ln>
                      <a:solidFill>
                        <a:schemeClr val="tx1"/>
                      </a:solidFill>
                    </a:ln>
                  </pic:spPr>
                </pic:pic>
              </a:graphicData>
            </a:graphic>
          </wp:inline>
        </w:drawing>
      </w:r>
    </w:p>
    <w:p w14:paraId="0191F60C" w14:textId="024A9CF3" w:rsidR="007E4E63" w:rsidRDefault="00FB36FF" w:rsidP="0086533D">
      <w:pPr>
        <w:pStyle w:val="Caption"/>
        <w:contextualSpacing/>
      </w:pPr>
      <w:r>
        <w:t>Figure</w:t>
      </w:r>
      <w:r w:rsidR="00491C2A">
        <w:t xml:space="preserve"> 8</w:t>
      </w:r>
      <w:r>
        <w:t>. Emissions Output and Percent Reductions</w:t>
      </w:r>
    </w:p>
    <w:p w14:paraId="790F12E2" w14:textId="75BF4370" w:rsidR="002006A3" w:rsidRPr="00C226E7" w:rsidRDefault="002006A3" w:rsidP="0086533D">
      <w:pPr>
        <w:keepNext/>
        <w:spacing w:after="0"/>
        <w:contextualSpacing/>
        <w:jc w:val="both"/>
      </w:pPr>
      <w:r>
        <w:t xml:space="preserve">In order to tease out the effects of these factors and the original sensitivity parameters on emissions, we looked at the correlations between all factors (Figure 10). Carbon mitigation stringency was highly negatively correlated with all emissions, while OSW capacity was only significantly negatively correlated with </w:t>
      </w:r>
      <w:r w:rsidR="00EE6E48">
        <w:t>CO</w:t>
      </w:r>
      <w:r w:rsidR="00EE6E48" w:rsidRPr="00EE6E48">
        <w:rPr>
          <w:vertAlign w:val="subscript"/>
        </w:rPr>
        <w:t>2</w:t>
      </w:r>
      <w:r w:rsidR="00EE6E48">
        <w:t xml:space="preserve"> and CH</w:t>
      </w:r>
      <w:r w:rsidR="00EE6E48" w:rsidRPr="00EE6E48">
        <w:rPr>
          <w:vertAlign w:val="subscript"/>
        </w:rPr>
        <w:t>4</w:t>
      </w:r>
      <w:r w:rsidR="00EE6E48">
        <w:t xml:space="preserve">. </w:t>
      </w:r>
      <w:r w:rsidR="00491C2A">
        <w:t>Total OSW capacity was significantly positively correlated with cost reduction, but not with CO</w:t>
      </w:r>
      <w:r w:rsidR="00491C2A">
        <w:rPr>
          <w:vertAlign w:val="subscript"/>
        </w:rPr>
        <w:t xml:space="preserve">2 </w:t>
      </w:r>
      <w:r w:rsidR="00491C2A">
        <w:t>mitigation stringenc</w:t>
      </w:r>
      <w:r w:rsidR="00C226E7">
        <w:t>y. Both total OSW capacity and CO</w:t>
      </w:r>
      <w:r w:rsidR="00C226E7">
        <w:rPr>
          <w:vertAlign w:val="subscript"/>
        </w:rPr>
        <w:t xml:space="preserve">2 </w:t>
      </w:r>
      <w:r w:rsidR="00C226E7">
        <w:t xml:space="preserve">mitigation stringency were significantly positively correlated with the total percentage of renewables, with mitigation </w:t>
      </w:r>
      <w:r w:rsidR="00C226E7">
        <w:lastRenderedPageBreak/>
        <w:t>stringency eliciting a higher positive effect. The total amount of electricity produced, system-wide, was significantly and strongly negatively correlated with mitigation stringency but positively correlated with total OSW capacity.</w:t>
      </w:r>
    </w:p>
    <w:p w14:paraId="4726E51C" w14:textId="41E13DDD" w:rsidR="002006A3" w:rsidRDefault="00AD5252" w:rsidP="0086533D">
      <w:pPr>
        <w:keepNext/>
        <w:spacing w:after="0"/>
        <w:contextualSpacing/>
      </w:pPr>
      <w:r>
        <w:rPr>
          <w:noProof/>
        </w:rPr>
        <w:drawing>
          <wp:inline distT="0" distB="0" distL="0" distR="0" wp14:anchorId="366B5471" wp14:editId="5B1788A6">
            <wp:extent cx="3610707" cy="2436224"/>
            <wp:effectExtent l="19050" t="19050" r="2794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1938" cy="2443802"/>
                    </a:xfrm>
                    <a:prstGeom prst="rect">
                      <a:avLst/>
                    </a:prstGeom>
                    <a:ln>
                      <a:solidFill>
                        <a:schemeClr val="tx1"/>
                      </a:solidFill>
                    </a:ln>
                  </pic:spPr>
                </pic:pic>
              </a:graphicData>
            </a:graphic>
          </wp:inline>
        </w:drawing>
      </w:r>
    </w:p>
    <w:p w14:paraId="0684924F" w14:textId="303D5D2F" w:rsidR="00087B87" w:rsidRDefault="002006A3" w:rsidP="0086533D">
      <w:pPr>
        <w:pStyle w:val="Caption"/>
        <w:contextualSpacing/>
      </w:pPr>
      <w:r>
        <w:t>Figure</w:t>
      </w:r>
      <w:r w:rsidR="00491C2A">
        <w:t xml:space="preserve"> 9</w:t>
      </w:r>
      <w:r>
        <w:t>. Correlations between parameters</w:t>
      </w:r>
    </w:p>
    <w:p w14:paraId="279261E4" w14:textId="77777777" w:rsidR="00C226E7" w:rsidRDefault="002B13CC" w:rsidP="0086533D">
      <w:pPr>
        <w:spacing w:after="0"/>
        <w:contextualSpacing/>
        <w:jc w:val="both"/>
      </w:pPr>
      <w:r>
        <w:t xml:space="preserve">Further statistical analysis was required to identify the </w:t>
      </w:r>
      <w:r w:rsidR="007D752B">
        <w:t xml:space="preserve">strength of the effects of these parameters on emissions. Multiple linear regressions were constructed to analyze these factors. Table 2 shows the regression coefficients for three independent variables, </w:t>
      </w:r>
      <w:r w:rsidR="00C226E7">
        <w:t xml:space="preserve">total </w:t>
      </w:r>
      <w:r w:rsidR="007D752B">
        <w:t xml:space="preserve">OSW capacity, percentage </w:t>
      </w:r>
      <w:r w:rsidR="00C226E7">
        <w:t xml:space="preserve">of </w:t>
      </w:r>
      <w:r w:rsidR="007D752B">
        <w:t>renewable</w:t>
      </w:r>
      <w:r w:rsidR="00C226E7">
        <w:t xml:space="preserve"> generation</w:t>
      </w:r>
      <w:r w:rsidR="007D752B">
        <w:t>, and total electricity</w:t>
      </w:r>
      <w:r w:rsidR="00C226E7">
        <w:t xml:space="preserve"> production</w:t>
      </w:r>
      <w:r w:rsidR="007D752B">
        <w:t>. All coefficients were statistically significant</w:t>
      </w:r>
      <w:r w:rsidR="00C24DA6">
        <w:t xml:space="preserve"> for both </w:t>
      </w:r>
      <w:r w:rsidR="00C226E7">
        <w:t>ca</w:t>
      </w:r>
      <w:r w:rsidR="00C24DA6">
        <w:t>rbon mitigation stringency and OSW cost reduction. Cost reduction had a substantially greater positive influence on OSW capacity than carbon mitigation stringency, though both contribute</w:t>
      </w:r>
      <w:r w:rsidR="00C226E7">
        <w:t>d</w:t>
      </w:r>
      <w:r w:rsidR="00C24DA6">
        <w:t xml:space="preserve"> to higher OSW capacity</w:t>
      </w:r>
      <w:r w:rsidR="007D752B">
        <w:t xml:space="preserve">. </w:t>
      </w:r>
      <w:r w:rsidR="00C226E7">
        <w:t xml:space="preserve">Both coefficients were significant and positive for renewable percentage, though mitigation stringency also played a greater role here. Mitigation stringency also had a greater negative coefficient for total electricity production than cost reduction had a positive effect. </w:t>
      </w:r>
    </w:p>
    <w:p w14:paraId="76C0216A" w14:textId="77777777" w:rsidR="00C226E7" w:rsidRDefault="00C226E7" w:rsidP="0086533D">
      <w:pPr>
        <w:spacing w:after="0"/>
        <w:contextualSpacing/>
        <w:jc w:val="both"/>
      </w:pPr>
    </w:p>
    <w:p w14:paraId="28B412E7" w14:textId="0E30AEF0" w:rsidR="002006A3" w:rsidRPr="0049664A" w:rsidRDefault="007D752B" w:rsidP="0086533D">
      <w:pPr>
        <w:spacing w:after="0"/>
        <w:contextualSpacing/>
        <w:jc w:val="both"/>
      </w:pPr>
      <w:r>
        <w:t xml:space="preserve">Table 3 shows these factors as they elicit changes in emissions. </w:t>
      </w:r>
      <w:r w:rsidR="00C226E7">
        <w:t>The c</w:t>
      </w:r>
      <w:r>
        <w:t>oefficients</w:t>
      </w:r>
      <w:r w:rsidR="00C226E7">
        <w:t xml:space="preserve"> for all emissions</w:t>
      </w:r>
      <w:r>
        <w:t xml:space="preserve"> were statistically significant </w:t>
      </w:r>
      <w:r w:rsidR="00C226E7">
        <w:t xml:space="preserve">and negative </w:t>
      </w:r>
      <w:r>
        <w:t xml:space="preserve">for carbon mitigation stringency but only </w:t>
      </w:r>
      <w:r w:rsidR="0049664A">
        <w:t xml:space="preserve">negative and </w:t>
      </w:r>
      <w:r>
        <w:t>statistically significant for</w:t>
      </w:r>
      <w:r w:rsidR="0049664A">
        <w:t xml:space="preserve"> CO</w:t>
      </w:r>
      <w:r w:rsidR="0049664A">
        <w:rPr>
          <w:vertAlign w:val="subscript"/>
        </w:rPr>
        <w:t>2</w:t>
      </w:r>
      <w:r w:rsidR="0049664A">
        <w:t xml:space="preserve"> and PM</w:t>
      </w:r>
      <w:r w:rsidR="0049664A" w:rsidRPr="0049664A">
        <w:rPr>
          <w:vertAlign w:val="subscript"/>
        </w:rPr>
        <w:t xml:space="preserve">2.5 </w:t>
      </w:r>
      <w:r w:rsidR="0049664A">
        <w:t>for</w:t>
      </w:r>
      <w:r>
        <w:t xml:space="preserve"> OSW capacity.</w:t>
      </w:r>
      <w:r w:rsidR="0049664A">
        <w:t xml:space="preserve"> OSW capacity had a small but positive coefficient for SO</w:t>
      </w:r>
      <w:r w:rsidR="0049664A">
        <w:rPr>
          <w:vertAlign w:val="subscript"/>
        </w:rPr>
        <w:t>2</w:t>
      </w:r>
      <w:r w:rsidR="0049664A">
        <w:t>, however it was not statistically significant.</w:t>
      </w:r>
    </w:p>
    <w:p w14:paraId="063FD305" w14:textId="10D3DEBA" w:rsidR="007D752B" w:rsidRDefault="007D752B" w:rsidP="0086533D">
      <w:pPr>
        <w:pStyle w:val="Caption"/>
        <w:keepNext/>
        <w:contextualSpacing/>
      </w:pPr>
      <w:r>
        <w:t xml:space="preserve">Table </w:t>
      </w:r>
      <w:r w:rsidR="00382046">
        <w:fldChar w:fldCharType="begin"/>
      </w:r>
      <w:r w:rsidR="00382046">
        <w:instrText xml:space="preserve"> SEQ Table \* ARABIC </w:instrText>
      </w:r>
      <w:r w:rsidR="00382046">
        <w:fldChar w:fldCharType="separate"/>
      </w:r>
      <w:r w:rsidR="00860A97">
        <w:rPr>
          <w:noProof/>
        </w:rPr>
        <w:t>2</w:t>
      </w:r>
      <w:r w:rsidR="00382046">
        <w:rPr>
          <w:noProof/>
        </w:rPr>
        <w:fldChar w:fldCharType="end"/>
      </w:r>
    </w:p>
    <w:p w14:paraId="3161B5DB" w14:textId="77777777" w:rsidR="007D752B" w:rsidRDefault="00B21C14" w:rsidP="0086533D">
      <w:pPr>
        <w:spacing w:after="0"/>
        <w:contextualSpacing/>
      </w:pPr>
      <w:r>
        <w:rPr>
          <w:noProof/>
        </w:rPr>
        <w:drawing>
          <wp:inline distT="0" distB="0" distL="0" distR="0" wp14:anchorId="361AC135" wp14:editId="4C2AD32B">
            <wp:extent cx="2904046" cy="1076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1545" cy="1127286"/>
                    </a:xfrm>
                    <a:prstGeom prst="rect">
                      <a:avLst/>
                    </a:prstGeom>
                  </pic:spPr>
                </pic:pic>
              </a:graphicData>
            </a:graphic>
          </wp:inline>
        </w:drawing>
      </w:r>
    </w:p>
    <w:p w14:paraId="0C8A5E3D" w14:textId="47E47CDA" w:rsidR="007D752B" w:rsidRDefault="007D752B" w:rsidP="0086533D">
      <w:pPr>
        <w:pStyle w:val="Caption"/>
        <w:keepNext/>
        <w:contextualSpacing/>
      </w:pPr>
      <w:r>
        <w:t xml:space="preserve">Table </w:t>
      </w:r>
      <w:r w:rsidR="00382046">
        <w:fldChar w:fldCharType="begin"/>
      </w:r>
      <w:r w:rsidR="00382046">
        <w:instrText xml:space="preserve"> SEQ Table \* ARABIC </w:instrText>
      </w:r>
      <w:r w:rsidR="00382046">
        <w:fldChar w:fldCharType="separate"/>
      </w:r>
      <w:r w:rsidR="00860A97">
        <w:rPr>
          <w:noProof/>
        </w:rPr>
        <w:t>3</w:t>
      </w:r>
      <w:r w:rsidR="00382046">
        <w:rPr>
          <w:noProof/>
        </w:rPr>
        <w:fldChar w:fldCharType="end"/>
      </w:r>
    </w:p>
    <w:p w14:paraId="33900918" w14:textId="4F8EB926" w:rsidR="000F7624" w:rsidRPr="00F100D1" w:rsidRDefault="00B21C14" w:rsidP="0086533D">
      <w:pPr>
        <w:spacing w:after="0"/>
        <w:contextualSpacing/>
      </w:pPr>
      <w:r>
        <w:rPr>
          <w:noProof/>
        </w:rPr>
        <w:drawing>
          <wp:inline distT="0" distB="0" distL="0" distR="0" wp14:anchorId="7ACB5503" wp14:editId="3ADF9B02">
            <wp:extent cx="3641133" cy="10545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5203" cy="1099203"/>
                    </a:xfrm>
                    <a:prstGeom prst="rect">
                      <a:avLst/>
                    </a:prstGeom>
                  </pic:spPr>
                </pic:pic>
              </a:graphicData>
            </a:graphic>
          </wp:inline>
        </w:drawing>
      </w:r>
    </w:p>
    <w:p w14:paraId="37B9A161" w14:textId="7B215DB3" w:rsidR="008570E5" w:rsidRDefault="0049664A" w:rsidP="0049664A">
      <w:pPr>
        <w:spacing w:after="0"/>
        <w:contextualSpacing/>
      </w:pPr>
      <w:r>
        <w:t xml:space="preserve">For all scenarios modeled, the market penetration for OSW varied, and with that, the market share of other generation resources. Table 4 shows the market share of electricity generation across eight major generation resources. </w:t>
      </w:r>
    </w:p>
    <w:p w14:paraId="579CAD71" w14:textId="2258F869" w:rsidR="00EA3EEF" w:rsidRDefault="00EA3EEF" w:rsidP="0086533D">
      <w:pPr>
        <w:pStyle w:val="Caption"/>
        <w:keepNext/>
        <w:contextualSpacing/>
        <w:jc w:val="both"/>
      </w:pPr>
      <w:r>
        <w:lastRenderedPageBreak/>
        <w:t xml:space="preserve">Table </w:t>
      </w:r>
      <w:r w:rsidR="00382046">
        <w:fldChar w:fldCharType="begin"/>
      </w:r>
      <w:r w:rsidR="00382046">
        <w:instrText xml:space="preserve"> SEQ Table \* ARABIC </w:instrText>
      </w:r>
      <w:r w:rsidR="00382046">
        <w:fldChar w:fldCharType="separate"/>
      </w:r>
      <w:r w:rsidR="00860A97">
        <w:rPr>
          <w:noProof/>
        </w:rPr>
        <w:t>4</w:t>
      </w:r>
      <w:r w:rsidR="00382046">
        <w:rPr>
          <w:noProof/>
        </w:rPr>
        <w:fldChar w:fldCharType="end"/>
      </w:r>
      <w:r>
        <w:t>. Share of electricity production (%)</w:t>
      </w:r>
    </w:p>
    <w:p w14:paraId="67C5AD79" w14:textId="3B8DE876" w:rsidR="000B2C52" w:rsidRDefault="00EA3EEF" w:rsidP="0086533D">
      <w:pPr>
        <w:spacing w:after="0"/>
        <w:contextualSpacing/>
        <w:jc w:val="both"/>
      </w:pPr>
      <w:r>
        <w:rPr>
          <w:noProof/>
        </w:rPr>
        <w:drawing>
          <wp:inline distT="0" distB="0" distL="0" distR="0" wp14:anchorId="77347125" wp14:editId="0225C886">
            <wp:extent cx="2283016" cy="58007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83016" cy="5800725"/>
                    </a:xfrm>
                    <a:prstGeom prst="rect">
                      <a:avLst/>
                    </a:prstGeom>
                  </pic:spPr>
                </pic:pic>
              </a:graphicData>
            </a:graphic>
          </wp:inline>
        </w:drawing>
      </w:r>
      <w:r w:rsidR="00DE413B">
        <w:t xml:space="preserve"> </w:t>
      </w:r>
    </w:p>
    <w:p w14:paraId="0E45D4A5" w14:textId="27FB74DE" w:rsidR="000B2C52" w:rsidRDefault="000B2C52" w:rsidP="0086533D">
      <w:pPr>
        <w:spacing w:after="0"/>
        <w:contextualSpacing/>
        <w:jc w:val="both"/>
      </w:pPr>
    </w:p>
    <w:p w14:paraId="6529357D" w14:textId="5EBCCE03" w:rsidR="00B9202D" w:rsidRDefault="00B9202D" w:rsidP="0086533D">
      <w:pPr>
        <w:pStyle w:val="Heading2"/>
        <w:spacing w:before="0"/>
        <w:contextualSpacing/>
        <w:jc w:val="both"/>
      </w:pPr>
      <w:r>
        <w:t>Conclusions</w:t>
      </w:r>
    </w:p>
    <w:p w14:paraId="30CD43B1" w14:textId="47D0F25D" w:rsidR="007B7E11" w:rsidRDefault="0049664A" w:rsidP="002A2CC3">
      <w:pPr>
        <w:contextualSpacing/>
        <w:jc w:val="both"/>
      </w:pPr>
      <w:r>
        <w:t>In this research, a TIMES modeling framework was used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In order to assess the vast possibilities for future scenarios, we used a nested parametric sensitivity analysis with CO</w:t>
      </w:r>
      <w:r>
        <w:rPr>
          <w:vertAlign w:val="subscript"/>
        </w:rPr>
        <w:t xml:space="preserve">2 </w:t>
      </w:r>
      <w:r w:rsidR="00647DF6">
        <w:t>caps at 30%, 40%, 50%, 60%, 70%, and 80% below 2010 levels by 2050 and OSW cost reductions at 40%, 50%, 60%, 70%, and 80% below 201</w:t>
      </w:r>
      <w:r w:rsidR="002A2CC3">
        <w:t>8</w:t>
      </w:r>
      <w:r w:rsidR="00647DF6">
        <w:t xml:space="preserve"> costs by 2035. This research utilizes this methodology not only to investigate the potential for OSW, but to envision how this new technology in the U.S. will fit into our grid given uncertainties at this early stage of development. </w:t>
      </w:r>
    </w:p>
    <w:p w14:paraId="6AF1CE1D" w14:textId="597D30C3" w:rsidR="00647DF6" w:rsidRDefault="00647DF6" w:rsidP="002A2CC3">
      <w:pPr>
        <w:contextualSpacing/>
        <w:jc w:val="both"/>
      </w:pPr>
    </w:p>
    <w:p w14:paraId="0D1192ED" w14:textId="2D625415" w:rsidR="002A2CC3" w:rsidRDefault="00647DF6" w:rsidP="002A2CC3">
      <w:pPr>
        <w:contextualSpacing/>
        <w:jc w:val="both"/>
      </w:pPr>
      <w:r>
        <w:t xml:space="preserve">OSW in Europe, and now Asia, is a relatively established technology, but the conditions that elicited large investment in and build out of turbines are different in the U.S. We have different natural resources and costs of technology, different market shares of fossil fuels, and a hodge-podge of electricity markets. The pipeline for OSW development in the U.S. is growing and the research about the technical feasibility is robust, but we are missing the future-looking research to assess </w:t>
      </w:r>
      <w:r>
        <w:lastRenderedPageBreak/>
        <w:t>how this technology will fit in, what will be displaced and when, and how it might affect our air quality and emissions goals. Many states have already adopted RPS which incentivize the expansion of renewable technologies,</w:t>
      </w:r>
      <w:r w:rsidR="002A2CC3">
        <w:t xml:space="preserve"> and some in the northeast U.S. have mandated OSW to varying degrees. This paper found that without mandates, costs for OSW will need to decrease by at least half </w:t>
      </w:r>
      <w:r w:rsidR="00A96EE5">
        <w:t>to compete on the market with other technologies, both renewable and fossil.</w:t>
      </w:r>
      <w:r w:rsidR="004F792C">
        <w:t xml:space="preserve"> When costs are reduced by 60%, substantially more OSW is built, as with 70% and 80%. OSW reaches its highest modeled market share at 37.4% with cost reductions and CO</w:t>
      </w:r>
      <w:r w:rsidR="004F792C">
        <w:rPr>
          <w:vertAlign w:val="subscript"/>
        </w:rPr>
        <w:t>2</w:t>
      </w:r>
      <w:r w:rsidR="004F792C">
        <w:t xml:space="preserve"> mitigation both at 80%.</w:t>
      </w:r>
    </w:p>
    <w:p w14:paraId="30406400" w14:textId="31491A95" w:rsidR="00FC28DF" w:rsidRDefault="00FC28DF" w:rsidP="002A2CC3">
      <w:pPr>
        <w:contextualSpacing/>
        <w:jc w:val="both"/>
      </w:pPr>
    </w:p>
    <w:p w14:paraId="08F59364" w14:textId="0FD3FAA2" w:rsidR="00112C0A" w:rsidRDefault="00FC28DF" w:rsidP="002A2CC3">
      <w:pPr>
        <w:contextualSpacing/>
        <w:jc w:val="both"/>
      </w:pPr>
      <w:r>
        <w:t>At lower penetrations and without CO</w:t>
      </w:r>
      <w:r>
        <w:rPr>
          <w:vertAlign w:val="subscript"/>
        </w:rPr>
        <w:t>2</w:t>
      </w:r>
      <w:r>
        <w:t xml:space="preserve"> restrictions, OSW displaces some solar and terrestrial wind resources. With even moderate CO</w:t>
      </w:r>
      <w:r>
        <w:rPr>
          <w:vertAlign w:val="subscript"/>
        </w:rPr>
        <w:t>2</w:t>
      </w:r>
      <w:r>
        <w:t xml:space="preserve"> restrictions, solar and terrestrial wind are no longer displaced, and only natural gas and coal are displaced. Greater capacity of OSW, especially in the 80% cost reduction scenarios, required a greater volume of dispatchable resources, keeping more coal online than would have been otherwise. Load balancing needs paired with high renewable resource capacity showed an increase in emissions, namely SO</w:t>
      </w:r>
      <w:r>
        <w:rPr>
          <w:vertAlign w:val="subscript"/>
        </w:rPr>
        <w:t>2</w:t>
      </w:r>
      <w:r>
        <w:t xml:space="preserve"> in the lowest cost OSW scenarios</w:t>
      </w:r>
      <w:r w:rsidR="00276DD5">
        <w:t>, over slightly higher cost scenarios. Overall, however, both OSW capacity expansion and CO</w:t>
      </w:r>
      <w:r w:rsidR="00276DD5">
        <w:rPr>
          <w:vertAlign w:val="subscript"/>
        </w:rPr>
        <w:t>2</w:t>
      </w:r>
      <w:r w:rsidR="00276DD5">
        <w:t xml:space="preserve"> emissions constraints elicited lower emissions across all scenarios. The CO</w:t>
      </w:r>
      <w:r w:rsidR="00276DD5">
        <w:rPr>
          <w:vertAlign w:val="subscript"/>
        </w:rPr>
        <w:t xml:space="preserve">2 </w:t>
      </w:r>
      <w:r w:rsidR="00276DD5">
        <w:t xml:space="preserve">caps had a greater effect on overall emissions mitigation than OSW capacity, but all else equal, OSW still led to a statistically significant reduction in emissions. This is </w:t>
      </w:r>
      <w:r w:rsidR="00BA3B73">
        <w:t>due namely</w:t>
      </w:r>
      <w:r w:rsidR="00276DD5">
        <w:t xml:space="preserve"> to the fact that in most scenarios modeled, OSW displaced primarily natural gas and coal</w:t>
      </w:r>
      <w:r w:rsidR="00112C0A">
        <w:t>.</w:t>
      </w:r>
    </w:p>
    <w:p w14:paraId="13385243" w14:textId="77777777" w:rsidR="00112C0A" w:rsidRDefault="00112C0A" w:rsidP="002A2CC3">
      <w:pPr>
        <w:contextualSpacing/>
        <w:jc w:val="both"/>
      </w:pPr>
    </w:p>
    <w:p w14:paraId="3AC69D97" w14:textId="34C723C3" w:rsidR="00214AC1" w:rsidRDefault="00214AC1" w:rsidP="00214AC1">
      <w:pPr>
        <w:pStyle w:val="Heading2"/>
        <w:spacing w:before="0"/>
        <w:contextualSpacing/>
        <w:jc w:val="both"/>
      </w:pPr>
      <w:r>
        <w:t>Notes on Modeling</w:t>
      </w:r>
    </w:p>
    <w:p w14:paraId="4FD07A45" w14:textId="04DE7FDD" w:rsidR="002A2CC3" w:rsidRPr="0049664A" w:rsidRDefault="00214AC1" w:rsidP="002A2CC3">
      <w:pPr>
        <w:contextualSpacing/>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2A2CC3">
      <w:pPr>
        <w:pStyle w:val="Heading2"/>
        <w:spacing w:before="0"/>
        <w:contextualSpacing/>
        <w:jc w:val="both"/>
      </w:pPr>
      <w:r>
        <w:t>Disclaimer</w:t>
      </w:r>
    </w:p>
    <w:p w14:paraId="37D5E041" w14:textId="5F16FA3B" w:rsidR="007B7E11" w:rsidRDefault="007B7E11" w:rsidP="002A2CC3">
      <w:pPr>
        <w:contextualSpacing/>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2A2CC3">
      <w:pPr>
        <w:pStyle w:val="Heading2"/>
        <w:spacing w:before="0"/>
        <w:contextualSpacing/>
        <w:jc w:val="both"/>
      </w:pPr>
      <w:r>
        <w:t>Acknowledgments</w:t>
      </w:r>
    </w:p>
    <w:p w14:paraId="5E6088CC" w14:textId="065C188C" w:rsidR="00087B87" w:rsidRDefault="00087B87" w:rsidP="0086533D">
      <w:pPr>
        <w:spacing w:after="0"/>
        <w:contextualSpacing/>
        <w:jc w:val="both"/>
      </w:pPr>
    </w:p>
    <w:p w14:paraId="162666F0" w14:textId="19B9D406" w:rsidR="00142670" w:rsidRDefault="00142670" w:rsidP="00142670">
      <w:pPr>
        <w:pStyle w:val="Heading2"/>
        <w:spacing w:before="0"/>
        <w:contextualSpacing/>
        <w:jc w:val="both"/>
      </w:pPr>
      <w:r>
        <w:t>Data Availability</w:t>
      </w:r>
    </w:p>
    <w:p w14:paraId="6EB0CF2C" w14:textId="77777777" w:rsidR="00DA1AB8" w:rsidRDefault="00184AA2" w:rsidP="0086533D">
      <w:pPr>
        <w:spacing w:after="0"/>
        <w:contextualSpacing/>
        <w:jc w:val="both"/>
      </w:pPr>
      <w:r>
        <w:t xml:space="preserve">The EPAUS9rT database and its corresponding documentation can be found </w:t>
      </w:r>
      <w:r w:rsidR="00DA1AB8">
        <w:t xml:space="preserve">at </w:t>
      </w:r>
    </w:p>
    <w:p w14:paraId="63A12FDC" w14:textId="0BA32686" w:rsidR="00142670" w:rsidRDefault="00382046" w:rsidP="0086533D">
      <w:pPr>
        <w:spacing w:after="0"/>
        <w:contextualSpacing/>
        <w:jc w:val="both"/>
      </w:pPr>
      <w:hyperlink r:id="rId27" w:history="1">
        <w:r w:rsidR="00C75DFC" w:rsidRPr="00CC5FD7">
          <w:rPr>
            <w:rStyle w:val="Hyperlink"/>
          </w:rPr>
          <w:t>https://cfpub.epa.gov/si/si_public_record_report.cfm?Lab=NRMRL&amp;dirEntryId=346478</w:t>
        </w:r>
      </w:hyperlink>
      <w:r w:rsidR="00DA1AB8">
        <w:t>.</w:t>
      </w:r>
    </w:p>
    <w:p w14:paraId="1EC7A51D" w14:textId="09A9E95D" w:rsidR="002A6E8C" w:rsidRPr="002A6E8C" w:rsidRDefault="002A6E8C" w:rsidP="0086533D">
      <w:pPr>
        <w:pStyle w:val="Heading2"/>
        <w:spacing w:before="0"/>
        <w:contextualSpacing/>
        <w:jc w:val="both"/>
      </w:pPr>
      <w:r>
        <w:t>References</w:t>
      </w:r>
    </w:p>
    <w:p w14:paraId="5D4B2ECD" w14:textId="77777777" w:rsidR="00214AC1" w:rsidRPr="00214AC1" w:rsidRDefault="005A2E07" w:rsidP="00214AC1">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214AC1" w:rsidRPr="00214AC1">
        <w:t>1.</w:t>
      </w:r>
      <w:r w:rsidR="00214AC1" w:rsidRPr="00214AC1">
        <w:tab/>
        <w:t xml:space="preserve">U.S. EIA, </w:t>
      </w:r>
      <w:r w:rsidR="00214AC1" w:rsidRPr="00214AC1">
        <w:rPr>
          <w:i/>
        </w:rPr>
        <w:t>Annual Energy Outlook 2019 - with projections to 2050</w:t>
      </w:r>
      <w:r w:rsidR="00214AC1" w:rsidRPr="00214AC1">
        <w:t>, U.S.E.I. Administration, Editor. 2019.</w:t>
      </w:r>
    </w:p>
    <w:p w14:paraId="04F7B257" w14:textId="77777777" w:rsidR="00214AC1" w:rsidRPr="00214AC1" w:rsidRDefault="00214AC1" w:rsidP="00214AC1">
      <w:pPr>
        <w:pStyle w:val="EndNoteBibliography"/>
        <w:spacing w:after="0"/>
        <w:ind w:left="720" w:hanging="720"/>
      </w:pPr>
      <w:r w:rsidRPr="00214AC1">
        <w:t>2.</w:t>
      </w:r>
      <w:r w:rsidRPr="00214AC1">
        <w:tab/>
        <w:t xml:space="preserve">NOAA, </w:t>
      </w:r>
      <w:r w:rsidRPr="00214AC1">
        <w:rPr>
          <w:i/>
        </w:rPr>
        <w:t>American Community Survey Five-Year Estimates [NOAA Office for Coastal Management, U.S. Census Bureau]</w:t>
      </w:r>
      <w:r w:rsidRPr="00214AC1">
        <w:t>, NOAA, Editor. 2014.</w:t>
      </w:r>
    </w:p>
    <w:p w14:paraId="0283228F" w14:textId="77777777" w:rsidR="00214AC1" w:rsidRPr="00214AC1" w:rsidRDefault="00214AC1" w:rsidP="00214AC1">
      <w:pPr>
        <w:pStyle w:val="EndNoteBibliography"/>
        <w:spacing w:after="0"/>
        <w:ind w:left="720" w:hanging="720"/>
      </w:pPr>
      <w:r w:rsidRPr="00214AC1">
        <w:t>3.</w:t>
      </w:r>
      <w:r w:rsidRPr="00214AC1">
        <w:tab/>
        <w:t xml:space="preserve">NOAA, </w:t>
      </w:r>
      <w:r w:rsidRPr="00214AC1">
        <w:rPr>
          <w:i/>
        </w:rPr>
        <w:t>National Coastal Population Report: Population Trends from 1970 to 2020</w:t>
      </w:r>
      <w:r w:rsidRPr="00214AC1">
        <w:t xml:space="preserve">, in </w:t>
      </w:r>
      <w:r w:rsidRPr="00214AC1">
        <w:rPr>
          <w:i/>
        </w:rPr>
        <w:t>NOAA's State of the Coast</w:t>
      </w:r>
      <w:r w:rsidRPr="00214AC1">
        <w:t>. 2013.</w:t>
      </w:r>
    </w:p>
    <w:p w14:paraId="0FD6DA5C" w14:textId="77777777" w:rsidR="00214AC1" w:rsidRPr="00214AC1" w:rsidRDefault="00214AC1" w:rsidP="00214AC1">
      <w:pPr>
        <w:pStyle w:val="EndNoteBibliography"/>
        <w:spacing w:after="0"/>
        <w:ind w:left="720" w:hanging="720"/>
      </w:pPr>
      <w:r w:rsidRPr="00214AC1">
        <w:t>4.</w:t>
      </w:r>
      <w:r w:rsidRPr="00214AC1">
        <w:tab/>
        <w:t xml:space="preserve">Musial, W., et al., </w:t>
      </w:r>
      <w:r w:rsidRPr="00214AC1">
        <w:rPr>
          <w:i/>
        </w:rPr>
        <w:t>2016 Offshore Wind Energy Resource Assessment for the United States.</w:t>
      </w:r>
      <w:r w:rsidRPr="00214AC1">
        <w:t xml:space="preserve"> National Renewable Energy Laboratory, 2016(NREL/TP-5000-66599).</w:t>
      </w:r>
    </w:p>
    <w:p w14:paraId="18D64857" w14:textId="77777777" w:rsidR="00214AC1" w:rsidRPr="00214AC1" w:rsidRDefault="00214AC1" w:rsidP="00214AC1">
      <w:pPr>
        <w:pStyle w:val="EndNoteBibliography"/>
        <w:spacing w:after="0"/>
        <w:ind w:left="720" w:hanging="720"/>
      </w:pPr>
      <w:r w:rsidRPr="00214AC1">
        <w:t>5.</w:t>
      </w:r>
      <w:r w:rsidRPr="00214AC1">
        <w:tab/>
        <w:t xml:space="preserve">Green, R. and N. Vasilakos, </w:t>
      </w:r>
      <w:r w:rsidRPr="00214AC1">
        <w:rPr>
          <w:i/>
        </w:rPr>
        <w:t>The economics of offshore wind.</w:t>
      </w:r>
      <w:r w:rsidRPr="00214AC1">
        <w:t xml:space="preserve"> Energy Policy, 2011. </w:t>
      </w:r>
      <w:r w:rsidRPr="00214AC1">
        <w:rPr>
          <w:b/>
        </w:rPr>
        <w:t>39</w:t>
      </w:r>
      <w:r w:rsidRPr="00214AC1">
        <w:t>: p. 496-502.</w:t>
      </w:r>
    </w:p>
    <w:p w14:paraId="30B8C9FC" w14:textId="77777777" w:rsidR="00214AC1" w:rsidRPr="00214AC1" w:rsidRDefault="00214AC1" w:rsidP="00214AC1">
      <w:pPr>
        <w:pStyle w:val="EndNoteBibliography"/>
        <w:spacing w:after="0"/>
        <w:ind w:left="720" w:hanging="720"/>
      </w:pPr>
      <w:r w:rsidRPr="00214AC1">
        <w:t>6.</w:t>
      </w:r>
      <w:r w:rsidRPr="00214AC1">
        <w:tab/>
        <w:t xml:space="preserve">Myhr, A., et al., </w:t>
      </w:r>
      <w:r w:rsidRPr="00214AC1">
        <w:rPr>
          <w:i/>
        </w:rPr>
        <w:t>Levelised cost of energy for offshore floating wind turbines in a life cycle perspective.</w:t>
      </w:r>
      <w:r w:rsidRPr="00214AC1">
        <w:t xml:space="preserve"> Renewable Energy, 2014. </w:t>
      </w:r>
      <w:r w:rsidRPr="00214AC1">
        <w:rPr>
          <w:b/>
        </w:rPr>
        <w:t>66</w:t>
      </w:r>
      <w:r w:rsidRPr="00214AC1">
        <w:t>: p. 714-728.</w:t>
      </w:r>
    </w:p>
    <w:p w14:paraId="20C0EA3F" w14:textId="77777777" w:rsidR="00214AC1" w:rsidRPr="00214AC1" w:rsidRDefault="00214AC1" w:rsidP="00214AC1">
      <w:pPr>
        <w:pStyle w:val="EndNoteBibliography"/>
        <w:spacing w:after="0"/>
        <w:ind w:left="720" w:hanging="720"/>
      </w:pPr>
      <w:r w:rsidRPr="00214AC1">
        <w:t>7.</w:t>
      </w:r>
      <w:r w:rsidRPr="00214AC1">
        <w:tab/>
        <w:t xml:space="preserve">Stehly, T., et al., </w:t>
      </w:r>
      <w:r w:rsidRPr="00214AC1">
        <w:rPr>
          <w:i/>
        </w:rPr>
        <w:t>2017 Cost of Wind Energy Review</w:t>
      </w:r>
      <w:r w:rsidRPr="00214AC1">
        <w:t>. 2017, National Renewable Energy Laboratory.</w:t>
      </w:r>
    </w:p>
    <w:p w14:paraId="79D95FDD" w14:textId="77777777" w:rsidR="00214AC1" w:rsidRPr="00214AC1" w:rsidRDefault="00214AC1" w:rsidP="00214AC1">
      <w:pPr>
        <w:pStyle w:val="EndNoteBibliography"/>
        <w:spacing w:after="0"/>
        <w:ind w:left="720" w:hanging="720"/>
      </w:pPr>
      <w:r w:rsidRPr="00214AC1">
        <w:lastRenderedPageBreak/>
        <w:t>8.</w:t>
      </w:r>
      <w:r w:rsidRPr="00214AC1">
        <w:tab/>
        <w:t xml:space="preserve">NCCETC, </w:t>
      </w:r>
      <w:r w:rsidRPr="00214AC1">
        <w:rPr>
          <w:i/>
        </w:rPr>
        <w:t>Renewable and Clean Energy Standards: Database of State Incentives for Renewables and Efficiency</w:t>
      </w:r>
      <w:r w:rsidRPr="00214AC1">
        <w:t>, N.C.C.E.T. Center, Editor. 2019.</w:t>
      </w:r>
    </w:p>
    <w:p w14:paraId="29D28349" w14:textId="77777777" w:rsidR="00214AC1" w:rsidRPr="00214AC1" w:rsidRDefault="00214AC1" w:rsidP="00214AC1">
      <w:pPr>
        <w:pStyle w:val="EndNoteBibliography"/>
        <w:spacing w:after="0"/>
        <w:ind w:left="720" w:hanging="720"/>
      </w:pPr>
      <w:r w:rsidRPr="00214AC1">
        <w:t>9.</w:t>
      </w:r>
      <w:r w:rsidRPr="00214AC1">
        <w:tab/>
        <w:t xml:space="preserve">C2ES, </w:t>
      </w:r>
      <w:r w:rsidRPr="00214AC1">
        <w:rPr>
          <w:i/>
        </w:rPr>
        <w:t>U.S. State Greenhouse Gas Emissions Targets</w:t>
      </w:r>
      <w:r w:rsidRPr="00214AC1">
        <w:t>, C.f.C.a.E. Solutions, Editor. 2019.</w:t>
      </w:r>
    </w:p>
    <w:p w14:paraId="7802E05E" w14:textId="77777777" w:rsidR="00214AC1" w:rsidRPr="00214AC1" w:rsidRDefault="00214AC1" w:rsidP="00214AC1">
      <w:pPr>
        <w:pStyle w:val="EndNoteBibliography"/>
        <w:spacing w:after="0"/>
        <w:ind w:left="720" w:hanging="720"/>
      </w:pPr>
      <w:r w:rsidRPr="00214AC1">
        <w:t>10.</w:t>
      </w:r>
      <w:r w:rsidRPr="00214AC1">
        <w:tab/>
        <w:t xml:space="preserve">U.S. EIA, </w:t>
      </w:r>
      <w:r w:rsidRPr="00214AC1">
        <w:rPr>
          <w:i/>
        </w:rPr>
        <w:t>US electricity generation by energy source</w:t>
      </w:r>
      <w:r w:rsidRPr="00214AC1">
        <w:t>, U.S.E.I. Administration, Editor. 2018.</w:t>
      </w:r>
    </w:p>
    <w:p w14:paraId="1C8FD711" w14:textId="77777777" w:rsidR="00214AC1" w:rsidRPr="00214AC1" w:rsidRDefault="00214AC1" w:rsidP="00214AC1">
      <w:pPr>
        <w:pStyle w:val="EndNoteBibliography"/>
        <w:spacing w:after="0"/>
        <w:ind w:left="720" w:hanging="720"/>
      </w:pPr>
      <w:r w:rsidRPr="00214AC1">
        <w:t>11.</w:t>
      </w:r>
      <w:r w:rsidRPr="00214AC1">
        <w:tab/>
        <w:t xml:space="preserve">U.S. EIA, </w:t>
      </w:r>
      <w:r w:rsidRPr="00214AC1">
        <w:rPr>
          <w:i/>
        </w:rPr>
        <w:t>U.S. primary energy consumption by energy source, 2018</w:t>
      </w:r>
      <w:r w:rsidRPr="00214AC1">
        <w:t>, U.S.E.I. Administration, Editor. 2018.</w:t>
      </w:r>
    </w:p>
    <w:p w14:paraId="3A2A908C" w14:textId="77777777" w:rsidR="00214AC1" w:rsidRPr="00214AC1" w:rsidRDefault="00214AC1" w:rsidP="00214AC1">
      <w:pPr>
        <w:pStyle w:val="EndNoteBibliography"/>
        <w:spacing w:after="0"/>
        <w:ind w:left="720" w:hanging="720"/>
      </w:pPr>
      <w:r w:rsidRPr="00214AC1">
        <w:t>12.</w:t>
      </w:r>
      <w:r w:rsidRPr="00214AC1">
        <w:tab/>
        <w:t xml:space="preserve">U.S. EPA, </w:t>
      </w:r>
      <w:r w:rsidRPr="00214AC1">
        <w:rPr>
          <w:i/>
        </w:rPr>
        <w:t>National Emissions Inventory Report</w:t>
      </w:r>
      <w:r w:rsidRPr="00214AC1">
        <w:t>, U.S.E.P. Agency, Editor. 2014.</w:t>
      </w:r>
    </w:p>
    <w:p w14:paraId="04796F22" w14:textId="77777777" w:rsidR="00214AC1" w:rsidRPr="00214AC1" w:rsidRDefault="00214AC1" w:rsidP="00214AC1">
      <w:pPr>
        <w:pStyle w:val="EndNoteBibliography"/>
        <w:spacing w:after="0"/>
        <w:ind w:left="720" w:hanging="720"/>
      </w:pPr>
      <w:r w:rsidRPr="00214AC1">
        <w:t>13.</w:t>
      </w:r>
      <w:r w:rsidRPr="00214AC1">
        <w:tab/>
        <w:t xml:space="preserve">U.S. EPA, </w:t>
      </w:r>
      <w:r w:rsidRPr="00214AC1">
        <w:rPr>
          <w:i/>
        </w:rPr>
        <w:t>Inventory of U.S. Greenhouse Gas Emissions and Sinks: 1990-2017 Inventory Report</w:t>
      </w:r>
      <w:r w:rsidRPr="00214AC1">
        <w:t>, U.S.E.P. Agency, Editor. 2017.</w:t>
      </w:r>
    </w:p>
    <w:p w14:paraId="010C8B25" w14:textId="77777777" w:rsidR="00214AC1" w:rsidRPr="00214AC1" w:rsidRDefault="00214AC1" w:rsidP="00214AC1">
      <w:pPr>
        <w:pStyle w:val="EndNoteBibliography"/>
        <w:spacing w:after="0"/>
        <w:ind w:left="720" w:hanging="720"/>
      </w:pPr>
      <w:r w:rsidRPr="00214AC1">
        <w:t>14.</w:t>
      </w:r>
      <w:r w:rsidRPr="00214AC1">
        <w:tab/>
        <w:t xml:space="preserve">Loughlin, D.H., et al., </w:t>
      </w:r>
      <w:r w:rsidRPr="00214AC1">
        <w:rPr>
          <w:i/>
        </w:rPr>
        <w:t>Methodology for examining potential technology breakthroughs for mitigating CO2 and application to centralized solar phovoltaics.</w:t>
      </w:r>
      <w:r w:rsidRPr="00214AC1">
        <w:t xml:space="preserve"> Clean Technologies and Environmental Policy, 2012. </w:t>
      </w:r>
      <w:r w:rsidRPr="00214AC1">
        <w:rPr>
          <w:b/>
        </w:rPr>
        <w:t>15</w:t>
      </w:r>
      <w:r w:rsidRPr="00214AC1">
        <w:t>(1): p. 9-20.</w:t>
      </w:r>
    </w:p>
    <w:p w14:paraId="49A674DD" w14:textId="77777777" w:rsidR="00214AC1" w:rsidRPr="00214AC1" w:rsidRDefault="00214AC1" w:rsidP="00214AC1">
      <w:pPr>
        <w:pStyle w:val="EndNoteBibliography"/>
        <w:spacing w:after="0"/>
        <w:ind w:left="720" w:hanging="720"/>
      </w:pPr>
      <w:r w:rsidRPr="00214AC1">
        <w:t>15.</w:t>
      </w:r>
      <w:r w:rsidRPr="00214AC1">
        <w:tab/>
        <w:t xml:space="preserve">GWEC, </w:t>
      </w:r>
      <w:r w:rsidRPr="00214AC1">
        <w:rPr>
          <w:i/>
        </w:rPr>
        <w:t>Global Wind Energy Council: Global Wind Report 2018</w:t>
      </w:r>
      <w:r w:rsidRPr="00214AC1">
        <w:t>. 2019, Global Wind Energy Council.</w:t>
      </w:r>
    </w:p>
    <w:p w14:paraId="10A4CC67" w14:textId="77777777" w:rsidR="00214AC1" w:rsidRPr="00214AC1" w:rsidRDefault="00214AC1" w:rsidP="00214AC1">
      <w:pPr>
        <w:pStyle w:val="EndNoteBibliography"/>
        <w:spacing w:after="0"/>
        <w:ind w:left="720" w:hanging="720"/>
      </w:pPr>
      <w:r w:rsidRPr="00214AC1">
        <w:t>16.</w:t>
      </w:r>
      <w:r w:rsidRPr="00214AC1">
        <w:tab/>
        <w:t xml:space="preserve">Beiter, P., et al., </w:t>
      </w:r>
      <w:r w:rsidRPr="00214AC1">
        <w:rPr>
          <w:i/>
        </w:rPr>
        <w:t>An Assessment of the Economic Potential of Offshore Wind in the United States from 2015 to 2030.</w:t>
      </w:r>
      <w:r w:rsidRPr="00214AC1">
        <w:t xml:space="preserve"> National Renewable Energy Laboratory, 2017(NREL/TP-6A20-67675).</w:t>
      </w:r>
    </w:p>
    <w:p w14:paraId="08E5F3F8" w14:textId="77777777" w:rsidR="00214AC1" w:rsidRPr="00214AC1" w:rsidRDefault="00214AC1" w:rsidP="00214AC1">
      <w:pPr>
        <w:pStyle w:val="EndNoteBibliography"/>
        <w:spacing w:after="0"/>
        <w:ind w:left="720" w:hanging="720"/>
      </w:pPr>
      <w:r w:rsidRPr="00214AC1">
        <w:t>17.</w:t>
      </w:r>
      <w:r w:rsidRPr="00214AC1">
        <w:tab/>
        <w:t xml:space="preserve">Bosch, J., I. Staffel, and A.D. Hawkes, </w:t>
      </w:r>
      <w:r w:rsidRPr="00214AC1">
        <w:rPr>
          <w:i/>
        </w:rPr>
        <w:t>Temporally explicity and spatially resolved global offshore wind energy potentials.</w:t>
      </w:r>
      <w:r w:rsidRPr="00214AC1">
        <w:t xml:space="preserve"> Energy, 2018. </w:t>
      </w:r>
      <w:r w:rsidRPr="00214AC1">
        <w:rPr>
          <w:b/>
        </w:rPr>
        <w:t>163</w:t>
      </w:r>
      <w:r w:rsidRPr="00214AC1">
        <w:t>: p. 766-781.</w:t>
      </w:r>
    </w:p>
    <w:p w14:paraId="025E25F5" w14:textId="77777777" w:rsidR="00214AC1" w:rsidRPr="00214AC1" w:rsidRDefault="00214AC1" w:rsidP="00214AC1">
      <w:pPr>
        <w:pStyle w:val="EndNoteBibliography"/>
        <w:spacing w:after="0"/>
        <w:ind w:left="720" w:hanging="720"/>
      </w:pPr>
      <w:r w:rsidRPr="00214AC1">
        <w:t>18.</w:t>
      </w:r>
      <w:r w:rsidRPr="00214AC1">
        <w:tab/>
        <w:t xml:space="preserve">Staid, A. and S.D. Guikema, </w:t>
      </w:r>
      <w:r w:rsidRPr="00214AC1">
        <w:rPr>
          <w:i/>
        </w:rPr>
        <w:t>Risk Analysis for U.S. Offshore Wind Farms: The Need for an Integrated Approach.</w:t>
      </w:r>
      <w:r w:rsidRPr="00214AC1">
        <w:t xml:space="preserve"> Risk Analysius, 2015. </w:t>
      </w:r>
      <w:r w:rsidRPr="00214AC1">
        <w:rPr>
          <w:b/>
        </w:rPr>
        <w:t>35</w:t>
      </w:r>
      <w:r w:rsidRPr="00214AC1">
        <w:t>(4): p. 587-593.</w:t>
      </w:r>
    </w:p>
    <w:p w14:paraId="47532EA8" w14:textId="77777777" w:rsidR="00214AC1" w:rsidRPr="00214AC1" w:rsidRDefault="00214AC1" w:rsidP="00214AC1">
      <w:pPr>
        <w:pStyle w:val="EndNoteBibliography"/>
        <w:spacing w:after="0"/>
        <w:ind w:left="720" w:hanging="720"/>
      </w:pPr>
      <w:r w:rsidRPr="00214AC1">
        <w:t>19.</w:t>
      </w:r>
      <w:r w:rsidRPr="00214AC1">
        <w:tab/>
        <w:t xml:space="preserve">Dupont, E., R. Koppelaar, and H. Jeanmart, </w:t>
      </w:r>
      <w:r w:rsidRPr="00214AC1">
        <w:rPr>
          <w:i/>
        </w:rPr>
        <w:t>Global available wind energy with physical and energy return on investment constraints.</w:t>
      </w:r>
      <w:r w:rsidRPr="00214AC1">
        <w:t xml:space="preserve"> Applied Energy, 2018. </w:t>
      </w:r>
      <w:r w:rsidRPr="00214AC1">
        <w:rPr>
          <w:b/>
        </w:rPr>
        <w:t>209</w:t>
      </w:r>
      <w:r w:rsidRPr="00214AC1">
        <w:t>: p. 322-338.</w:t>
      </w:r>
    </w:p>
    <w:p w14:paraId="2D63CA25" w14:textId="77777777" w:rsidR="00214AC1" w:rsidRPr="00214AC1" w:rsidRDefault="00214AC1" w:rsidP="00214AC1">
      <w:pPr>
        <w:pStyle w:val="EndNoteBibliography"/>
        <w:spacing w:after="0"/>
        <w:ind w:left="720" w:hanging="720"/>
      </w:pPr>
      <w:r w:rsidRPr="00214AC1">
        <w:t>20.</w:t>
      </w:r>
      <w:r w:rsidRPr="00214AC1">
        <w:tab/>
        <w:t xml:space="preserve">Huang, F., H. Wang, and B. Wen, </w:t>
      </w:r>
      <w:r w:rsidRPr="00214AC1">
        <w:rPr>
          <w:i/>
        </w:rPr>
        <w:t>A grid-side reactive power control strategy for highly offshore wind power penetrated systems.</w:t>
      </w:r>
      <w:r w:rsidRPr="00214AC1">
        <w:t xml:space="preserve"> Renewable and Sustainable Energy Reviews, 2018. </w:t>
      </w:r>
      <w:r w:rsidRPr="00214AC1">
        <w:rPr>
          <w:b/>
        </w:rPr>
        <w:t>10</w:t>
      </w:r>
      <w:r w:rsidRPr="00214AC1">
        <w:t>.</w:t>
      </w:r>
    </w:p>
    <w:p w14:paraId="34FE2B4A" w14:textId="77777777" w:rsidR="00214AC1" w:rsidRPr="00214AC1" w:rsidRDefault="00214AC1" w:rsidP="00214AC1">
      <w:pPr>
        <w:pStyle w:val="EndNoteBibliography"/>
        <w:spacing w:after="0"/>
        <w:ind w:left="720" w:hanging="720"/>
      </w:pPr>
      <w:r w:rsidRPr="00214AC1">
        <w:t>21.</w:t>
      </w:r>
      <w:r w:rsidRPr="00214AC1">
        <w:tab/>
        <w:t xml:space="preserve">Moller, B., </w:t>
      </w:r>
      <w:r w:rsidRPr="00214AC1">
        <w:rPr>
          <w:i/>
        </w:rPr>
        <w:t>Continuous spatial modelling to analyse planning and economic consequences of offshore wind energy.</w:t>
      </w:r>
      <w:r w:rsidRPr="00214AC1">
        <w:t xml:space="preserve"> Energy Policy, 2011. </w:t>
      </w:r>
      <w:r w:rsidRPr="00214AC1">
        <w:rPr>
          <w:b/>
        </w:rPr>
        <w:t>39</w:t>
      </w:r>
      <w:r w:rsidRPr="00214AC1">
        <w:t>: p. 511-517.</w:t>
      </w:r>
    </w:p>
    <w:p w14:paraId="55D24900" w14:textId="77777777" w:rsidR="00214AC1" w:rsidRPr="00214AC1" w:rsidRDefault="00214AC1" w:rsidP="00214AC1">
      <w:pPr>
        <w:pStyle w:val="EndNoteBibliography"/>
        <w:spacing w:after="0"/>
        <w:ind w:left="720" w:hanging="720"/>
      </w:pPr>
      <w:r w:rsidRPr="00214AC1">
        <w:t>22.</w:t>
      </w:r>
      <w:r w:rsidRPr="00214AC1">
        <w:tab/>
        <w:t xml:space="preserve">Dedecca, J.G., R.A. Hakvoort, and P.M. Herder, </w:t>
      </w:r>
      <w:r w:rsidRPr="00214AC1">
        <w:rPr>
          <w:i/>
        </w:rPr>
        <w:t>Transmission expansion simulation for the European Northern Seas offshore grid.</w:t>
      </w:r>
      <w:r w:rsidRPr="00214AC1">
        <w:t xml:space="preserve"> Energy, 2017. </w:t>
      </w:r>
      <w:r w:rsidRPr="00214AC1">
        <w:rPr>
          <w:b/>
        </w:rPr>
        <w:t>125</w:t>
      </w:r>
      <w:r w:rsidRPr="00214AC1">
        <w:t>: p. 805-824.</w:t>
      </w:r>
    </w:p>
    <w:p w14:paraId="6333BA26" w14:textId="77777777" w:rsidR="00214AC1" w:rsidRPr="00214AC1" w:rsidRDefault="00214AC1" w:rsidP="00214AC1">
      <w:pPr>
        <w:pStyle w:val="EndNoteBibliography"/>
        <w:spacing w:after="0"/>
        <w:ind w:left="720" w:hanging="720"/>
      </w:pPr>
      <w:r w:rsidRPr="00214AC1">
        <w:t>23.</w:t>
      </w:r>
      <w:r w:rsidRPr="00214AC1">
        <w:tab/>
        <w:t xml:space="preserve">Houghton, T., K.R.W. Bell, and M. Doquet, </w:t>
      </w:r>
      <w:r w:rsidRPr="00214AC1">
        <w:rPr>
          <w:i/>
        </w:rPr>
        <w:t>Offshore transmission for wind: Comparing the economic benefits of different offshore network configurations.</w:t>
      </w:r>
      <w:r w:rsidRPr="00214AC1">
        <w:t xml:space="preserve"> Renewable Energy, 2016. </w:t>
      </w:r>
      <w:r w:rsidRPr="00214AC1">
        <w:rPr>
          <w:b/>
        </w:rPr>
        <w:t>94</w:t>
      </w:r>
      <w:r w:rsidRPr="00214AC1">
        <w:t>: p. 268-279.</w:t>
      </w:r>
    </w:p>
    <w:p w14:paraId="6C6C017D" w14:textId="77777777" w:rsidR="00214AC1" w:rsidRPr="00214AC1" w:rsidRDefault="00214AC1" w:rsidP="00214AC1">
      <w:pPr>
        <w:pStyle w:val="EndNoteBibliography"/>
        <w:spacing w:after="0"/>
        <w:ind w:left="720" w:hanging="720"/>
      </w:pPr>
      <w:r w:rsidRPr="00214AC1">
        <w:t>24.</w:t>
      </w:r>
      <w:r w:rsidRPr="00214AC1">
        <w:tab/>
        <w:t xml:space="preserve">Jin, R., et al., </w:t>
      </w:r>
      <w:r w:rsidRPr="00214AC1">
        <w:rPr>
          <w:i/>
        </w:rPr>
        <w:t>Cable routing optimization for offshore wind power plants via wind scenarios considering power loss cost model.</w:t>
      </w:r>
      <w:r w:rsidRPr="00214AC1">
        <w:t xml:space="preserve"> Applied Energy, 2019. </w:t>
      </w:r>
      <w:r w:rsidRPr="00214AC1">
        <w:rPr>
          <w:b/>
        </w:rPr>
        <w:t>254</w:t>
      </w:r>
      <w:r w:rsidRPr="00214AC1">
        <w:t>: p. 113719.</w:t>
      </w:r>
    </w:p>
    <w:p w14:paraId="4617064E" w14:textId="77777777" w:rsidR="00214AC1" w:rsidRPr="00214AC1" w:rsidRDefault="00214AC1" w:rsidP="00214AC1">
      <w:pPr>
        <w:pStyle w:val="EndNoteBibliography"/>
        <w:spacing w:after="0"/>
        <w:ind w:left="720" w:hanging="720"/>
      </w:pPr>
      <w:r w:rsidRPr="00214AC1">
        <w:t>25.</w:t>
      </w:r>
      <w:r w:rsidRPr="00214AC1">
        <w:tab/>
        <w:t xml:space="preserve">Daniel, J.P., et al., </w:t>
      </w:r>
      <w:r w:rsidRPr="00214AC1">
        <w:rPr>
          <w:i/>
        </w:rPr>
        <w:t>National Offshore Wind Energy Grid Interconnection Summary.</w:t>
      </w:r>
      <w:r w:rsidRPr="00214AC1">
        <w:t xml:space="preserve"> U.S. Department of Energy, 2014.</w:t>
      </w:r>
    </w:p>
    <w:p w14:paraId="0FA51354" w14:textId="77777777" w:rsidR="00214AC1" w:rsidRPr="00214AC1" w:rsidRDefault="00214AC1" w:rsidP="00214AC1">
      <w:pPr>
        <w:pStyle w:val="EndNoteBibliography"/>
        <w:spacing w:after="0"/>
        <w:ind w:left="720" w:hanging="720"/>
      </w:pPr>
      <w:r w:rsidRPr="00214AC1">
        <w:t>26.</w:t>
      </w:r>
      <w:r w:rsidRPr="00214AC1">
        <w:tab/>
        <w:t xml:space="preserve">St. John, J., </w:t>
      </w:r>
      <w:r w:rsidRPr="00214AC1">
        <w:rPr>
          <w:i/>
        </w:rPr>
        <w:t>Offshore Wind Reaches Cost-Competitiveness withouth Subsidies</w:t>
      </w:r>
      <w:r w:rsidRPr="00214AC1">
        <w:t xml:space="preserve">, in </w:t>
      </w:r>
      <w:r w:rsidRPr="00214AC1">
        <w:rPr>
          <w:i/>
        </w:rPr>
        <w:t>Greentech Media</w:t>
      </w:r>
      <w:r w:rsidRPr="00214AC1">
        <w:t>. 2017.</w:t>
      </w:r>
    </w:p>
    <w:p w14:paraId="0BD50FAD" w14:textId="1AA1CA15" w:rsidR="00214AC1" w:rsidRPr="00214AC1" w:rsidRDefault="00214AC1" w:rsidP="00214AC1">
      <w:pPr>
        <w:pStyle w:val="EndNoteBibliography"/>
        <w:spacing w:after="0"/>
        <w:ind w:left="720" w:hanging="720"/>
      </w:pPr>
      <w:r w:rsidRPr="00214AC1">
        <w:t>27.</w:t>
      </w:r>
      <w:r w:rsidRPr="00214AC1">
        <w:tab/>
        <w:t xml:space="preserve">General Electric. </w:t>
      </w:r>
      <w:r w:rsidRPr="00214AC1">
        <w:rPr>
          <w:i/>
        </w:rPr>
        <w:t>Haliade-X Offshore Wind Turbine</w:t>
      </w:r>
      <w:r w:rsidRPr="00214AC1">
        <w:t xml:space="preserve">. 2019; Available from: </w:t>
      </w:r>
      <w:hyperlink r:id="rId28" w:history="1">
        <w:r w:rsidRPr="00214AC1">
          <w:rPr>
            <w:rStyle w:val="Hyperlink"/>
          </w:rPr>
          <w:t>https://www.ge.com/renewableenergy/wind-energy/offshore-wind/haliade-x-offshore-turbine</w:t>
        </w:r>
      </w:hyperlink>
      <w:r w:rsidRPr="00214AC1">
        <w:t>.</w:t>
      </w:r>
    </w:p>
    <w:p w14:paraId="77C470D9" w14:textId="77777777" w:rsidR="00214AC1" w:rsidRPr="00214AC1" w:rsidRDefault="00214AC1" w:rsidP="00214AC1">
      <w:pPr>
        <w:pStyle w:val="EndNoteBibliography"/>
        <w:spacing w:after="0"/>
        <w:ind w:left="720" w:hanging="720"/>
      </w:pPr>
      <w:r w:rsidRPr="00214AC1">
        <w:t>28.</w:t>
      </w:r>
      <w:r w:rsidRPr="00214AC1">
        <w:tab/>
        <w:t xml:space="preserve">Lazard, </w:t>
      </w:r>
      <w:r w:rsidRPr="00214AC1">
        <w:rPr>
          <w:i/>
        </w:rPr>
        <w:t>Lazard's Levelized Cost fo Energy Analysis - Version 12.0</w:t>
      </w:r>
      <w:r w:rsidRPr="00214AC1">
        <w:t>. 2018.</w:t>
      </w:r>
    </w:p>
    <w:p w14:paraId="58421A0E" w14:textId="77777777" w:rsidR="00214AC1" w:rsidRPr="00214AC1" w:rsidRDefault="00214AC1" w:rsidP="00214AC1">
      <w:pPr>
        <w:pStyle w:val="EndNoteBibliography"/>
        <w:spacing w:after="0"/>
        <w:ind w:left="720" w:hanging="720"/>
      </w:pPr>
      <w:r w:rsidRPr="00214AC1">
        <w:t>29.</w:t>
      </w:r>
      <w:r w:rsidRPr="00214AC1">
        <w:tab/>
        <w:t xml:space="preserve">Mora, E.B., et al., </w:t>
      </w:r>
      <w:r w:rsidRPr="00214AC1">
        <w:rPr>
          <w:i/>
        </w:rPr>
        <w:t>The effects of mean wind speed uncertainty on project finance debt sizing for offshore wind farms.</w:t>
      </w:r>
      <w:r w:rsidRPr="00214AC1">
        <w:t xml:space="preserve"> Applied Energy, 2019. </w:t>
      </w:r>
      <w:r w:rsidRPr="00214AC1">
        <w:rPr>
          <w:b/>
        </w:rPr>
        <w:t>252</w:t>
      </w:r>
      <w:r w:rsidRPr="00214AC1">
        <w:t>: p. 113419.</w:t>
      </w:r>
    </w:p>
    <w:p w14:paraId="2D610AF6" w14:textId="77777777" w:rsidR="00214AC1" w:rsidRPr="00214AC1" w:rsidRDefault="00214AC1" w:rsidP="00214AC1">
      <w:pPr>
        <w:pStyle w:val="EndNoteBibliography"/>
        <w:spacing w:after="0"/>
        <w:ind w:left="720" w:hanging="720"/>
      </w:pPr>
      <w:r w:rsidRPr="00214AC1">
        <w:t>30.</w:t>
      </w:r>
      <w:r w:rsidRPr="00214AC1">
        <w:tab/>
        <w:t xml:space="preserve">AWEA, </w:t>
      </w:r>
      <w:r w:rsidRPr="00214AC1">
        <w:rPr>
          <w:i/>
        </w:rPr>
        <w:t>U.S. Offshore Wind Industry Status Update</w:t>
      </w:r>
      <w:r w:rsidRPr="00214AC1">
        <w:t>, A.W.E. Association, Editor. 2019.</w:t>
      </w:r>
    </w:p>
    <w:p w14:paraId="1887FBF0" w14:textId="77777777" w:rsidR="00214AC1" w:rsidRPr="00214AC1" w:rsidRDefault="00214AC1" w:rsidP="00214AC1">
      <w:pPr>
        <w:pStyle w:val="EndNoteBibliography"/>
        <w:spacing w:after="0"/>
        <w:ind w:left="720" w:hanging="720"/>
      </w:pPr>
      <w:r w:rsidRPr="00214AC1">
        <w:lastRenderedPageBreak/>
        <w:t>31.</w:t>
      </w:r>
      <w:r w:rsidRPr="00214AC1">
        <w:tab/>
        <w:t xml:space="preserve">Castle Wind, </w:t>
      </w:r>
      <w:r w:rsidRPr="00214AC1">
        <w:rPr>
          <w:i/>
        </w:rPr>
        <w:t>Castle Wind and Monterey Bay Community Power Sign Agreement in Anticipation of Offshore Wind Project Off the Coast of Morro Bay</w:t>
      </w:r>
      <w:r w:rsidRPr="00214AC1">
        <w:t>. 2019, Castle Wind.</w:t>
      </w:r>
    </w:p>
    <w:p w14:paraId="22FA8B39" w14:textId="77777777" w:rsidR="00214AC1" w:rsidRPr="00214AC1" w:rsidRDefault="00214AC1" w:rsidP="00214AC1">
      <w:pPr>
        <w:pStyle w:val="EndNoteBibliography"/>
        <w:spacing w:after="0"/>
        <w:ind w:left="720" w:hanging="720"/>
      </w:pPr>
      <w:r w:rsidRPr="00214AC1">
        <w:t>32.</w:t>
      </w:r>
      <w:r w:rsidRPr="00214AC1">
        <w:tab/>
      </w:r>
      <w:r w:rsidRPr="00214AC1">
        <w:rPr>
          <w:i/>
        </w:rPr>
        <w:t>An Act Concerning the Procurement of Energy Derived from Offshore Wind</w:t>
      </w:r>
      <w:r w:rsidRPr="00214AC1">
        <w:t>. 2019.</w:t>
      </w:r>
    </w:p>
    <w:p w14:paraId="3F77AD2D" w14:textId="77777777" w:rsidR="00214AC1" w:rsidRPr="00214AC1" w:rsidRDefault="00214AC1" w:rsidP="00214AC1">
      <w:pPr>
        <w:pStyle w:val="EndNoteBibliography"/>
        <w:spacing w:after="0"/>
        <w:ind w:left="720" w:hanging="720"/>
      </w:pPr>
      <w:r w:rsidRPr="00214AC1">
        <w:t>33.</w:t>
      </w:r>
      <w:r w:rsidRPr="00214AC1">
        <w:tab/>
      </w:r>
      <w:r w:rsidRPr="00214AC1">
        <w:rPr>
          <w:i/>
        </w:rPr>
        <w:t>An Act Concerning Clean Energy Jobs</w:t>
      </w:r>
      <w:r w:rsidRPr="00214AC1">
        <w:t>. 2019.</w:t>
      </w:r>
    </w:p>
    <w:p w14:paraId="1A053783" w14:textId="77777777" w:rsidR="00214AC1" w:rsidRPr="00214AC1" w:rsidRDefault="00214AC1" w:rsidP="00214AC1">
      <w:pPr>
        <w:pStyle w:val="EndNoteBibliography"/>
        <w:spacing w:after="0"/>
        <w:ind w:left="720" w:hanging="720"/>
      </w:pPr>
      <w:r w:rsidRPr="00214AC1">
        <w:t>34.</w:t>
      </w:r>
      <w:r w:rsidRPr="00214AC1">
        <w:tab/>
      </w:r>
      <w:r w:rsidRPr="00214AC1">
        <w:rPr>
          <w:i/>
        </w:rPr>
        <w:t>An Act to Advance Clean Energy</w:t>
      </w:r>
      <w:r w:rsidRPr="00214AC1">
        <w:t>. 2018.</w:t>
      </w:r>
    </w:p>
    <w:p w14:paraId="4592A819" w14:textId="77777777" w:rsidR="00214AC1" w:rsidRPr="00214AC1" w:rsidRDefault="00214AC1" w:rsidP="00214AC1">
      <w:pPr>
        <w:pStyle w:val="EndNoteBibliography"/>
        <w:spacing w:after="0"/>
        <w:ind w:left="720" w:hanging="720"/>
      </w:pPr>
      <w:r w:rsidRPr="00214AC1">
        <w:t>35.</w:t>
      </w:r>
      <w:r w:rsidRPr="00214AC1">
        <w:tab/>
        <w:t xml:space="preserve">NJ Board of Public Utilities, </w:t>
      </w:r>
      <w:r w:rsidRPr="00214AC1">
        <w:rPr>
          <w:i/>
        </w:rPr>
        <w:t>New Jersey Board of Public Utilities Awards Historic 1,100 MW Offshore Wind Soliciation to Orstead's Ocean Wind Project</w:t>
      </w:r>
      <w:r w:rsidRPr="00214AC1">
        <w:t>, S.o.N.J.B.o.P. Utilities, Editor. 2019.</w:t>
      </w:r>
    </w:p>
    <w:p w14:paraId="22C4C8A0" w14:textId="77777777" w:rsidR="00214AC1" w:rsidRPr="00214AC1" w:rsidRDefault="00214AC1" w:rsidP="00214AC1">
      <w:pPr>
        <w:pStyle w:val="EndNoteBibliography"/>
        <w:spacing w:after="0"/>
        <w:ind w:left="720" w:hanging="720"/>
      </w:pPr>
      <w:r w:rsidRPr="00214AC1">
        <w:t>36.</w:t>
      </w:r>
      <w:r w:rsidRPr="00214AC1">
        <w:tab/>
      </w:r>
      <w:r w:rsidRPr="00214AC1">
        <w:rPr>
          <w:i/>
        </w:rPr>
        <w:t>Climate Leadership and Community Protection Act</w:t>
      </w:r>
      <w:r w:rsidRPr="00214AC1">
        <w:t>. 2019.</w:t>
      </w:r>
    </w:p>
    <w:p w14:paraId="5989967D" w14:textId="49B99E9A" w:rsidR="00214AC1" w:rsidRPr="00214AC1" w:rsidRDefault="00214AC1" w:rsidP="00214AC1">
      <w:pPr>
        <w:pStyle w:val="EndNoteBibliography"/>
        <w:spacing w:after="0"/>
        <w:ind w:left="720" w:hanging="720"/>
      </w:pPr>
      <w:r w:rsidRPr="00214AC1">
        <w:t>37.</w:t>
      </w:r>
      <w:r w:rsidRPr="00214AC1">
        <w:tab/>
        <w:t xml:space="preserve">Dominion Energy, </w:t>
      </w:r>
      <w:r w:rsidRPr="00214AC1">
        <w:rPr>
          <w:i/>
        </w:rPr>
        <w:t>Dominion Energy Announces Largest Offshore Wind Project in US</w:t>
      </w:r>
      <w:r w:rsidRPr="00214AC1">
        <w:t xml:space="preserve">. 2019: </w:t>
      </w:r>
      <w:hyperlink r:id="rId29" w:history="1">
        <w:r w:rsidRPr="00214AC1">
          <w:rPr>
            <w:rStyle w:val="Hyperlink"/>
          </w:rPr>
          <w:t>https://www.virginiamercury.com/2019/09/24/four-things-to-know-about-dominions-massive-wind-farm-proposal/</w:t>
        </w:r>
      </w:hyperlink>
      <w:r w:rsidRPr="00214AC1">
        <w:t>.</w:t>
      </w:r>
    </w:p>
    <w:p w14:paraId="73A58B10" w14:textId="77777777" w:rsidR="00214AC1" w:rsidRPr="00214AC1" w:rsidRDefault="00214AC1" w:rsidP="00214AC1">
      <w:pPr>
        <w:pStyle w:val="EndNoteBibliography"/>
        <w:spacing w:after="0"/>
        <w:ind w:left="720" w:hanging="720"/>
      </w:pPr>
      <w:r w:rsidRPr="00214AC1">
        <w:t>38.</w:t>
      </w:r>
      <w:r w:rsidRPr="00214AC1">
        <w:tab/>
        <w:t xml:space="preserve">Liu, J., et al., </w:t>
      </w:r>
      <w:r w:rsidRPr="00214AC1">
        <w:rPr>
          <w:i/>
        </w:rPr>
        <w:t>Mitigation pathways of air pollution from residential emissions in the Beijing-Tianjin-Hebei region in China.</w:t>
      </w:r>
      <w:r w:rsidRPr="00214AC1">
        <w:t xml:space="preserve"> Environment International, 2019. </w:t>
      </w:r>
      <w:r w:rsidRPr="00214AC1">
        <w:rPr>
          <w:b/>
        </w:rPr>
        <w:t>125</w:t>
      </w:r>
      <w:r w:rsidRPr="00214AC1">
        <w:t>: p. 236-244.</w:t>
      </w:r>
    </w:p>
    <w:p w14:paraId="05C749DB" w14:textId="77777777" w:rsidR="00214AC1" w:rsidRPr="00214AC1" w:rsidRDefault="00214AC1" w:rsidP="00214AC1">
      <w:pPr>
        <w:pStyle w:val="EndNoteBibliography"/>
        <w:spacing w:after="0"/>
        <w:ind w:left="720" w:hanging="720"/>
      </w:pPr>
      <w:r w:rsidRPr="00214AC1">
        <w:t>39.</w:t>
      </w:r>
      <w:r w:rsidRPr="00214AC1">
        <w:tab/>
        <w:t xml:space="preserve">Guan, D., et al., </w:t>
      </w:r>
      <w:r w:rsidRPr="00214AC1">
        <w:rPr>
          <w:i/>
        </w:rPr>
        <w:t>Structural decline in China’s CO2 emissions through transitions in industry and energy systems.</w:t>
      </w:r>
      <w:r w:rsidRPr="00214AC1">
        <w:t xml:space="preserve"> Nature Geoscience, 2018. </w:t>
      </w:r>
      <w:r w:rsidRPr="00214AC1">
        <w:rPr>
          <w:b/>
        </w:rPr>
        <w:t>11</w:t>
      </w:r>
      <w:r w:rsidRPr="00214AC1">
        <w:t>(8): p. 551-555.</w:t>
      </w:r>
    </w:p>
    <w:p w14:paraId="38EF8743" w14:textId="77777777" w:rsidR="00214AC1" w:rsidRPr="00214AC1" w:rsidRDefault="00214AC1" w:rsidP="00214AC1">
      <w:pPr>
        <w:pStyle w:val="EndNoteBibliography"/>
        <w:spacing w:after="0"/>
        <w:ind w:left="720" w:hanging="720"/>
      </w:pPr>
      <w:r w:rsidRPr="00214AC1">
        <w:t>40.</w:t>
      </w:r>
      <w:r w:rsidRPr="00214AC1">
        <w:tab/>
        <w:t xml:space="preserve">Lu, X., et al., </w:t>
      </w:r>
      <w:r w:rsidRPr="00214AC1">
        <w:rPr>
          <w:i/>
        </w:rPr>
        <w:t>Opportunity for Offshore Wind to Reduce Future Demand for Coal-Fired Power Plants in China with Consequent Savings in Emissions of CO2.</w:t>
      </w:r>
      <w:r w:rsidRPr="00214AC1">
        <w:t xml:space="preserve"> Environmental Science and Technology, 2014. </w:t>
      </w:r>
      <w:r w:rsidRPr="00214AC1">
        <w:rPr>
          <w:b/>
        </w:rPr>
        <w:t>48</w:t>
      </w:r>
      <w:r w:rsidRPr="00214AC1">
        <w:t>: p. 14764-14771.</w:t>
      </w:r>
    </w:p>
    <w:p w14:paraId="18D68D78" w14:textId="77777777" w:rsidR="00214AC1" w:rsidRPr="00214AC1" w:rsidRDefault="00214AC1" w:rsidP="00214AC1">
      <w:pPr>
        <w:pStyle w:val="EndNoteBibliography"/>
        <w:spacing w:after="0"/>
        <w:ind w:left="720" w:hanging="720"/>
      </w:pPr>
      <w:r w:rsidRPr="00214AC1">
        <w:t>41.</w:t>
      </w:r>
      <w:r w:rsidRPr="00214AC1">
        <w:tab/>
        <w:t xml:space="preserve">Zeng, J., et al., </w:t>
      </w:r>
      <w:r w:rsidRPr="00214AC1">
        <w:rPr>
          <w:i/>
        </w:rPr>
        <w:t>The impacts of China's provincial energy policies on major air pollutants: A spatial econometric analysis.</w:t>
      </w:r>
      <w:r w:rsidRPr="00214AC1">
        <w:t xml:space="preserve"> Energy Policy, 2019. </w:t>
      </w:r>
      <w:r w:rsidRPr="00214AC1">
        <w:rPr>
          <w:b/>
        </w:rPr>
        <w:t>132</w:t>
      </w:r>
      <w:r w:rsidRPr="00214AC1">
        <w:t>: p. 392-403.</w:t>
      </w:r>
    </w:p>
    <w:p w14:paraId="062C5D62" w14:textId="77777777" w:rsidR="00214AC1" w:rsidRPr="00214AC1" w:rsidRDefault="00214AC1" w:rsidP="00214AC1">
      <w:pPr>
        <w:pStyle w:val="EndNoteBibliography"/>
        <w:spacing w:after="0"/>
        <w:ind w:left="720" w:hanging="720"/>
      </w:pPr>
      <w:r w:rsidRPr="00214AC1">
        <w:t>42.</w:t>
      </w:r>
      <w:r w:rsidRPr="00214AC1">
        <w:tab/>
        <w:t xml:space="preserve">Lu, X., et al., </w:t>
      </w:r>
      <w:r w:rsidRPr="00214AC1">
        <w:rPr>
          <w:i/>
        </w:rPr>
        <w:t>Optimal integration of offshore wind power for a steadier, environmentally friendlier, supply of electricity in China.</w:t>
      </w:r>
      <w:r w:rsidRPr="00214AC1">
        <w:t xml:space="preserve"> Energy Policy, 2013. </w:t>
      </w:r>
      <w:r w:rsidRPr="00214AC1">
        <w:rPr>
          <w:b/>
        </w:rPr>
        <w:t>62</w:t>
      </w:r>
      <w:r w:rsidRPr="00214AC1">
        <w:t>: p. 131-138.</w:t>
      </w:r>
    </w:p>
    <w:p w14:paraId="24FDD8EA" w14:textId="77777777" w:rsidR="00214AC1" w:rsidRPr="00214AC1" w:rsidRDefault="00214AC1" w:rsidP="00214AC1">
      <w:pPr>
        <w:pStyle w:val="EndNoteBibliography"/>
        <w:spacing w:after="0"/>
        <w:ind w:left="720" w:hanging="720"/>
      </w:pPr>
      <w:r w:rsidRPr="00214AC1">
        <w:t>43.</w:t>
      </w:r>
      <w:r w:rsidRPr="00214AC1">
        <w:tab/>
        <w:t xml:space="preserve">Cali, U., et al., </w:t>
      </w:r>
      <w:r w:rsidRPr="00214AC1">
        <w:rPr>
          <w:i/>
        </w:rPr>
        <w:t>Techno-economic analysis of high potential offshore wind farm locations in Turkey.</w:t>
      </w:r>
      <w:r w:rsidRPr="00214AC1">
        <w:t xml:space="preserve"> Energy Strategy Reviews, 2018.</w:t>
      </w:r>
    </w:p>
    <w:p w14:paraId="2FC8222B" w14:textId="77777777" w:rsidR="00214AC1" w:rsidRPr="00214AC1" w:rsidRDefault="00214AC1" w:rsidP="00214AC1">
      <w:pPr>
        <w:pStyle w:val="EndNoteBibliography"/>
        <w:spacing w:after="0"/>
        <w:ind w:left="720" w:hanging="720"/>
      </w:pPr>
      <w:r w:rsidRPr="00214AC1">
        <w:t>44.</w:t>
      </w:r>
      <w:r w:rsidRPr="00214AC1">
        <w:tab/>
        <w:t xml:space="preserve">Clancy, J.M., et al., </w:t>
      </w:r>
      <w:r w:rsidRPr="00214AC1">
        <w:rPr>
          <w:i/>
        </w:rPr>
        <w:t>Fossil fuel and CO2 emissions savings on a high renewable electricity system - A single year case study for Ireland.</w:t>
      </w:r>
      <w:r w:rsidRPr="00214AC1">
        <w:t xml:space="preserve"> Energy Policy, 2015. </w:t>
      </w:r>
      <w:r w:rsidRPr="00214AC1">
        <w:rPr>
          <w:b/>
        </w:rPr>
        <w:t>83</w:t>
      </w:r>
      <w:r w:rsidRPr="00214AC1">
        <w:t>: p. 151-164.</w:t>
      </w:r>
    </w:p>
    <w:p w14:paraId="41EE432A" w14:textId="77777777" w:rsidR="00214AC1" w:rsidRPr="00214AC1" w:rsidRDefault="00214AC1" w:rsidP="00214AC1">
      <w:pPr>
        <w:pStyle w:val="EndNoteBibliography"/>
        <w:spacing w:after="0"/>
        <w:ind w:left="720" w:hanging="720"/>
      </w:pPr>
      <w:r w:rsidRPr="00214AC1">
        <w:t>45.</w:t>
      </w:r>
      <w:r w:rsidRPr="00214AC1">
        <w:tab/>
        <w:t xml:space="preserve">Lu, X., et al., </w:t>
      </w:r>
      <w:r w:rsidRPr="00214AC1">
        <w:rPr>
          <w:i/>
        </w:rPr>
        <w:t>Challenges faced by China compared with the US in developing wind power.</w:t>
      </w:r>
      <w:r w:rsidRPr="00214AC1">
        <w:t xml:space="preserve"> Nature Energy, 2016. </w:t>
      </w:r>
      <w:r w:rsidRPr="00214AC1">
        <w:rPr>
          <w:b/>
        </w:rPr>
        <w:t>1</w:t>
      </w:r>
      <w:r w:rsidRPr="00214AC1">
        <w:t>(6): p. 16061.</w:t>
      </w:r>
    </w:p>
    <w:p w14:paraId="706BA3FE" w14:textId="77777777" w:rsidR="00214AC1" w:rsidRPr="00214AC1" w:rsidRDefault="00214AC1" w:rsidP="00214AC1">
      <w:pPr>
        <w:pStyle w:val="EndNoteBibliography"/>
        <w:spacing w:after="0"/>
        <w:ind w:left="720" w:hanging="720"/>
      </w:pPr>
      <w:r w:rsidRPr="00214AC1">
        <w:t>46.</w:t>
      </w:r>
      <w:r w:rsidRPr="00214AC1">
        <w:tab/>
        <w:t xml:space="preserve">Holttinen, H. and S. Tuhkanen, </w:t>
      </w:r>
      <w:r w:rsidRPr="00214AC1">
        <w:rPr>
          <w:i/>
        </w:rPr>
        <w:t>The effect of wind power of CO2 abatement in the Nordic Countries.</w:t>
      </w:r>
      <w:r w:rsidRPr="00214AC1">
        <w:t xml:space="preserve"> Energy Policy, 2004. </w:t>
      </w:r>
      <w:r w:rsidRPr="00214AC1">
        <w:rPr>
          <w:b/>
        </w:rPr>
        <w:t>32</w:t>
      </w:r>
      <w:r w:rsidRPr="00214AC1">
        <w:t>: p. 1639-1652.</w:t>
      </w:r>
    </w:p>
    <w:p w14:paraId="6CAB452B" w14:textId="77777777" w:rsidR="00214AC1" w:rsidRPr="00214AC1" w:rsidRDefault="00214AC1" w:rsidP="00214AC1">
      <w:pPr>
        <w:pStyle w:val="EndNoteBibliography"/>
        <w:spacing w:after="0"/>
        <w:ind w:left="720" w:hanging="720"/>
      </w:pPr>
      <w:r w:rsidRPr="00214AC1">
        <w:t>47.</w:t>
      </w:r>
      <w:r w:rsidRPr="00214AC1">
        <w:tab/>
        <w:t xml:space="preserve">Zhang, S., et al., </w:t>
      </w:r>
      <w:r w:rsidRPr="00214AC1">
        <w:rPr>
          <w:i/>
        </w:rPr>
        <w:t>Modeling energy efficiency to improve air quality and health effects of China's cement industry.</w:t>
      </w:r>
      <w:r w:rsidRPr="00214AC1">
        <w:t xml:space="preserve"> Applied Energy, 2016.</w:t>
      </w:r>
    </w:p>
    <w:p w14:paraId="0226ABE5" w14:textId="77777777" w:rsidR="00214AC1" w:rsidRPr="00214AC1" w:rsidRDefault="00214AC1" w:rsidP="00214AC1">
      <w:pPr>
        <w:pStyle w:val="EndNoteBibliography"/>
        <w:spacing w:after="0"/>
        <w:ind w:left="720" w:hanging="720"/>
      </w:pPr>
      <w:r w:rsidRPr="00214AC1">
        <w:t>48.</w:t>
      </w:r>
      <w:r w:rsidRPr="00214AC1">
        <w:tab/>
        <w:t xml:space="preserve">Peng, W., et al., </w:t>
      </w:r>
      <w:r w:rsidRPr="00214AC1">
        <w:rPr>
          <w:i/>
        </w:rPr>
        <w:t>Substantial air quality and climate co-benefits achievable now with sectoral mitigation strategies in China.</w:t>
      </w:r>
      <w:r w:rsidRPr="00214AC1">
        <w:t xml:space="preserve"> Science of the Total Environment, 2017. </w:t>
      </w:r>
      <w:r w:rsidRPr="00214AC1">
        <w:rPr>
          <w:b/>
        </w:rPr>
        <w:t>598</w:t>
      </w:r>
      <w:r w:rsidRPr="00214AC1">
        <w:t>: p. 1076-1084.</w:t>
      </w:r>
    </w:p>
    <w:p w14:paraId="467B43B9" w14:textId="77777777" w:rsidR="00214AC1" w:rsidRPr="00214AC1" w:rsidRDefault="00214AC1" w:rsidP="00214AC1">
      <w:pPr>
        <w:pStyle w:val="EndNoteBibliography"/>
        <w:spacing w:after="0"/>
        <w:ind w:left="720" w:hanging="720"/>
      </w:pPr>
      <w:r w:rsidRPr="00214AC1">
        <w:t>49.</w:t>
      </w:r>
      <w:r w:rsidRPr="00214AC1">
        <w:tab/>
        <w:t xml:space="preserve">Xie, Y., et al., </w:t>
      </w:r>
      <w:r w:rsidRPr="00214AC1">
        <w:rPr>
          <w:i/>
        </w:rPr>
        <w:t>Co-benefits of climate mitigation on air quality and human health in Asian countries.</w:t>
      </w:r>
      <w:r w:rsidRPr="00214AC1">
        <w:t xml:space="preserve"> Environment International, 2018. </w:t>
      </w:r>
      <w:r w:rsidRPr="00214AC1">
        <w:rPr>
          <w:b/>
        </w:rPr>
        <w:t>119</w:t>
      </w:r>
      <w:r w:rsidRPr="00214AC1">
        <w:t>: p. 309-318.</w:t>
      </w:r>
    </w:p>
    <w:p w14:paraId="5B30B01F" w14:textId="77777777" w:rsidR="00214AC1" w:rsidRPr="00214AC1" w:rsidRDefault="00214AC1" w:rsidP="00214AC1">
      <w:pPr>
        <w:pStyle w:val="EndNoteBibliography"/>
        <w:spacing w:after="0"/>
        <w:ind w:left="720" w:hanging="720"/>
      </w:pPr>
      <w:r w:rsidRPr="00214AC1">
        <w:t>50.</w:t>
      </w:r>
      <w:r w:rsidRPr="00214AC1">
        <w:tab/>
        <w:t xml:space="preserve">Peng, W., et al., </w:t>
      </w:r>
      <w:r w:rsidRPr="00214AC1">
        <w:rPr>
          <w:i/>
        </w:rPr>
        <w:t>Potential co-benefits of electrification for air quality, health, and CO2 mitigation in 2030 China.</w:t>
      </w:r>
      <w:r w:rsidRPr="00214AC1">
        <w:t xml:space="preserve"> Applied Energy, 2018. </w:t>
      </w:r>
      <w:r w:rsidRPr="00214AC1">
        <w:rPr>
          <w:b/>
        </w:rPr>
        <w:t>218</w:t>
      </w:r>
      <w:r w:rsidRPr="00214AC1">
        <w:t>: p. 511-519.</w:t>
      </w:r>
    </w:p>
    <w:p w14:paraId="446C1875" w14:textId="77777777" w:rsidR="00214AC1" w:rsidRPr="00214AC1" w:rsidRDefault="00214AC1" w:rsidP="00214AC1">
      <w:pPr>
        <w:pStyle w:val="EndNoteBibliography"/>
        <w:spacing w:after="0"/>
        <w:ind w:left="720" w:hanging="720"/>
      </w:pPr>
      <w:r w:rsidRPr="00214AC1">
        <w:t>51.</w:t>
      </w:r>
      <w:r w:rsidRPr="00214AC1">
        <w:tab/>
        <w:t xml:space="preserve">Yang, J., D. Song, and F. Wu, </w:t>
      </w:r>
      <w:r w:rsidRPr="00214AC1">
        <w:rPr>
          <w:i/>
        </w:rPr>
        <w:t>Regional variations of environmental co-benefits of wind power generation in China.</w:t>
      </w:r>
      <w:r w:rsidRPr="00214AC1">
        <w:t xml:space="preserve"> Applied Energy, 2017. </w:t>
      </w:r>
      <w:r w:rsidRPr="00214AC1">
        <w:rPr>
          <w:b/>
        </w:rPr>
        <w:t>206</w:t>
      </w:r>
      <w:r w:rsidRPr="00214AC1">
        <w:t>: p. 1267-1281.</w:t>
      </w:r>
    </w:p>
    <w:p w14:paraId="66B68E98" w14:textId="77777777" w:rsidR="00214AC1" w:rsidRPr="00214AC1" w:rsidRDefault="00214AC1" w:rsidP="00214AC1">
      <w:pPr>
        <w:pStyle w:val="EndNoteBibliography"/>
        <w:spacing w:after="0"/>
        <w:ind w:left="720" w:hanging="720"/>
      </w:pPr>
      <w:r w:rsidRPr="00214AC1">
        <w:t>52.</w:t>
      </w:r>
      <w:r w:rsidRPr="00214AC1">
        <w:tab/>
        <w:t xml:space="preserve">Yang, J., </w:t>
      </w:r>
      <w:r w:rsidRPr="00214AC1">
        <w:rPr>
          <w:i/>
        </w:rPr>
        <w:t>Environmental and Climate Change Co-Benefits Analysis of Wind Power Generation in China.</w:t>
      </w:r>
      <w:r w:rsidRPr="00214AC1">
        <w:t xml:space="preserve"> Energy Procedia, 2016. </w:t>
      </w:r>
      <w:r w:rsidRPr="00214AC1">
        <w:rPr>
          <w:b/>
        </w:rPr>
        <w:t>88</w:t>
      </w:r>
      <w:r w:rsidRPr="00214AC1">
        <w:t>: p. 76-81.</w:t>
      </w:r>
    </w:p>
    <w:p w14:paraId="4459803B" w14:textId="77777777" w:rsidR="00214AC1" w:rsidRPr="00214AC1" w:rsidRDefault="00214AC1" w:rsidP="00214AC1">
      <w:pPr>
        <w:pStyle w:val="EndNoteBibliography"/>
        <w:spacing w:after="0"/>
        <w:ind w:left="720" w:hanging="720"/>
      </w:pPr>
      <w:r w:rsidRPr="00214AC1">
        <w:lastRenderedPageBreak/>
        <w:t>53.</w:t>
      </w:r>
      <w:r w:rsidRPr="00214AC1">
        <w:tab/>
        <w:t xml:space="preserve">Yuan, J., Z. Yuan, and X. Ou, </w:t>
      </w:r>
      <w:r w:rsidRPr="00214AC1">
        <w:rPr>
          <w:i/>
        </w:rPr>
        <w:t>Modeling of environmental benefit evaluation of energy transition to multi-energy complementary system.</w:t>
      </w:r>
      <w:r w:rsidRPr="00214AC1">
        <w:t xml:space="preserve"> Energy Procedia, 2019. </w:t>
      </w:r>
      <w:r w:rsidRPr="00214AC1">
        <w:rPr>
          <w:b/>
        </w:rPr>
        <w:t>158</w:t>
      </w:r>
      <w:r w:rsidRPr="00214AC1">
        <w:t>: p. 4882-4888.</w:t>
      </w:r>
    </w:p>
    <w:p w14:paraId="2E481CE9" w14:textId="77777777" w:rsidR="00214AC1" w:rsidRPr="00214AC1" w:rsidRDefault="00214AC1" w:rsidP="00214AC1">
      <w:pPr>
        <w:pStyle w:val="EndNoteBibliography"/>
        <w:spacing w:after="0"/>
        <w:ind w:left="720" w:hanging="720"/>
      </w:pPr>
      <w:r w:rsidRPr="00214AC1">
        <w:t>54.</w:t>
      </w:r>
      <w:r w:rsidRPr="00214AC1">
        <w:tab/>
        <w:t xml:space="preserve">Ou, Y., et al., </w:t>
      </w:r>
      <w:r w:rsidRPr="00214AC1">
        <w:rPr>
          <w:i/>
        </w:rPr>
        <w:t>Estimating environmental co-benefits of U.S. low-carbon pathways using an integrated assessment model with state-level resolution.</w:t>
      </w:r>
      <w:r w:rsidRPr="00214AC1">
        <w:t xml:space="preserve"> Applied Energy, 2018. </w:t>
      </w:r>
      <w:r w:rsidRPr="00214AC1">
        <w:rPr>
          <w:b/>
        </w:rPr>
        <w:t>216</w:t>
      </w:r>
      <w:r w:rsidRPr="00214AC1">
        <w:t>: p. 482-493.</w:t>
      </w:r>
    </w:p>
    <w:p w14:paraId="059D079C" w14:textId="77777777" w:rsidR="00214AC1" w:rsidRPr="00214AC1" w:rsidRDefault="00214AC1" w:rsidP="00214AC1">
      <w:pPr>
        <w:pStyle w:val="EndNoteBibliography"/>
        <w:spacing w:after="0"/>
        <w:ind w:left="720" w:hanging="720"/>
      </w:pPr>
      <w:r w:rsidRPr="00214AC1">
        <w:t>55.</w:t>
      </w:r>
      <w:r w:rsidRPr="00214AC1">
        <w:tab/>
        <w:t xml:space="preserve">Dimanchev, E.G., et al., </w:t>
      </w:r>
      <w:r w:rsidRPr="00214AC1">
        <w:rPr>
          <w:i/>
        </w:rPr>
        <w:t>Health co-benefits of sub-national renewable energy policy in the US.</w:t>
      </w:r>
      <w:r w:rsidRPr="00214AC1">
        <w:t xml:space="preserve"> Environmental Research Letters, 2019. </w:t>
      </w:r>
      <w:r w:rsidRPr="00214AC1">
        <w:rPr>
          <w:b/>
        </w:rPr>
        <w:t>14</w:t>
      </w:r>
      <w:r w:rsidRPr="00214AC1">
        <w:t>.</w:t>
      </w:r>
    </w:p>
    <w:p w14:paraId="03B5869B" w14:textId="77777777" w:rsidR="00214AC1" w:rsidRPr="00214AC1" w:rsidRDefault="00214AC1" w:rsidP="00214AC1">
      <w:pPr>
        <w:pStyle w:val="EndNoteBibliography"/>
        <w:spacing w:after="0"/>
        <w:ind w:left="720" w:hanging="720"/>
      </w:pPr>
      <w:r w:rsidRPr="00214AC1">
        <w:t>56.</w:t>
      </w:r>
      <w:r w:rsidRPr="00214AC1">
        <w:tab/>
        <w:t xml:space="preserve">Novan, K., </w:t>
      </w:r>
      <w:r w:rsidRPr="00214AC1">
        <w:rPr>
          <w:i/>
        </w:rPr>
        <w:t>Valuing the Wind: Renewable Energy Policies and Air Pollution Avoided.</w:t>
      </w:r>
      <w:r w:rsidRPr="00214AC1">
        <w:t xml:space="preserve"> American Economic Journal: Economic Policy, 2015. </w:t>
      </w:r>
      <w:r w:rsidRPr="00214AC1">
        <w:rPr>
          <w:b/>
        </w:rPr>
        <w:t>7</w:t>
      </w:r>
      <w:r w:rsidRPr="00214AC1">
        <w:t>(3): p. 291-326.</w:t>
      </w:r>
    </w:p>
    <w:p w14:paraId="34055DC1" w14:textId="77777777" w:rsidR="00214AC1" w:rsidRPr="00214AC1" w:rsidRDefault="00214AC1" w:rsidP="00214AC1">
      <w:pPr>
        <w:pStyle w:val="EndNoteBibliography"/>
        <w:spacing w:after="0"/>
        <w:ind w:left="720" w:hanging="720"/>
      </w:pPr>
      <w:r w:rsidRPr="00214AC1">
        <w:t>57.</w:t>
      </w:r>
      <w:r w:rsidRPr="00214AC1">
        <w:tab/>
        <w:t xml:space="preserve">Millstein, D., et al., </w:t>
      </w:r>
      <w:r w:rsidRPr="00214AC1">
        <w:rPr>
          <w:i/>
        </w:rPr>
        <w:t>The climate and air-quality benefits of wind and solar power in the United States.</w:t>
      </w:r>
      <w:r w:rsidRPr="00214AC1">
        <w:t xml:space="preserve"> Nature Energy, 2017. </w:t>
      </w:r>
      <w:r w:rsidRPr="00214AC1">
        <w:rPr>
          <w:b/>
        </w:rPr>
        <w:t>2</w:t>
      </w:r>
      <w:r w:rsidRPr="00214AC1">
        <w:t>: p. 17134.</w:t>
      </w:r>
    </w:p>
    <w:p w14:paraId="67D6FB54" w14:textId="77777777" w:rsidR="00214AC1" w:rsidRPr="00214AC1" w:rsidRDefault="00214AC1" w:rsidP="00214AC1">
      <w:pPr>
        <w:pStyle w:val="EndNoteBibliography"/>
        <w:ind w:left="720" w:hanging="720"/>
      </w:pPr>
      <w:r w:rsidRPr="00214AC1">
        <w:t>58.</w:t>
      </w:r>
      <w:r w:rsidRPr="00214AC1">
        <w:tab/>
        <w:t xml:space="preserve">U.S. Department of the Interior and Bureau of Ocean Energy Management, </w:t>
      </w:r>
      <w:r w:rsidRPr="00214AC1">
        <w:rPr>
          <w:i/>
        </w:rPr>
        <w:t>Evaluating Benefits of Offshore Wind Energy Projects in NEPA</w:t>
      </w:r>
      <w:r w:rsidRPr="00214AC1">
        <w:t>. Headquarters,</w:t>
      </w:r>
    </w:p>
    <w:p w14:paraId="416AD131" w14:textId="77777777" w:rsidR="00214AC1" w:rsidRPr="00214AC1" w:rsidRDefault="00214AC1" w:rsidP="00214AC1">
      <w:pPr>
        <w:pStyle w:val="EndNoteBibliography"/>
        <w:spacing w:after="0"/>
        <w:ind w:left="720" w:hanging="720"/>
      </w:pPr>
      <w:r w:rsidRPr="00214AC1">
        <w:t>Sterling VA,.</w:t>
      </w:r>
    </w:p>
    <w:p w14:paraId="18C9CCCE" w14:textId="77777777" w:rsidR="00214AC1" w:rsidRPr="00214AC1" w:rsidRDefault="00214AC1" w:rsidP="00214AC1">
      <w:pPr>
        <w:pStyle w:val="EndNoteBibliography"/>
        <w:spacing w:after="0"/>
        <w:ind w:left="720" w:hanging="720"/>
      </w:pPr>
      <w:r w:rsidRPr="00214AC1">
        <w:t>59.</w:t>
      </w:r>
      <w:r w:rsidRPr="00214AC1">
        <w:tab/>
        <w:t xml:space="preserve">AWEA, </w:t>
      </w:r>
      <w:r w:rsidRPr="00214AC1">
        <w:rPr>
          <w:i/>
        </w:rPr>
        <w:t>U.S. Wind Industry Annual Market Report, Year Ending 2018</w:t>
      </w:r>
      <w:r w:rsidRPr="00214AC1">
        <w:t>. 2018.</w:t>
      </w:r>
    </w:p>
    <w:p w14:paraId="021F362A" w14:textId="77777777" w:rsidR="00214AC1" w:rsidRPr="00214AC1" w:rsidRDefault="00214AC1" w:rsidP="00214AC1">
      <w:pPr>
        <w:pStyle w:val="EndNoteBibliography"/>
        <w:spacing w:after="0"/>
        <w:ind w:left="720" w:hanging="720"/>
      </w:pPr>
      <w:r w:rsidRPr="00214AC1">
        <w:t>60.</w:t>
      </w:r>
      <w:r w:rsidRPr="00214AC1">
        <w:tab/>
        <w:t xml:space="preserve">Greene, J.S. and M. Morrissey, </w:t>
      </w:r>
      <w:r w:rsidRPr="00214AC1">
        <w:rPr>
          <w:i/>
        </w:rPr>
        <w:t>Estimated Pollution Reduction from Wind Farms in Oklahoma and Associated Economic and Human Health Benefits.</w:t>
      </w:r>
      <w:r w:rsidRPr="00214AC1">
        <w:t xml:space="preserve"> Journal of Renewable Energy, 2012. </w:t>
      </w:r>
      <w:r w:rsidRPr="00214AC1">
        <w:rPr>
          <w:b/>
        </w:rPr>
        <w:t>2013</w:t>
      </w:r>
      <w:r w:rsidRPr="00214AC1">
        <w:t>.</w:t>
      </w:r>
    </w:p>
    <w:p w14:paraId="4CB348C8" w14:textId="77777777" w:rsidR="00214AC1" w:rsidRPr="00214AC1" w:rsidRDefault="00214AC1" w:rsidP="00214AC1">
      <w:pPr>
        <w:pStyle w:val="EndNoteBibliography"/>
        <w:spacing w:after="0"/>
        <w:ind w:left="720" w:hanging="720"/>
      </w:pPr>
      <w:r w:rsidRPr="00214AC1">
        <w:t>61.</w:t>
      </w:r>
      <w:r w:rsidRPr="00214AC1">
        <w:tab/>
        <w:t xml:space="preserve">Lu, X., M.B. McElroy, and N.A. Sluzas, </w:t>
      </w:r>
      <w:r w:rsidRPr="00214AC1">
        <w:rPr>
          <w:i/>
        </w:rPr>
        <w:t>Costs for Integrating Wind into the Future ERCOT System with Related Costs for Savings in CO2 Emissions.</w:t>
      </w:r>
      <w:r w:rsidRPr="00214AC1">
        <w:t xml:space="preserve"> Environmental Science and Technology, 2011. </w:t>
      </w:r>
      <w:r w:rsidRPr="00214AC1">
        <w:rPr>
          <w:b/>
        </w:rPr>
        <w:t>45</w:t>
      </w:r>
      <w:r w:rsidRPr="00214AC1">
        <w:t>: p. 3160-3166.</w:t>
      </w:r>
    </w:p>
    <w:p w14:paraId="0087916A" w14:textId="77777777" w:rsidR="00214AC1" w:rsidRPr="00214AC1" w:rsidRDefault="00214AC1" w:rsidP="00214AC1">
      <w:pPr>
        <w:pStyle w:val="EndNoteBibliography"/>
        <w:spacing w:after="0"/>
        <w:ind w:left="720" w:hanging="720"/>
      </w:pPr>
      <w:r w:rsidRPr="00214AC1">
        <w:t>62.</w:t>
      </w:r>
      <w:r w:rsidRPr="00214AC1">
        <w:tab/>
        <w:t xml:space="preserve">Nordman, E., et al., </w:t>
      </w:r>
      <w:r w:rsidRPr="00214AC1">
        <w:rPr>
          <w:i/>
        </w:rPr>
        <w:t>An Integrated Assessment for Wind Energy in Lake Michigan Coastal Counties.</w:t>
      </w:r>
      <w:r w:rsidRPr="00214AC1">
        <w:t xml:space="preserve"> Integrated Environmental Assessment and Management, 2014. </w:t>
      </w:r>
      <w:r w:rsidRPr="00214AC1">
        <w:rPr>
          <w:b/>
        </w:rPr>
        <w:t>11</w:t>
      </w:r>
      <w:r w:rsidRPr="00214AC1">
        <w:t>(2): p. 287-297.</w:t>
      </w:r>
    </w:p>
    <w:p w14:paraId="62CBC83C" w14:textId="77777777" w:rsidR="00214AC1" w:rsidRPr="00214AC1" w:rsidRDefault="00214AC1" w:rsidP="00214AC1">
      <w:pPr>
        <w:pStyle w:val="EndNoteBibliography"/>
        <w:spacing w:after="0"/>
        <w:ind w:left="720" w:hanging="720"/>
      </w:pPr>
      <w:r w:rsidRPr="00214AC1">
        <w:t>63.</w:t>
      </w:r>
      <w:r w:rsidRPr="00214AC1">
        <w:tab/>
        <w:t xml:space="preserve">Chiang, A.C., et al., </w:t>
      </w:r>
      <w:r w:rsidRPr="00214AC1">
        <w:rPr>
          <w:i/>
        </w:rPr>
        <w:t>Emissions reduction benefits of siting an offshore wind farm: A temporal and spatial analysis of Lake Michigan.</w:t>
      </w:r>
      <w:r w:rsidRPr="00214AC1">
        <w:t xml:space="preserve"> Ecological Economics, 2016. </w:t>
      </w:r>
      <w:r w:rsidRPr="00214AC1">
        <w:rPr>
          <w:b/>
        </w:rPr>
        <w:t>130</w:t>
      </w:r>
      <w:r w:rsidRPr="00214AC1">
        <w:t>: p. 263-276.</w:t>
      </w:r>
    </w:p>
    <w:p w14:paraId="76C98384" w14:textId="77777777" w:rsidR="00214AC1" w:rsidRPr="00214AC1" w:rsidRDefault="00214AC1" w:rsidP="00214AC1">
      <w:pPr>
        <w:pStyle w:val="EndNoteBibliography"/>
        <w:spacing w:after="0"/>
        <w:ind w:left="720" w:hanging="720"/>
      </w:pPr>
      <w:r w:rsidRPr="00214AC1">
        <w:t>64.</w:t>
      </w:r>
      <w:r w:rsidRPr="00214AC1">
        <w:tab/>
        <w:t xml:space="preserve">Buonocore, J.J., et al., </w:t>
      </w:r>
      <w:r w:rsidRPr="00214AC1">
        <w:rPr>
          <w:i/>
        </w:rPr>
        <w:t>Health and climate benefits of offshore wind facilities in the Mid-Atlantic United States.</w:t>
      </w:r>
      <w:r w:rsidRPr="00214AC1">
        <w:t xml:space="preserve"> Environmental Research Letters, 2016. </w:t>
      </w:r>
      <w:r w:rsidRPr="00214AC1">
        <w:rPr>
          <w:b/>
        </w:rPr>
        <w:t>11</w:t>
      </w:r>
      <w:r w:rsidRPr="00214AC1">
        <w:t>(7).</w:t>
      </w:r>
    </w:p>
    <w:p w14:paraId="31477348" w14:textId="77777777" w:rsidR="00214AC1" w:rsidRPr="00214AC1" w:rsidRDefault="00214AC1" w:rsidP="00214AC1">
      <w:pPr>
        <w:pStyle w:val="EndNoteBibliography"/>
        <w:spacing w:after="0"/>
        <w:ind w:left="720" w:hanging="720"/>
      </w:pPr>
      <w:r w:rsidRPr="00214AC1">
        <w:t>65.</w:t>
      </w:r>
      <w:r w:rsidRPr="00214AC1">
        <w:tab/>
        <w:t xml:space="preserve">Reimers, B., B. Ozdirik, and M. Kaltschmitt, </w:t>
      </w:r>
      <w:r w:rsidRPr="00214AC1">
        <w:rPr>
          <w:i/>
        </w:rPr>
        <w:t>Greenhouse gas emissions from electricity generated by offshore wind farms.</w:t>
      </w:r>
      <w:r w:rsidRPr="00214AC1">
        <w:t xml:space="preserve"> Renewable Energy, 2014. </w:t>
      </w:r>
      <w:r w:rsidRPr="00214AC1">
        <w:rPr>
          <w:b/>
        </w:rPr>
        <w:t>72</w:t>
      </w:r>
      <w:r w:rsidRPr="00214AC1">
        <w:t>: p. 428-438.</w:t>
      </w:r>
    </w:p>
    <w:p w14:paraId="2EEAF920" w14:textId="77777777" w:rsidR="00214AC1" w:rsidRPr="00214AC1" w:rsidRDefault="00214AC1" w:rsidP="00214AC1">
      <w:pPr>
        <w:pStyle w:val="EndNoteBibliography"/>
        <w:spacing w:after="0"/>
        <w:ind w:left="720" w:hanging="720"/>
      </w:pPr>
      <w:r w:rsidRPr="00214AC1">
        <w:t>66.</w:t>
      </w:r>
      <w:r w:rsidRPr="00214AC1">
        <w:tab/>
        <w:t xml:space="preserve">Huque, J.C.V.S.V.B.H.D.R.R.K.Z., </w:t>
      </w:r>
      <w:r w:rsidRPr="00214AC1">
        <w:rPr>
          <w:i/>
        </w:rPr>
        <w:t>Life Cycle Environmental Impact of Onshore and Offshore Wind Farms in Texas.</w:t>
      </w:r>
      <w:r w:rsidRPr="00214AC1">
        <w:t xml:space="preserve"> Sustainability, 2018. </w:t>
      </w:r>
      <w:r w:rsidRPr="00214AC1">
        <w:rPr>
          <w:b/>
        </w:rPr>
        <w:t>10</w:t>
      </w:r>
      <w:r w:rsidRPr="00214AC1">
        <w:t>: p. 2022-2039.</w:t>
      </w:r>
    </w:p>
    <w:p w14:paraId="0B25B64F" w14:textId="77777777" w:rsidR="00214AC1" w:rsidRPr="00214AC1" w:rsidRDefault="00214AC1" w:rsidP="00214AC1">
      <w:pPr>
        <w:pStyle w:val="EndNoteBibliography"/>
        <w:spacing w:after="0"/>
        <w:ind w:left="720" w:hanging="720"/>
      </w:pPr>
      <w:r w:rsidRPr="00214AC1">
        <w:t>67.</w:t>
      </w:r>
      <w:r w:rsidRPr="00214AC1">
        <w:tab/>
        <w:t xml:space="preserve">Kaldellis, J.K. and D. Apostolou, </w:t>
      </w:r>
      <w:r w:rsidRPr="00214AC1">
        <w:rPr>
          <w:i/>
        </w:rPr>
        <w:t>Life cycle energy and carbon footprint of offshore wind energy. Compariosn with onshore counterpart.</w:t>
      </w:r>
      <w:r w:rsidRPr="00214AC1">
        <w:t xml:space="preserve"> Renewable Energy, 2017. </w:t>
      </w:r>
      <w:r w:rsidRPr="00214AC1">
        <w:rPr>
          <w:b/>
        </w:rPr>
        <w:t>108</w:t>
      </w:r>
      <w:r w:rsidRPr="00214AC1">
        <w:t>: p. 72-84.</w:t>
      </w:r>
    </w:p>
    <w:p w14:paraId="79DDF33B" w14:textId="77777777" w:rsidR="00214AC1" w:rsidRPr="00214AC1" w:rsidRDefault="00214AC1" w:rsidP="00214AC1">
      <w:pPr>
        <w:pStyle w:val="EndNoteBibliography"/>
        <w:spacing w:after="0"/>
        <w:ind w:left="720" w:hanging="720"/>
      </w:pPr>
      <w:r w:rsidRPr="00214AC1">
        <w:t>68.</w:t>
      </w:r>
      <w:r w:rsidRPr="00214AC1">
        <w:tab/>
        <w:t xml:space="preserve">Apt, W.K.J., </w:t>
      </w:r>
      <w:r w:rsidRPr="00214AC1">
        <w:rPr>
          <w:i/>
        </w:rPr>
        <w:t>Air Emissions Due to Wind and Solar Power.</w:t>
      </w:r>
      <w:r w:rsidRPr="00214AC1">
        <w:t xml:space="preserve"> Environmental Science and Technology, 2008. </w:t>
      </w:r>
      <w:r w:rsidRPr="00214AC1">
        <w:rPr>
          <w:b/>
        </w:rPr>
        <w:t>43</w:t>
      </w:r>
      <w:r w:rsidRPr="00214AC1">
        <w:t>: p. 253-258.</w:t>
      </w:r>
    </w:p>
    <w:p w14:paraId="5FEB96D4" w14:textId="77777777" w:rsidR="00214AC1" w:rsidRPr="00214AC1" w:rsidRDefault="00214AC1" w:rsidP="00214AC1">
      <w:pPr>
        <w:pStyle w:val="EndNoteBibliography"/>
        <w:spacing w:after="0"/>
        <w:ind w:left="720" w:hanging="720"/>
      </w:pPr>
      <w:r w:rsidRPr="00214AC1">
        <w:t>69.</w:t>
      </w:r>
      <w:r w:rsidRPr="00214AC1">
        <w:tab/>
        <w:t xml:space="preserve">Bureau of Ocean Energy Management, </w:t>
      </w:r>
      <w:r w:rsidRPr="00214AC1">
        <w:rPr>
          <w:i/>
        </w:rPr>
        <w:t>BOEM Announces Next Steps for Proposed New York - New Jersey Wind Energy Transmission Line: Includes Opportunity for Expressions of Competitive Interest and Public Comments</w:t>
      </w:r>
      <w:r w:rsidRPr="00214AC1">
        <w:t>. 2019.</w:t>
      </w:r>
    </w:p>
    <w:p w14:paraId="71E488FD" w14:textId="77777777" w:rsidR="00214AC1" w:rsidRPr="00214AC1" w:rsidRDefault="00214AC1" w:rsidP="00214AC1">
      <w:pPr>
        <w:pStyle w:val="EndNoteBibliography"/>
        <w:spacing w:after="0"/>
        <w:ind w:left="720" w:hanging="720"/>
      </w:pPr>
      <w:r w:rsidRPr="00214AC1">
        <w:t>70.</w:t>
      </w:r>
      <w:r w:rsidRPr="00214AC1">
        <w:tab/>
        <w:t xml:space="preserve">Lenox, C., </w:t>
      </w:r>
      <w:r w:rsidRPr="00214AC1">
        <w:rPr>
          <w:i/>
        </w:rPr>
        <w:t>EPAUS9rT database for use with the TIMES modeling platform</w:t>
      </w:r>
      <w:r w:rsidRPr="00214AC1">
        <w:t>. 2019: U.S. Environmental Protection Agency, Washington, DC.</w:t>
      </w:r>
    </w:p>
    <w:p w14:paraId="24FB38B3" w14:textId="77777777" w:rsidR="00214AC1" w:rsidRPr="00214AC1" w:rsidRDefault="00214AC1" w:rsidP="00214AC1">
      <w:pPr>
        <w:pStyle w:val="EndNoteBibliography"/>
        <w:spacing w:after="0"/>
        <w:ind w:left="720" w:hanging="720"/>
      </w:pPr>
      <w:r w:rsidRPr="00214AC1">
        <w:t>71.</w:t>
      </w:r>
      <w:r w:rsidRPr="00214AC1">
        <w:tab/>
        <w:t xml:space="preserve">Loulou, R., et al., </w:t>
      </w:r>
      <w:r w:rsidRPr="00214AC1">
        <w:rPr>
          <w:i/>
        </w:rPr>
        <w:t>Documentation for the TIMES model. .</w:t>
      </w:r>
      <w:r w:rsidRPr="00214AC1">
        <w:t xml:space="preserve"> Tech. Rep. Energy Technology Systems Analysis Programme (ETSAP), 2005.</w:t>
      </w:r>
    </w:p>
    <w:p w14:paraId="4FB53D17" w14:textId="77777777" w:rsidR="00214AC1" w:rsidRPr="00214AC1" w:rsidRDefault="00214AC1" w:rsidP="00214AC1">
      <w:pPr>
        <w:pStyle w:val="EndNoteBibliography"/>
        <w:ind w:left="720" w:hanging="720"/>
      </w:pPr>
      <w:r w:rsidRPr="00214AC1">
        <w:t>72.</w:t>
      </w:r>
      <w:r w:rsidRPr="00214AC1">
        <w:tab/>
        <w:t xml:space="preserve">Ringkjob, H.-K., P.M. Haugan, and I.M. Solbrekke, </w:t>
      </w:r>
      <w:r w:rsidRPr="00214AC1">
        <w:rPr>
          <w:i/>
        </w:rPr>
        <w:t>A review of modelling tools for energy and electricity systems with large shares of variable renewables.</w:t>
      </w:r>
      <w:r w:rsidRPr="00214AC1">
        <w:t xml:space="preserve"> Renewable and Sustainable Energy Reviews, 2018. </w:t>
      </w:r>
      <w:r w:rsidRPr="00214AC1">
        <w:rPr>
          <w:b/>
        </w:rPr>
        <w:t>96</w:t>
      </w:r>
      <w:r w:rsidRPr="00214AC1">
        <w:t>: p. 440-459.</w:t>
      </w:r>
    </w:p>
    <w:p w14:paraId="0366F77F" w14:textId="46CD6735" w:rsidR="008570E5" w:rsidRPr="008570E5" w:rsidRDefault="005A2E07" w:rsidP="0086533D">
      <w:pPr>
        <w:pStyle w:val="Heading2"/>
        <w:spacing w:before="0"/>
        <w:contextualSpacing/>
        <w:jc w:val="both"/>
      </w:pPr>
      <w:r w:rsidRPr="00780067">
        <w:rPr>
          <w:rFonts w:asciiTheme="minorHAnsi" w:hAnsiTheme="minorHAnsi" w:cstheme="minorHAnsi"/>
          <w:sz w:val="22"/>
          <w:szCs w:val="22"/>
        </w:rPr>
        <w:lastRenderedPageBreak/>
        <w:fldChar w:fldCharType="end"/>
      </w:r>
    </w:p>
    <w:sectPr w:rsidR="008570E5" w:rsidRPr="008570E5" w:rsidSect="006E441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4AC1" w:rsidRDefault="00214AC1" w:rsidP="00B72FB6">
      <w:pPr>
        <w:spacing w:after="0" w:line="240" w:lineRule="auto"/>
      </w:pPr>
      <w:r>
        <w:separator/>
      </w:r>
    </w:p>
  </w:endnote>
  <w:endnote w:type="continuationSeparator" w:id="0">
    <w:p w14:paraId="43FFD76F" w14:textId="77777777" w:rsidR="00214AC1" w:rsidRDefault="00214AC1"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96803"/>
      <w:docPartObj>
        <w:docPartGallery w:val="Page Numbers (Bottom of Page)"/>
        <w:docPartUnique/>
      </w:docPartObj>
    </w:sdtPr>
    <w:sdtEndPr>
      <w:rPr>
        <w:noProof/>
      </w:rPr>
    </w:sdtEndPr>
    <w:sdtContent>
      <w:p w14:paraId="149A1D8B" w14:textId="09A59D2F" w:rsidR="00214AC1" w:rsidRDefault="00214AC1">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214AC1" w:rsidRDefault="0021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4AC1" w:rsidRDefault="00214AC1" w:rsidP="00B72FB6">
      <w:pPr>
        <w:spacing w:after="0" w:line="240" w:lineRule="auto"/>
      </w:pPr>
      <w:r>
        <w:separator/>
      </w:r>
    </w:p>
  </w:footnote>
  <w:footnote w:type="continuationSeparator" w:id="0">
    <w:p w14:paraId="572982D1" w14:textId="77777777" w:rsidR="00214AC1" w:rsidRDefault="00214AC1"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1&lt;/item&gt;&lt;item&gt;3&lt;/item&gt;&lt;item&gt;4&lt;/item&gt;&lt;item&gt;6&lt;/item&gt;&lt;item&gt;7&lt;/item&gt;&lt;item&gt;9&lt;/item&gt;&lt;item&gt;10&lt;/item&gt;&lt;item&gt;12&lt;/item&gt;&lt;item&gt;13&lt;/item&gt;&lt;item&gt;14&lt;/item&gt;&lt;item&gt;15&lt;/item&gt;&lt;item&gt;16&lt;/item&gt;&lt;item&gt;17&lt;/item&gt;&lt;item&gt;19&lt;/item&gt;&lt;item&gt;21&lt;/item&gt;&lt;item&gt;23&lt;/item&gt;&lt;item&gt;24&lt;/item&gt;&lt;item&gt;25&lt;/item&gt;&lt;item&gt;27&lt;/item&gt;&lt;item&gt;32&lt;/item&gt;&lt;item&gt;33&lt;/item&gt;&lt;item&gt;38&lt;/item&gt;&lt;item&gt;40&lt;/item&gt;&lt;item&gt;42&lt;/item&gt;&lt;item&gt;48&lt;/item&gt;&lt;item&gt;50&lt;/item&gt;&lt;item&gt;51&lt;/item&gt;&lt;item&gt;53&lt;/item&gt;&lt;item&gt;54&lt;/item&gt;&lt;item&gt;55&lt;/item&gt;&lt;item&gt;59&lt;/item&gt;&lt;item&gt;62&lt;/item&gt;&lt;item&gt;63&lt;/item&gt;&lt;item&gt;65&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130&lt;/item&gt;&lt;item&gt;132&lt;/item&gt;&lt;item&gt;137&lt;/item&gt;&lt;item&gt;139&lt;/item&gt;&lt;item&gt;140&lt;/item&gt;&lt;item&gt;141&lt;/item&gt;&lt;item&gt;142&lt;/item&gt;&lt;item&gt;143&lt;/item&gt;&lt;item&gt;144&lt;/item&gt;&lt;item&gt;145&lt;/item&gt;&lt;item&gt;147&lt;/item&gt;&lt;item&gt;148&lt;/item&gt;&lt;item&gt;149&lt;/item&gt;&lt;item&gt;151&lt;/item&gt;&lt;item&gt;153&lt;/item&gt;&lt;/record-ids&gt;&lt;/item&gt;&lt;/Libraries&gt;"/>
  </w:docVars>
  <w:rsids>
    <w:rsidRoot w:val="008570E5"/>
    <w:rsid w:val="00002AAD"/>
    <w:rsid w:val="00006892"/>
    <w:rsid w:val="00010E52"/>
    <w:rsid w:val="000135C5"/>
    <w:rsid w:val="00016433"/>
    <w:rsid w:val="00016F8D"/>
    <w:rsid w:val="00017FCB"/>
    <w:rsid w:val="000200CA"/>
    <w:rsid w:val="00024089"/>
    <w:rsid w:val="00025FAC"/>
    <w:rsid w:val="00026FCC"/>
    <w:rsid w:val="00032256"/>
    <w:rsid w:val="00032FA4"/>
    <w:rsid w:val="00037BFA"/>
    <w:rsid w:val="00045D45"/>
    <w:rsid w:val="00047FA1"/>
    <w:rsid w:val="00050729"/>
    <w:rsid w:val="00050B11"/>
    <w:rsid w:val="00052A48"/>
    <w:rsid w:val="00053CE8"/>
    <w:rsid w:val="00057B1D"/>
    <w:rsid w:val="000600C5"/>
    <w:rsid w:val="000669A9"/>
    <w:rsid w:val="0007143F"/>
    <w:rsid w:val="000725AD"/>
    <w:rsid w:val="000755E8"/>
    <w:rsid w:val="00075C47"/>
    <w:rsid w:val="00075C61"/>
    <w:rsid w:val="00076820"/>
    <w:rsid w:val="000769F0"/>
    <w:rsid w:val="0007766E"/>
    <w:rsid w:val="00084336"/>
    <w:rsid w:val="0008787D"/>
    <w:rsid w:val="00087B87"/>
    <w:rsid w:val="000943DC"/>
    <w:rsid w:val="000965E5"/>
    <w:rsid w:val="0009765E"/>
    <w:rsid w:val="000A0946"/>
    <w:rsid w:val="000A2921"/>
    <w:rsid w:val="000A603B"/>
    <w:rsid w:val="000A6265"/>
    <w:rsid w:val="000A6BF9"/>
    <w:rsid w:val="000B0F98"/>
    <w:rsid w:val="000B2C52"/>
    <w:rsid w:val="000B38A2"/>
    <w:rsid w:val="000B4C60"/>
    <w:rsid w:val="000B4F1B"/>
    <w:rsid w:val="000B54C2"/>
    <w:rsid w:val="000C27A7"/>
    <w:rsid w:val="000C542B"/>
    <w:rsid w:val="000C5A1F"/>
    <w:rsid w:val="000C6AE2"/>
    <w:rsid w:val="000C7235"/>
    <w:rsid w:val="000D2624"/>
    <w:rsid w:val="000D3080"/>
    <w:rsid w:val="000D427B"/>
    <w:rsid w:val="000E0CE0"/>
    <w:rsid w:val="000E1F1A"/>
    <w:rsid w:val="000E26CC"/>
    <w:rsid w:val="000E2776"/>
    <w:rsid w:val="000E2D56"/>
    <w:rsid w:val="000E302E"/>
    <w:rsid w:val="000E4BAA"/>
    <w:rsid w:val="000E5F81"/>
    <w:rsid w:val="000E6B42"/>
    <w:rsid w:val="000F5336"/>
    <w:rsid w:val="000F7624"/>
    <w:rsid w:val="000F76F5"/>
    <w:rsid w:val="00102508"/>
    <w:rsid w:val="00103284"/>
    <w:rsid w:val="00103CE5"/>
    <w:rsid w:val="0010750A"/>
    <w:rsid w:val="0010799C"/>
    <w:rsid w:val="00112C0A"/>
    <w:rsid w:val="00113103"/>
    <w:rsid w:val="00113F30"/>
    <w:rsid w:val="00114506"/>
    <w:rsid w:val="00120A06"/>
    <w:rsid w:val="0012116C"/>
    <w:rsid w:val="00124EB0"/>
    <w:rsid w:val="00127847"/>
    <w:rsid w:val="00130066"/>
    <w:rsid w:val="00130DCA"/>
    <w:rsid w:val="0013129D"/>
    <w:rsid w:val="00131414"/>
    <w:rsid w:val="00132537"/>
    <w:rsid w:val="00134E75"/>
    <w:rsid w:val="00140060"/>
    <w:rsid w:val="00142670"/>
    <w:rsid w:val="00144373"/>
    <w:rsid w:val="00145B55"/>
    <w:rsid w:val="001471FB"/>
    <w:rsid w:val="00147735"/>
    <w:rsid w:val="001500E0"/>
    <w:rsid w:val="0015043D"/>
    <w:rsid w:val="0015075E"/>
    <w:rsid w:val="001507A4"/>
    <w:rsid w:val="001528DE"/>
    <w:rsid w:val="001533B4"/>
    <w:rsid w:val="00153891"/>
    <w:rsid w:val="0015437C"/>
    <w:rsid w:val="0015724F"/>
    <w:rsid w:val="00157557"/>
    <w:rsid w:val="00157A24"/>
    <w:rsid w:val="0016033D"/>
    <w:rsid w:val="00160BB6"/>
    <w:rsid w:val="00167633"/>
    <w:rsid w:val="00171158"/>
    <w:rsid w:val="00172072"/>
    <w:rsid w:val="00175A9B"/>
    <w:rsid w:val="001774F1"/>
    <w:rsid w:val="00184AA2"/>
    <w:rsid w:val="00186F5A"/>
    <w:rsid w:val="00190E97"/>
    <w:rsid w:val="00191DB4"/>
    <w:rsid w:val="00192CAB"/>
    <w:rsid w:val="00194E9D"/>
    <w:rsid w:val="00196BFC"/>
    <w:rsid w:val="001A19F3"/>
    <w:rsid w:val="001A4547"/>
    <w:rsid w:val="001A49D5"/>
    <w:rsid w:val="001A4D5B"/>
    <w:rsid w:val="001A7ED5"/>
    <w:rsid w:val="001B2EC0"/>
    <w:rsid w:val="001B6D5C"/>
    <w:rsid w:val="001B702A"/>
    <w:rsid w:val="001B76F8"/>
    <w:rsid w:val="001C1DBF"/>
    <w:rsid w:val="001C3751"/>
    <w:rsid w:val="001C3FF0"/>
    <w:rsid w:val="001C43FE"/>
    <w:rsid w:val="001C5CC6"/>
    <w:rsid w:val="001C70B3"/>
    <w:rsid w:val="001D107D"/>
    <w:rsid w:val="001D4559"/>
    <w:rsid w:val="001D4F71"/>
    <w:rsid w:val="001D59AF"/>
    <w:rsid w:val="001E0C5F"/>
    <w:rsid w:val="001E53F0"/>
    <w:rsid w:val="001E6735"/>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4AC1"/>
    <w:rsid w:val="00216F3E"/>
    <w:rsid w:val="00217FC3"/>
    <w:rsid w:val="00221AA7"/>
    <w:rsid w:val="00222298"/>
    <w:rsid w:val="00222399"/>
    <w:rsid w:val="00222CC0"/>
    <w:rsid w:val="00231A17"/>
    <w:rsid w:val="0023222D"/>
    <w:rsid w:val="00232FEC"/>
    <w:rsid w:val="00233234"/>
    <w:rsid w:val="0024102A"/>
    <w:rsid w:val="00243441"/>
    <w:rsid w:val="0024405C"/>
    <w:rsid w:val="00245398"/>
    <w:rsid w:val="00253F3A"/>
    <w:rsid w:val="00254039"/>
    <w:rsid w:val="002565B4"/>
    <w:rsid w:val="00256ABB"/>
    <w:rsid w:val="00256CE3"/>
    <w:rsid w:val="00260C85"/>
    <w:rsid w:val="00262471"/>
    <w:rsid w:val="0027022E"/>
    <w:rsid w:val="00273CA5"/>
    <w:rsid w:val="00274248"/>
    <w:rsid w:val="00275074"/>
    <w:rsid w:val="00276DD5"/>
    <w:rsid w:val="00280D71"/>
    <w:rsid w:val="00281D73"/>
    <w:rsid w:val="002A2CC3"/>
    <w:rsid w:val="002A528C"/>
    <w:rsid w:val="002A568C"/>
    <w:rsid w:val="002A6E8C"/>
    <w:rsid w:val="002B1190"/>
    <w:rsid w:val="002B13CC"/>
    <w:rsid w:val="002B2884"/>
    <w:rsid w:val="002B4CE3"/>
    <w:rsid w:val="002B707D"/>
    <w:rsid w:val="002B7D5D"/>
    <w:rsid w:val="002C2783"/>
    <w:rsid w:val="002D157A"/>
    <w:rsid w:val="002D26C5"/>
    <w:rsid w:val="002D4028"/>
    <w:rsid w:val="002D4355"/>
    <w:rsid w:val="002D491D"/>
    <w:rsid w:val="002E0D04"/>
    <w:rsid w:val="002E4A2F"/>
    <w:rsid w:val="002E615B"/>
    <w:rsid w:val="002E6814"/>
    <w:rsid w:val="002E7BF9"/>
    <w:rsid w:val="002F1943"/>
    <w:rsid w:val="002F1E9B"/>
    <w:rsid w:val="002F2E4E"/>
    <w:rsid w:val="002F396C"/>
    <w:rsid w:val="00300C46"/>
    <w:rsid w:val="00303C7E"/>
    <w:rsid w:val="00303C7F"/>
    <w:rsid w:val="00303F12"/>
    <w:rsid w:val="00304B8A"/>
    <w:rsid w:val="003061BE"/>
    <w:rsid w:val="00313C1B"/>
    <w:rsid w:val="00314C41"/>
    <w:rsid w:val="00314CBF"/>
    <w:rsid w:val="00316226"/>
    <w:rsid w:val="003162D2"/>
    <w:rsid w:val="00322B7B"/>
    <w:rsid w:val="00322C6C"/>
    <w:rsid w:val="00323CE2"/>
    <w:rsid w:val="00333203"/>
    <w:rsid w:val="00333C03"/>
    <w:rsid w:val="00334738"/>
    <w:rsid w:val="003358EC"/>
    <w:rsid w:val="003365CF"/>
    <w:rsid w:val="003374A8"/>
    <w:rsid w:val="003477C7"/>
    <w:rsid w:val="00350593"/>
    <w:rsid w:val="00352199"/>
    <w:rsid w:val="00353764"/>
    <w:rsid w:val="003540DF"/>
    <w:rsid w:val="0035473E"/>
    <w:rsid w:val="003602FF"/>
    <w:rsid w:val="0036374E"/>
    <w:rsid w:val="00366525"/>
    <w:rsid w:val="00367515"/>
    <w:rsid w:val="00367E00"/>
    <w:rsid w:val="0037075E"/>
    <w:rsid w:val="0037079A"/>
    <w:rsid w:val="00372977"/>
    <w:rsid w:val="00375854"/>
    <w:rsid w:val="003767EB"/>
    <w:rsid w:val="00377949"/>
    <w:rsid w:val="00381311"/>
    <w:rsid w:val="00382046"/>
    <w:rsid w:val="00383978"/>
    <w:rsid w:val="00395462"/>
    <w:rsid w:val="00397B40"/>
    <w:rsid w:val="003A1D69"/>
    <w:rsid w:val="003A46A0"/>
    <w:rsid w:val="003A4A79"/>
    <w:rsid w:val="003A4D51"/>
    <w:rsid w:val="003A6702"/>
    <w:rsid w:val="003B0AAF"/>
    <w:rsid w:val="003B1F90"/>
    <w:rsid w:val="003B3C33"/>
    <w:rsid w:val="003B4327"/>
    <w:rsid w:val="003B4A7E"/>
    <w:rsid w:val="003B5939"/>
    <w:rsid w:val="003B73ED"/>
    <w:rsid w:val="003B78E1"/>
    <w:rsid w:val="003C14BD"/>
    <w:rsid w:val="003C370A"/>
    <w:rsid w:val="003C3EA7"/>
    <w:rsid w:val="003D046D"/>
    <w:rsid w:val="003D0650"/>
    <w:rsid w:val="003D1BB5"/>
    <w:rsid w:val="003D466B"/>
    <w:rsid w:val="003D4E87"/>
    <w:rsid w:val="003D6E3A"/>
    <w:rsid w:val="003E44A3"/>
    <w:rsid w:val="003F4C4A"/>
    <w:rsid w:val="003F730F"/>
    <w:rsid w:val="0040645E"/>
    <w:rsid w:val="00406D68"/>
    <w:rsid w:val="00410839"/>
    <w:rsid w:val="00410B18"/>
    <w:rsid w:val="00410EB7"/>
    <w:rsid w:val="00414583"/>
    <w:rsid w:val="00417A56"/>
    <w:rsid w:val="00417B6E"/>
    <w:rsid w:val="00422834"/>
    <w:rsid w:val="00424556"/>
    <w:rsid w:val="004254A3"/>
    <w:rsid w:val="004262BF"/>
    <w:rsid w:val="00431D48"/>
    <w:rsid w:val="00434696"/>
    <w:rsid w:val="00434A79"/>
    <w:rsid w:val="004350A7"/>
    <w:rsid w:val="004351EC"/>
    <w:rsid w:val="00435896"/>
    <w:rsid w:val="00437ABE"/>
    <w:rsid w:val="004428B9"/>
    <w:rsid w:val="004446A3"/>
    <w:rsid w:val="004478A3"/>
    <w:rsid w:val="00447D33"/>
    <w:rsid w:val="00450914"/>
    <w:rsid w:val="004526B7"/>
    <w:rsid w:val="0045753F"/>
    <w:rsid w:val="00460E65"/>
    <w:rsid w:val="00461738"/>
    <w:rsid w:val="0046351B"/>
    <w:rsid w:val="00463A55"/>
    <w:rsid w:val="00464FDB"/>
    <w:rsid w:val="00465248"/>
    <w:rsid w:val="0046759C"/>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6F8A"/>
    <w:rsid w:val="004A7E54"/>
    <w:rsid w:val="004B244B"/>
    <w:rsid w:val="004B6181"/>
    <w:rsid w:val="004B6235"/>
    <w:rsid w:val="004C0518"/>
    <w:rsid w:val="004C177F"/>
    <w:rsid w:val="004C3407"/>
    <w:rsid w:val="004C4463"/>
    <w:rsid w:val="004C5F81"/>
    <w:rsid w:val="004D0BD6"/>
    <w:rsid w:val="004D779B"/>
    <w:rsid w:val="004E08C7"/>
    <w:rsid w:val="004E0F19"/>
    <w:rsid w:val="004E1B8A"/>
    <w:rsid w:val="004E56EE"/>
    <w:rsid w:val="004E6F63"/>
    <w:rsid w:val="004F2C6D"/>
    <w:rsid w:val="004F3227"/>
    <w:rsid w:val="004F6D90"/>
    <w:rsid w:val="004F792C"/>
    <w:rsid w:val="00503549"/>
    <w:rsid w:val="0050419B"/>
    <w:rsid w:val="00510F67"/>
    <w:rsid w:val="00512962"/>
    <w:rsid w:val="00514A1B"/>
    <w:rsid w:val="00516609"/>
    <w:rsid w:val="00517B41"/>
    <w:rsid w:val="00525AB0"/>
    <w:rsid w:val="0052610E"/>
    <w:rsid w:val="0052716D"/>
    <w:rsid w:val="005278C1"/>
    <w:rsid w:val="00530BAB"/>
    <w:rsid w:val="005323A8"/>
    <w:rsid w:val="00532BB0"/>
    <w:rsid w:val="00536A6F"/>
    <w:rsid w:val="00544051"/>
    <w:rsid w:val="0054470C"/>
    <w:rsid w:val="00544BC1"/>
    <w:rsid w:val="005451E9"/>
    <w:rsid w:val="00553323"/>
    <w:rsid w:val="00556C76"/>
    <w:rsid w:val="005576CC"/>
    <w:rsid w:val="00563D5E"/>
    <w:rsid w:val="00563DF7"/>
    <w:rsid w:val="005650A2"/>
    <w:rsid w:val="005670FC"/>
    <w:rsid w:val="00571CAB"/>
    <w:rsid w:val="00573C71"/>
    <w:rsid w:val="0057567E"/>
    <w:rsid w:val="00576E5A"/>
    <w:rsid w:val="0058168E"/>
    <w:rsid w:val="00581BC2"/>
    <w:rsid w:val="00583287"/>
    <w:rsid w:val="005841F9"/>
    <w:rsid w:val="00586430"/>
    <w:rsid w:val="00591FF7"/>
    <w:rsid w:val="005A2E07"/>
    <w:rsid w:val="005A6536"/>
    <w:rsid w:val="005B1156"/>
    <w:rsid w:val="005B4431"/>
    <w:rsid w:val="005B494B"/>
    <w:rsid w:val="005B5AAA"/>
    <w:rsid w:val="005C055C"/>
    <w:rsid w:val="005C2148"/>
    <w:rsid w:val="005C2489"/>
    <w:rsid w:val="005C4CE5"/>
    <w:rsid w:val="005C51E8"/>
    <w:rsid w:val="005C7190"/>
    <w:rsid w:val="005D10F5"/>
    <w:rsid w:val="005D66A3"/>
    <w:rsid w:val="005E1E57"/>
    <w:rsid w:val="005E432D"/>
    <w:rsid w:val="005F5C74"/>
    <w:rsid w:val="005F63A1"/>
    <w:rsid w:val="005F674A"/>
    <w:rsid w:val="005F67EE"/>
    <w:rsid w:val="005F7F39"/>
    <w:rsid w:val="00600E32"/>
    <w:rsid w:val="00601753"/>
    <w:rsid w:val="00602039"/>
    <w:rsid w:val="0060238F"/>
    <w:rsid w:val="00602A15"/>
    <w:rsid w:val="00603FA8"/>
    <w:rsid w:val="00604627"/>
    <w:rsid w:val="00610A5B"/>
    <w:rsid w:val="006121D4"/>
    <w:rsid w:val="00614495"/>
    <w:rsid w:val="006154DE"/>
    <w:rsid w:val="006160A8"/>
    <w:rsid w:val="006248E5"/>
    <w:rsid w:val="00625589"/>
    <w:rsid w:val="00625CDF"/>
    <w:rsid w:val="00626EE2"/>
    <w:rsid w:val="0062710C"/>
    <w:rsid w:val="00632CD2"/>
    <w:rsid w:val="00632EEC"/>
    <w:rsid w:val="006366ED"/>
    <w:rsid w:val="00636957"/>
    <w:rsid w:val="00636C09"/>
    <w:rsid w:val="00640F33"/>
    <w:rsid w:val="00643451"/>
    <w:rsid w:val="00647DF6"/>
    <w:rsid w:val="00654568"/>
    <w:rsid w:val="00655D31"/>
    <w:rsid w:val="00657556"/>
    <w:rsid w:val="006678E8"/>
    <w:rsid w:val="006712E4"/>
    <w:rsid w:val="00672BC3"/>
    <w:rsid w:val="006731E4"/>
    <w:rsid w:val="00677E6E"/>
    <w:rsid w:val="00682396"/>
    <w:rsid w:val="00684D85"/>
    <w:rsid w:val="00684F0F"/>
    <w:rsid w:val="00686BF8"/>
    <w:rsid w:val="00690B5A"/>
    <w:rsid w:val="00696727"/>
    <w:rsid w:val="00696B14"/>
    <w:rsid w:val="006A10AE"/>
    <w:rsid w:val="006A18E1"/>
    <w:rsid w:val="006A2292"/>
    <w:rsid w:val="006A2517"/>
    <w:rsid w:val="006A3927"/>
    <w:rsid w:val="006A42AB"/>
    <w:rsid w:val="006A439B"/>
    <w:rsid w:val="006A6FBF"/>
    <w:rsid w:val="006B0DD2"/>
    <w:rsid w:val="006B5FE2"/>
    <w:rsid w:val="006B66AE"/>
    <w:rsid w:val="006B7213"/>
    <w:rsid w:val="006C0FE6"/>
    <w:rsid w:val="006C26B7"/>
    <w:rsid w:val="006C7A2E"/>
    <w:rsid w:val="006D21CF"/>
    <w:rsid w:val="006D228C"/>
    <w:rsid w:val="006D24BC"/>
    <w:rsid w:val="006D3114"/>
    <w:rsid w:val="006D3660"/>
    <w:rsid w:val="006D5C08"/>
    <w:rsid w:val="006E083D"/>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73AF"/>
    <w:rsid w:val="00721E76"/>
    <w:rsid w:val="00726D59"/>
    <w:rsid w:val="00727347"/>
    <w:rsid w:val="00730D79"/>
    <w:rsid w:val="00732433"/>
    <w:rsid w:val="00737EEE"/>
    <w:rsid w:val="00741C80"/>
    <w:rsid w:val="00742161"/>
    <w:rsid w:val="00745774"/>
    <w:rsid w:val="00750352"/>
    <w:rsid w:val="00751CDE"/>
    <w:rsid w:val="007533E8"/>
    <w:rsid w:val="007579C4"/>
    <w:rsid w:val="00760150"/>
    <w:rsid w:val="00760203"/>
    <w:rsid w:val="00764703"/>
    <w:rsid w:val="00773621"/>
    <w:rsid w:val="0077558A"/>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02D"/>
    <w:rsid w:val="007B5227"/>
    <w:rsid w:val="007B5878"/>
    <w:rsid w:val="007B60AB"/>
    <w:rsid w:val="007B7E11"/>
    <w:rsid w:val="007C0FB5"/>
    <w:rsid w:val="007C6538"/>
    <w:rsid w:val="007C65E2"/>
    <w:rsid w:val="007D356F"/>
    <w:rsid w:val="007D3F54"/>
    <w:rsid w:val="007D6B36"/>
    <w:rsid w:val="007D749A"/>
    <w:rsid w:val="007D752B"/>
    <w:rsid w:val="007E1621"/>
    <w:rsid w:val="007E4E63"/>
    <w:rsid w:val="007E54D2"/>
    <w:rsid w:val="007E6D3A"/>
    <w:rsid w:val="007F2D1B"/>
    <w:rsid w:val="007F53F2"/>
    <w:rsid w:val="007F5B0F"/>
    <w:rsid w:val="008030B8"/>
    <w:rsid w:val="00804754"/>
    <w:rsid w:val="008053B5"/>
    <w:rsid w:val="00812BB4"/>
    <w:rsid w:val="00821238"/>
    <w:rsid w:val="00832162"/>
    <w:rsid w:val="00832FEF"/>
    <w:rsid w:val="00833244"/>
    <w:rsid w:val="008355E8"/>
    <w:rsid w:val="00836741"/>
    <w:rsid w:val="0083729B"/>
    <w:rsid w:val="00840225"/>
    <w:rsid w:val="00840A7E"/>
    <w:rsid w:val="00840F42"/>
    <w:rsid w:val="00843318"/>
    <w:rsid w:val="00845AAF"/>
    <w:rsid w:val="0084698F"/>
    <w:rsid w:val="008471A1"/>
    <w:rsid w:val="00852BB2"/>
    <w:rsid w:val="0085451A"/>
    <w:rsid w:val="008570E5"/>
    <w:rsid w:val="00857AE5"/>
    <w:rsid w:val="00860A97"/>
    <w:rsid w:val="0086117B"/>
    <w:rsid w:val="008613CA"/>
    <w:rsid w:val="0086533D"/>
    <w:rsid w:val="008703A5"/>
    <w:rsid w:val="00871CB2"/>
    <w:rsid w:val="00875394"/>
    <w:rsid w:val="008807C3"/>
    <w:rsid w:val="00892942"/>
    <w:rsid w:val="0089459D"/>
    <w:rsid w:val="0089474D"/>
    <w:rsid w:val="00895275"/>
    <w:rsid w:val="008A4B31"/>
    <w:rsid w:val="008A6698"/>
    <w:rsid w:val="008B192A"/>
    <w:rsid w:val="008B1B07"/>
    <w:rsid w:val="008B30EB"/>
    <w:rsid w:val="008B4AE8"/>
    <w:rsid w:val="008C0CBE"/>
    <w:rsid w:val="008C0D68"/>
    <w:rsid w:val="008C1BF9"/>
    <w:rsid w:val="008C6628"/>
    <w:rsid w:val="008C66EA"/>
    <w:rsid w:val="008C68E4"/>
    <w:rsid w:val="008C6C29"/>
    <w:rsid w:val="008D44AA"/>
    <w:rsid w:val="008D4B80"/>
    <w:rsid w:val="008D50DB"/>
    <w:rsid w:val="008D727A"/>
    <w:rsid w:val="008E098E"/>
    <w:rsid w:val="008E198E"/>
    <w:rsid w:val="008E3DAF"/>
    <w:rsid w:val="008E42F0"/>
    <w:rsid w:val="008F2840"/>
    <w:rsid w:val="008F2A57"/>
    <w:rsid w:val="0090084D"/>
    <w:rsid w:val="00901ED2"/>
    <w:rsid w:val="00904A8C"/>
    <w:rsid w:val="00907747"/>
    <w:rsid w:val="00907A3D"/>
    <w:rsid w:val="00911C6B"/>
    <w:rsid w:val="00913796"/>
    <w:rsid w:val="00913B59"/>
    <w:rsid w:val="00914550"/>
    <w:rsid w:val="00915B93"/>
    <w:rsid w:val="009211A9"/>
    <w:rsid w:val="00924D1E"/>
    <w:rsid w:val="00926B64"/>
    <w:rsid w:val="00931124"/>
    <w:rsid w:val="00935D97"/>
    <w:rsid w:val="00935E58"/>
    <w:rsid w:val="00937910"/>
    <w:rsid w:val="009431C4"/>
    <w:rsid w:val="009447CF"/>
    <w:rsid w:val="009456A5"/>
    <w:rsid w:val="0094605D"/>
    <w:rsid w:val="00950B84"/>
    <w:rsid w:val="009524FF"/>
    <w:rsid w:val="00953C68"/>
    <w:rsid w:val="00956A72"/>
    <w:rsid w:val="00960A4F"/>
    <w:rsid w:val="009614FD"/>
    <w:rsid w:val="00962770"/>
    <w:rsid w:val="0096384F"/>
    <w:rsid w:val="00964E77"/>
    <w:rsid w:val="009667C6"/>
    <w:rsid w:val="00977627"/>
    <w:rsid w:val="009825C3"/>
    <w:rsid w:val="00984169"/>
    <w:rsid w:val="00987247"/>
    <w:rsid w:val="00991700"/>
    <w:rsid w:val="00992C56"/>
    <w:rsid w:val="009964BA"/>
    <w:rsid w:val="00997DA4"/>
    <w:rsid w:val="009A2B1A"/>
    <w:rsid w:val="009A456F"/>
    <w:rsid w:val="009B3AB9"/>
    <w:rsid w:val="009B60CA"/>
    <w:rsid w:val="009B7B2F"/>
    <w:rsid w:val="009B7ECA"/>
    <w:rsid w:val="009C2370"/>
    <w:rsid w:val="009C4D77"/>
    <w:rsid w:val="009D03F8"/>
    <w:rsid w:val="009D06D8"/>
    <w:rsid w:val="009D3BB5"/>
    <w:rsid w:val="009D4065"/>
    <w:rsid w:val="009D61EF"/>
    <w:rsid w:val="009E0631"/>
    <w:rsid w:val="009E386A"/>
    <w:rsid w:val="009E4193"/>
    <w:rsid w:val="009E77C8"/>
    <w:rsid w:val="009F052D"/>
    <w:rsid w:val="009F0578"/>
    <w:rsid w:val="009F3472"/>
    <w:rsid w:val="009F4AC4"/>
    <w:rsid w:val="00A000D9"/>
    <w:rsid w:val="00A00F88"/>
    <w:rsid w:val="00A013CB"/>
    <w:rsid w:val="00A02456"/>
    <w:rsid w:val="00A154AC"/>
    <w:rsid w:val="00A15B6B"/>
    <w:rsid w:val="00A20B68"/>
    <w:rsid w:val="00A2158F"/>
    <w:rsid w:val="00A2575D"/>
    <w:rsid w:val="00A3175E"/>
    <w:rsid w:val="00A35CE6"/>
    <w:rsid w:val="00A36162"/>
    <w:rsid w:val="00A3649A"/>
    <w:rsid w:val="00A43F3F"/>
    <w:rsid w:val="00A4748B"/>
    <w:rsid w:val="00A579A1"/>
    <w:rsid w:val="00A61661"/>
    <w:rsid w:val="00A65E3E"/>
    <w:rsid w:val="00A664F4"/>
    <w:rsid w:val="00A6716F"/>
    <w:rsid w:val="00A70349"/>
    <w:rsid w:val="00A774A9"/>
    <w:rsid w:val="00A77F74"/>
    <w:rsid w:val="00A82036"/>
    <w:rsid w:val="00A83613"/>
    <w:rsid w:val="00A83763"/>
    <w:rsid w:val="00A83AF4"/>
    <w:rsid w:val="00A84DC0"/>
    <w:rsid w:val="00A86A16"/>
    <w:rsid w:val="00A9018E"/>
    <w:rsid w:val="00A91E46"/>
    <w:rsid w:val="00A93BE3"/>
    <w:rsid w:val="00A9470A"/>
    <w:rsid w:val="00A96EE5"/>
    <w:rsid w:val="00A971DE"/>
    <w:rsid w:val="00AA6AE2"/>
    <w:rsid w:val="00AA7087"/>
    <w:rsid w:val="00AB22DF"/>
    <w:rsid w:val="00AB2A74"/>
    <w:rsid w:val="00AB6346"/>
    <w:rsid w:val="00AB636D"/>
    <w:rsid w:val="00AC3A49"/>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2234"/>
    <w:rsid w:val="00B252CC"/>
    <w:rsid w:val="00B27C96"/>
    <w:rsid w:val="00B42C4D"/>
    <w:rsid w:val="00B43411"/>
    <w:rsid w:val="00B50E94"/>
    <w:rsid w:val="00B51C2F"/>
    <w:rsid w:val="00B60C0C"/>
    <w:rsid w:val="00B65955"/>
    <w:rsid w:val="00B67202"/>
    <w:rsid w:val="00B6736D"/>
    <w:rsid w:val="00B67F3B"/>
    <w:rsid w:val="00B72FB6"/>
    <w:rsid w:val="00B7369D"/>
    <w:rsid w:val="00B73B9E"/>
    <w:rsid w:val="00B73EB3"/>
    <w:rsid w:val="00B75708"/>
    <w:rsid w:val="00B772B0"/>
    <w:rsid w:val="00B774C5"/>
    <w:rsid w:val="00B802F8"/>
    <w:rsid w:val="00B81980"/>
    <w:rsid w:val="00B820AF"/>
    <w:rsid w:val="00B85812"/>
    <w:rsid w:val="00B85AC5"/>
    <w:rsid w:val="00B91B5E"/>
    <w:rsid w:val="00B9202D"/>
    <w:rsid w:val="00B92153"/>
    <w:rsid w:val="00B928D4"/>
    <w:rsid w:val="00B92B01"/>
    <w:rsid w:val="00B9301F"/>
    <w:rsid w:val="00B9642C"/>
    <w:rsid w:val="00B96D35"/>
    <w:rsid w:val="00BA3B73"/>
    <w:rsid w:val="00BA7554"/>
    <w:rsid w:val="00BB633E"/>
    <w:rsid w:val="00BB7081"/>
    <w:rsid w:val="00BB769D"/>
    <w:rsid w:val="00BC0E33"/>
    <w:rsid w:val="00BC1315"/>
    <w:rsid w:val="00BC4F86"/>
    <w:rsid w:val="00BC6F40"/>
    <w:rsid w:val="00BC78E3"/>
    <w:rsid w:val="00BD25E6"/>
    <w:rsid w:val="00BD4400"/>
    <w:rsid w:val="00BD6FBB"/>
    <w:rsid w:val="00BE2BE2"/>
    <w:rsid w:val="00BE4451"/>
    <w:rsid w:val="00BE64CD"/>
    <w:rsid w:val="00BE68A0"/>
    <w:rsid w:val="00BE6CF8"/>
    <w:rsid w:val="00BF045B"/>
    <w:rsid w:val="00BF0A51"/>
    <w:rsid w:val="00BF392D"/>
    <w:rsid w:val="00BF48E5"/>
    <w:rsid w:val="00BF7AF9"/>
    <w:rsid w:val="00C00894"/>
    <w:rsid w:val="00C02ED5"/>
    <w:rsid w:val="00C05035"/>
    <w:rsid w:val="00C17E93"/>
    <w:rsid w:val="00C226E7"/>
    <w:rsid w:val="00C24480"/>
    <w:rsid w:val="00C24DA6"/>
    <w:rsid w:val="00C25321"/>
    <w:rsid w:val="00C33C96"/>
    <w:rsid w:val="00C3792B"/>
    <w:rsid w:val="00C44BE4"/>
    <w:rsid w:val="00C4599A"/>
    <w:rsid w:val="00C5075B"/>
    <w:rsid w:val="00C54D12"/>
    <w:rsid w:val="00C54F6C"/>
    <w:rsid w:val="00C5519D"/>
    <w:rsid w:val="00C56AE9"/>
    <w:rsid w:val="00C60948"/>
    <w:rsid w:val="00C61E15"/>
    <w:rsid w:val="00C6549F"/>
    <w:rsid w:val="00C6707B"/>
    <w:rsid w:val="00C67316"/>
    <w:rsid w:val="00C67B29"/>
    <w:rsid w:val="00C75DFC"/>
    <w:rsid w:val="00C76669"/>
    <w:rsid w:val="00C82A97"/>
    <w:rsid w:val="00C83413"/>
    <w:rsid w:val="00C85560"/>
    <w:rsid w:val="00C8572B"/>
    <w:rsid w:val="00C85DCF"/>
    <w:rsid w:val="00C90259"/>
    <w:rsid w:val="00C902EC"/>
    <w:rsid w:val="00C90A3E"/>
    <w:rsid w:val="00C914D3"/>
    <w:rsid w:val="00C9478F"/>
    <w:rsid w:val="00CA0F53"/>
    <w:rsid w:val="00CA1928"/>
    <w:rsid w:val="00CA506A"/>
    <w:rsid w:val="00CA5155"/>
    <w:rsid w:val="00CA6CCD"/>
    <w:rsid w:val="00CB1D64"/>
    <w:rsid w:val="00CB336B"/>
    <w:rsid w:val="00CB6B35"/>
    <w:rsid w:val="00CB7434"/>
    <w:rsid w:val="00CC3599"/>
    <w:rsid w:val="00CC35DC"/>
    <w:rsid w:val="00CC373E"/>
    <w:rsid w:val="00CC666C"/>
    <w:rsid w:val="00CC74B7"/>
    <w:rsid w:val="00CD0BCA"/>
    <w:rsid w:val="00CD31AB"/>
    <w:rsid w:val="00CD4A2F"/>
    <w:rsid w:val="00CD4D21"/>
    <w:rsid w:val="00CD7C0B"/>
    <w:rsid w:val="00CE22D7"/>
    <w:rsid w:val="00CE42AF"/>
    <w:rsid w:val="00CE4452"/>
    <w:rsid w:val="00CE5697"/>
    <w:rsid w:val="00CE7699"/>
    <w:rsid w:val="00CF1F6D"/>
    <w:rsid w:val="00CF36A1"/>
    <w:rsid w:val="00CF4650"/>
    <w:rsid w:val="00CF62DE"/>
    <w:rsid w:val="00CF7137"/>
    <w:rsid w:val="00CF74B2"/>
    <w:rsid w:val="00D0359E"/>
    <w:rsid w:val="00D03EDB"/>
    <w:rsid w:val="00D1344A"/>
    <w:rsid w:val="00D17476"/>
    <w:rsid w:val="00D2076C"/>
    <w:rsid w:val="00D20D55"/>
    <w:rsid w:val="00D21177"/>
    <w:rsid w:val="00D271EF"/>
    <w:rsid w:val="00D31980"/>
    <w:rsid w:val="00D330A7"/>
    <w:rsid w:val="00D35AFA"/>
    <w:rsid w:val="00D35F9B"/>
    <w:rsid w:val="00D41480"/>
    <w:rsid w:val="00D42DA5"/>
    <w:rsid w:val="00D45566"/>
    <w:rsid w:val="00D45A8B"/>
    <w:rsid w:val="00D45DBD"/>
    <w:rsid w:val="00D461C7"/>
    <w:rsid w:val="00D4675C"/>
    <w:rsid w:val="00D4742B"/>
    <w:rsid w:val="00D4799E"/>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00D5"/>
    <w:rsid w:val="00D81106"/>
    <w:rsid w:val="00D815B8"/>
    <w:rsid w:val="00D838C9"/>
    <w:rsid w:val="00D85C53"/>
    <w:rsid w:val="00D86D49"/>
    <w:rsid w:val="00D87FF6"/>
    <w:rsid w:val="00D90245"/>
    <w:rsid w:val="00D920AF"/>
    <w:rsid w:val="00D92439"/>
    <w:rsid w:val="00D9258A"/>
    <w:rsid w:val="00D946F2"/>
    <w:rsid w:val="00DA0A56"/>
    <w:rsid w:val="00DA1AB8"/>
    <w:rsid w:val="00DB10D4"/>
    <w:rsid w:val="00DB10EB"/>
    <w:rsid w:val="00DB22A4"/>
    <w:rsid w:val="00DB304A"/>
    <w:rsid w:val="00DB7317"/>
    <w:rsid w:val="00DC05D2"/>
    <w:rsid w:val="00DC0D8B"/>
    <w:rsid w:val="00DC115E"/>
    <w:rsid w:val="00DC3D47"/>
    <w:rsid w:val="00DC4443"/>
    <w:rsid w:val="00DC59A0"/>
    <w:rsid w:val="00DD5E83"/>
    <w:rsid w:val="00DE217E"/>
    <w:rsid w:val="00DE413B"/>
    <w:rsid w:val="00DF0151"/>
    <w:rsid w:val="00DF1DFC"/>
    <w:rsid w:val="00DF3248"/>
    <w:rsid w:val="00DF42E0"/>
    <w:rsid w:val="00DF7257"/>
    <w:rsid w:val="00E010F9"/>
    <w:rsid w:val="00E025CE"/>
    <w:rsid w:val="00E02E84"/>
    <w:rsid w:val="00E047DB"/>
    <w:rsid w:val="00E06195"/>
    <w:rsid w:val="00E07C1E"/>
    <w:rsid w:val="00E1300B"/>
    <w:rsid w:val="00E1337B"/>
    <w:rsid w:val="00E1498B"/>
    <w:rsid w:val="00E22909"/>
    <w:rsid w:val="00E268F6"/>
    <w:rsid w:val="00E2743D"/>
    <w:rsid w:val="00E2776B"/>
    <w:rsid w:val="00E30E45"/>
    <w:rsid w:val="00E3188C"/>
    <w:rsid w:val="00E34612"/>
    <w:rsid w:val="00E3536B"/>
    <w:rsid w:val="00E35F86"/>
    <w:rsid w:val="00E36857"/>
    <w:rsid w:val="00E36AF0"/>
    <w:rsid w:val="00E37BF6"/>
    <w:rsid w:val="00E440D3"/>
    <w:rsid w:val="00E525AC"/>
    <w:rsid w:val="00E52D6F"/>
    <w:rsid w:val="00E535B1"/>
    <w:rsid w:val="00E55900"/>
    <w:rsid w:val="00E55BE7"/>
    <w:rsid w:val="00E55F21"/>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6FB7"/>
    <w:rsid w:val="00E9045C"/>
    <w:rsid w:val="00E9101E"/>
    <w:rsid w:val="00E920A2"/>
    <w:rsid w:val="00E95AD3"/>
    <w:rsid w:val="00EA000A"/>
    <w:rsid w:val="00EA076C"/>
    <w:rsid w:val="00EA3EEF"/>
    <w:rsid w:val="00EA66C0"/>
    <w:rsid w:val="00EA7866"/>
    <w:rsid w:val="00EB33DC"/>
    <w:rsid w:val="00EB4D6A"/>
    <w:rsid w:val="00EC06A0"/>
    <w:rsid w:val="00EC2200"/>
    <w:rsid w:val="00EC2353"/>
    <w:rsid w:val="00EC5414"/>
    <w:rsid w:val="00EC6A96"/>
    <w:rsid w:val="00ED3FBE"/>
    <w:rsid w:val="00ED428D"/>
    <w:rsid w:val="00ED6A22"/>
    <w:rsid w:val="00ED7762"/>
    <w:rsid w:val="00EE6E48"/>
    <w:rsid w:val="00EF1F55"/>
    <w:rsid w:val="00EF5961"/>
    <w:rsid w:val="00F03AA3"/>
    <w:rsid w:val="00F100D1"/>
    <w:rsid w:val="00F1092B"/>
    <w:rsid w:val="00F10AC4"/>
    <w:rsid w:val="00F14501"/>
    <w:rsid w:val="00F14E0A"/>
    <w:rsid w:val="00F157D7"/>
    <w:rsid w:val="00F17923"/>
    <w:rsid w:val="00F2551B"/>
    <w:rsid w:val="00F264B3"/>
    <w:rsid w:val="00F26C6D"/>
    <w:rsid w:val="00F27D47"/>
    <w:rsid w:val="00F341E5"/>
    <w:rsid w:val="00F3683D"/>
    <w:rsid w:val="00F372E3"/>
    <w:rsid w:val="00F37B3D"/>
    <w:rsid w:val="00F41538"/>
    <w:rsid w:val="00F42337"/>
    <w:rsid w:val="00F43CBF"/>
    <w:rsid w:val="00F503D7"/>
    <w:rsid w:val="00F5674D"/>
    <w:rsid w:val="00F5794B"/>
    <w:rsid w:val="00F6170A"/>
    <w:rsid w:val="00F627AF"/>
    <w:rsid w:val="00F62892"/>
    <w:rsid w:val="00F634B6"/>
    <w:rsid w:val="00F63B14"/>
    <w:rsid w:val="00F66098"/>
    <w:rsid w:val="00F669BB"/>
    <w:rsid w:val="00F7245E"/>
    <w:rsid w:val="00F729FD"/>
    <w:rsid w:val="00F7305C"/>
    <w:rsid w:val="00F7700E"/>
    <w:rsid w:val="00F7725B"/>
    <w:rsid w:val="00F82888"/>
    <w:rsid w:val="00F84320"/>
    <w:rsid w:val="00F85D12"/>
    <w:rsid w:val="00F8698E"/>
    <w:rsid w:val="00F87530"/>
    <w:rsid w:val="00F877BE"/>
    <w:rsid w:val="00F903C9"/>
    <w:rsid w:val="00F93338"/>
    <w:rsid w:val="00F959D2"/>
    <w:rsid w:val="00FA1950"/>
    <w:rsid w:val="00FA5308"/>
    <w:rsid w:val="00FA57CF"/>
    <w:rsid w:val="00FB1294"/>
    <w:rsid w:val="00FB1D9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7DC"/>
    <w:rsid w:val="00FE13D7"/>
    <w:rsid w:val="00FE2951"/>
    <w:rsid w:val="00FE3109"/>
    <w:rsid w:val="00FF0C1C"/>
    <w:rsid w:val="00FF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semiHidden/>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browning.morgan@epa.gov"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virginiamercury.com/2019/09/24/four-things-to-know-about-dominions-massive-wind-farm-propos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ge.com/renewableenergy/wind-energy/offshore-wind/haliade-x-offshore-turbine"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cfpub.epa.gov/si/si_public_record_report.cfm?Lab=NRMRL&amp;dirEntryId=34647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7CC8-61DB-4D2F-9124-27AEBEEEB8E0}">
  <ds:schemaRefs>
    <ds:schemaRef ds:uri="http://schemas.microsoft.com/office/2006/documentManagement/types"/>
    <ds:schemaRef ds:uri="a65fb547-1b02-4b77-882d-72553d3f5ce5"/>
    <ds:schemaRef ds:uri="http://purl.org/dc/elements/1.1/"/>
    <ds:schemaRef ds:uri="http://schemas.microsoft.com/office/2006/metadata/properties"/>
    <ds:schemaRef ds:uri="5ddedca0-709f-4917-a305-42d5cb3ea1ba"/>
    <ds:schemaRef ds:uri="4ffa91fb-a0ff-4ac5-b2db-65c790d184a4"/>
    <ds:schemaRef ds:uri="http://schemas.microsoft.com/sharepoint.v3"/>
    <ds:schemaRef ds:uri="http://schemas.microsoft.com/office/infopath/2007/PartnerControls"/>
    <ds:schemaRef ds:uri="http://purl.org/dc/terms/"/>
    <ds:schemaRef ds:uri="http://schemas.microsoft.com/sharepoint/v3"/>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4.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5.xml><?xml version="1.0" encoding="utf-8"?>
<ds:datastoreItem xmlns:ds="http://schemas.openxmlformats.org/officeDocument/2006/customXml" ds:itemID="{D22EAD64-90A3-437E-8697-9770637F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6000</TotalTime>
  <Pages>17</Pages>
  <Words>13968</Words>
  <Characters>79624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5</cp:revision>
  <cp:lastPrinted>2019-10-21T15:02:00Z</cp:lastPrinted>
  <dcterms:created xsi:type="dcterms:W3CDTF">2019-12-04T20:54:00Z</dcterms:created>
  <dcterms:modified xsi:type="dcterms:W3CDTF">2019-12-09T18:47:00Z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