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948" w:rsidRDefault="00A82948"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bookmarkStart w:id="0" w:name="_GoBack"/>
      <w:bookmarkEnd w:id="0"/>
    </w:p>
    <w:p w:rsidR="00A82948" w:rsidRDefault="00A82948"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r>
        <w:rPr>
          <w:noProof/>
        </w:rPr>
        <w:drawing>
          <wp:inline distT="0" distB="0" distL="0" distR="0" wp14:anchorId="66C03DCB" wp14:editId="571C5CD2">
            <wp:extent cx="733425" cy="733425"/>
            <wp:effectExtent l="0" t="0" r="9525" b="9525"/>
            <wp:docPr id="1" name="Picture 1" descr="Community Mission Financial'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unity Mission Financial's Profile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A82948" w:rsidRDefault="00A82948"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A82948" w:rsidRDefault="00A82948"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r>
        <w:rPr>
          <w:rFonts w:ascii="Helvetica" w:hAnsi="Helvetica" w:cs="Helvetica"/>
          <w:b/>
          <w:color w:val="141823"/>
          <w:sz w:val="21"/>
          <w:szCs w:val="21"/>
          <w:u w:val="single"/>
        </w:rPr>
        <w:t>Our Story</w:t>
      </w:r>
      <w:r>
        <w:rPr>
          <w:rFonts w:ascii="Helvetica" w:hAnsi="Helvetica" w:cs="Helvetica"/>
          <w:b/>
          <w:color w:val="141823"/>
          <w:sz w:val="21"/>
          <w:szCs w:val="21"/>
        </w:rPr>
        <w:tab/>
      </w:r>
      <w:r>
        <w:rPr>
          <w:rFonts w:ascii="Helvetica" w:hAnsi="Helvetica" w:cs="Helvetica"/>
          <w:b/>
          <w:color w:val="141823"/>
          <w:sz w:val="21"/>
          <w:szCs w:val="21"/>
          <w:u w:val="single"/>
        </w:rPr>
        <w:t>Services</w:t>
      </w:r>
      <w:r>
        <w:rPr>
          <w:rFonts w:ascii="Helvetica" w:hAnsi="Helvetica" w:cs="Helvetica"/>
          <w:b/>
          <w:color w:val="141823"/>
          <w:sz w:val="21"/>
          <w:szCs w:val="21"/>
        </w:rPr>
        <w:tab/>
      </w:r>
      <w:r w:rsidR="009F525C" w:rsidRPr="009F525C">
        <w:rPr>
          <w:rFonts w:ascii="Helvetica" w:hAnsi="Helvetica" w:cs="Helvetica"/>
          <w:b/>
          <w:color w:val="141823"/>
          <w:sz w:val="21"/>
          <w:szCs w:val="21"/>
          <w:u w:val="single"/>
        </w:rPr>
        <w:t>Events</w:t>
      </w:r>
      <w:r w:rsidR="009F525C">
        <w:rPr>
          <w:rFonts w:ascii="Helvetica" w:hAnsi="Helvetica" w:cs="Helvetica"/>
          <w:b/>
          <w:color w:val="141823"/>
          <w:sz w:val="21"/>
          <w:szCs w:val="21"/>
        </w:rPr>
        <w:t xml:space="preserve"> </w:t>
      </w:r>
      <w:r w:rsidR="009F525C">
        <w:rPr>
          <w:rFonts w:ascii="Helvetica" w:hAnsi="Helvetica" w:cs="Helvetica"/>
          <w:b/>
          <w:color w:val="141823"/>
          <w:sz w:val="21"/>
          <w:szCs w:val="21"/>
        </w:rPr>
        <w:tab/>
      </w:r>
      <w:r w:rsidR="009F525C">
        <w:rPr>
          <w:rFonts w:ascii="Helvetica" w:hAnsi="Helvetica" w:cs="Helvetica"/>
          <w:b/>
          <w:color w:val="141823"/>
          <w:sz w:val="21"/>
          <w:szCs w:val="21"/>
          <w:u w:val="single"/>
        </w:rPr>
        <w:t xml:space="preserve">Members Only </w:t>
      </w:r>
      <w:r>
        <w:rPr>
          <w:rFonts w:ascii="Helvetica" w:hAnsi="Helvetica" w:cs="Helvetica"/>
          <w:b/>
          <w:color w:val="141823"/>
          <w:sz w:val="21"/>
          <w:szCs w:val="21"/>
        </w:rPr>
        <w:tab/>
      </w:r>
      <w:r w:rsidRPr="00A82948">
        <w:rPr>
          <w:rFonts w:ascii="Helvetica" w:hAnsi="Helvetica" w:cs="Helvetica"/>
          <w:b/>
          <w:color w:val="141823"/>
          <w:sz w:val="21"/>
          <w:szCs w:val="21"/>
          <w:u w:val="single"/>
        </w:rPr>
        <w:t>Investors</w:t>
      </w:r>
      <w:r>
        <w:rPr>
          <w:rFonts w:ascii="Helvetica" w:hAnsi="Helvetica" w:cs="Helvetica"/>
          <w:b/>
          <w:color w:val="141823"/>
          <w:sz w:val="21"/>
          <w:szCs w:val="21"/>
        </w:rPr>
        <w:tab/>
      </w:r>
      <w:r w:rsidRPr="00A82948">
        <w:rPr>
          <w:rFonts w:ascii="Helvetica" w:hAnsi="Helvetica" w:cs="Helvetica"/>
          <w:b/>
          <w:color w:val="141823"/>
          <w:sz w:val="21"/>
          <w:szCs w:val="21"/>
          <w:u w:val="single"/>
        </w:rPr>
        <w:t>Contact</w:t>
      </w:r>
      <w:r>
        <w:rPr>
          <w:rFonts w:ascii="Helvetica" w:hAnsi="Helvetica" w:cs="Helvetica"/>
          <w:b/>
          <w:color w:val="141823"/>
          <w:sz w:val="21"/>
          <w:szCs w:val="21"/>
          <w:u w:val="single"/>
        </w:rPr>
        <w:t xml:space="preserve"> CMF</w:t>
      </w: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r>
        <w:rPr>
          <w:noProof/>
        </w:rPr>
        <w:drawing>
          <wp:inline distT="0" distB="0" distL="0" distR="0" wp14:anchorId="670B6F12" wp14:editId="0C45FF75">
            <wp:extent cx="5943600" cy="2263471"/>
            <wp:effectExtent l="0" t="0" r="0" b="3810"/>
            <wp:docPr id="2" name="Picture 2" descr="https://scontent-iad3-1.xx.fbcdn.net/hphotos-xpt1/t31.0-8/12828353_1697212920494326_480555418085185496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iad3-1.xx.fbcdn.net/hphotos-xpt1/t31.0-8/12828353_1697212920494326_4805554180851854961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3471"/>
                    </a:xfrm>
                    <a:prstGeom prst="rect">
                      <a:avLst/>
                    </a:prstGeom>
                    <a:noFill/>
                    <a:ln>
                      <a:noFill/>
                    </a:ln>
                  </pic:spPr>
                </pic:pic>
              </a:graphicData>
            </a:graphic>
          </wp:inline>
        </w:drawing>
      </w: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 xml:space="preserve">The box above is slide one, with the other slides being testimonials from David Swales, Paul Mott, Ian Wren, Kitty Poor, Jim Snead, Kay </w:t>
      </w:r>
      <w:proofErr w:type="spellStart"/>
      <w:r>
        <w:rPr>
          <w:rFonts w:ascii="Helvetica" w:hAnsi="Helvetica" w:cs="Helvetica"/>
          <w:i/>
          <w:color w:val="141823"/>
          <w:sz w:val="21"/>
          <w:szCs w:val="21"/>
        </w:rPr>
        <w:t>Lanahan</w:t>
      </w:r>
      <w:proofErr w:type="spellEnd"/>
      <w:r>
        <w:rPr>
          <w:rFonts w:ascii="Helvetica" w:hAnsi="Helvetica" w:cs="Helvetica"/>
          <w:i/>
          <w:color w:val="141823"/>
          <w:sz w:val="21"/>
          <w:szCs w:val="21"/>
        </w:rPr>
        <w:t>, etc.</w:t>
      </w:r>
    </w:p>
    <w:p w:rsidR="009F525C" w:rsidRDefault="009F525C"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sidRPr="009F525C">
        <w:rPr>
          <w:rFonts w:ascii="Helvetica" w:hAnsi="Helvetica" w:cs="Helvetica"/>
          <w:b/>
          <w:noProof/>
          <w:color w:val="141823"/>
          <w:sz w:val="21"/>
          <w:szCs w:val="21"/>
          <w:u w:val="single"/>
        </w:rPr>
        <mc:AlternateContent>
          <mc:Choice Requires="wps">
            <w:drawing>
              <wp:anchor distT="45720" distB="45720" distL="114300" distR="114300" simplePos="0" relativeHeight="251659264" behindDoc="0" locked="0" layoutInCell="1" allowOverlap="1" wp14:anchorId="61D80A12" wp14:editId="38074F6C">
                <wp:simplePos x="0" y="0"/>
                <wp:positionH relativeFrom="column">
                  <wp:posOffset>-609600</wp:posOffset>
                </wp:positionH>
                <wp:positionV relativeFrom="paragraph">
                  <wp:posOffset>336550</wp:posOffset>
                </wp:positionV>
                <wp:extent cx="1066800" cy="619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19125"/>
                        </a:xfrm>
                        <a:prstGeom prst="rect">
                          <a:avLst/>
                        </a:prstGeom>
                        <a:solidFill>
                          <a:srgbClr val="FFFFFF"/>
                        </a:solidFill>
                        <a:ln w="9525">
                          <a:solidFill>
                            <a:srgbClr val="000000"/>
                          </a:solidFill>
                          <a:miter lim="800000"/>
                          <a:headEnd/>
                          <a:tailEnd/>
                        </a:ln>
                      </wps:spPr>
                      <wps:txbx>
                        <w:txbxContent>
                          <w:p w:rsidR="009F525C" w:rsidRPr="009F525C" w:rsidRDefault="009F525C">
                            <w:pPr>
                              <w:rPr>
                                <w:b/>
                              </w:rPr>
                            </w:pPr>
                            <w:r w:rsidRPr="009F525C">
                              <w:rPr>
                                <w:b/>
                              </w:rPr>
                              <w:t>CMF 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80A12" id="_x0000_t202" coordsize="21600,21600" o:spt="202" path="m,l,21600r21600,l21600,xe">
                <v:stroke joinstyle="miter"/>
                <v:path gradientshapeok="t" o:connecttype="rect"/>
              </v:shapetype>
              <v:shape id="Text Box 2" o:spid="_x0000_s1026" type="#_x0000_t202" style="position:absolute;margin-left:-48pt;margin-top:26.5pt;width:84pt;height: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">
                <v:textbox>
                  <w:txbxContent>
                    <w:p w:rsidR="009F525C" w:rsidRPr="009F525C" w:rsidRDefault="009F525C">
                      <w:pPr>
                        <w:rPr>
                          <w:b/>
                        </w:rPr>
                      </w:pPr>
                      <w:r w:rsidRPr="009F525C">
                        <w:rPr>
                          <w:b/>
                        </w:rPr>
                        <w:t>CMF Blog</w:t>
                      </w:r>
                    </w:p>
                  </w:txbxContent>
                </v:textbox>
                <w10:wrap type="square"/>
              </v:shape>
            </w:pict>
          </mc:Fallback>
        </mc:AlternateContent>
      </w:r>
    </w:p>
    <w:p w:rsidR="009F525C" w:rsidRPr="009F525C" w:rsidRDefault="009F525C"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r w:rsidRPr="009F525C">
        <w:rPr>
          <w:rFonts w:ascii="Helvetica" w:hAnsi="Helvetica" w:cs="Helvetica"/>
          <w:b/>
          <w:noProof/>
          <w:color w:val="141823"/>
          <w:sz w:val="21"/>
          <w:szCs w:val="21"/>
          <w:u w:val="single"/>
        </w:rPr>
        <mc:AlternateContent>
          <mc:Choice Requires="wps">
            <w:drawing>
              <wp:anchor distT="45720" distB="45720" distL="114300" distR="114300" simplePos="0" relativeHeight="251661312" behindDoc="0" locked="0" layoutInCell="1" allowOverlap="1" wp14:anchorId="11C1E2C4" wp14:editId="56253EE3">
                <wp:simplePos x="0" y="0"/>
                <wp:positionH relativeFrom="column">
                  <wp:posOffset>-619125</wp:posOffset>
                </wp:positionH>
                <wp:positionV relativeFrom="paragraph">
                  <wp:posOffset>228600</wp:posOffset>
                </wp:positionV>
                <wp:extent cx="1095375" cy="723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723900"/>
                        </a:xfrm>
                        <a:prstGeom prst="rect">
                          <a:avLst/>
                        </a:prstGeom>
                        <a:solidFill>
                          <a:srgbClr val="FFFFFF"/>
                        </a:solidFill>
                        <a:ln w="9525">
                          <a:solidFill>
                            <a:srgbClr val="000000"/>
                          </a:solidFill>
                          <a:miter lim="800000"/>
                          <a:headEnd/>
                          <a:tailEnd/>
                        </a:ln>
                      </wps:spPr>
                      <wps:txbx>
                        <w:txbxContent>
                          <w:p w:rsidR="009F525C" w:rsidRPr="009F525C" w:rsidRDefault="009F525C">
                            <w:pPr>
                              <w:rPr>
                                <w:b/>
                              </w:rPr>
                            </w:pPr>
                            <w:r w:rsidRPr="009F525C">
                              <w:rPr>
                                <w:b/>
                              </w:rPr>
                              <w:t xml:space="preserve">News &amp; Articles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1E2C4" id="_x0000_s1027" type="#_x0000_t202" style="position:absolute;margin-left:-48.75pt;margin-top:18pt;width:86.25pt;height: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">
                <v:textbox>
                  <w:txbxContent>
                    <w:p w:rsidR="009F525C" w:rsidRPr="009F525C" w:rsidRDefault="009F525C">
                      <w:pPr>
                        <w:rPr>
                          <w:b/>
                        </w:rPr>
                      </w:pPr>
                      <w:r w:rsidRPr="009F525C">
                        <w:rPr>
                          <w:b/>
                        </w:rPr>
                        <w:t xml:space="preserve">News &amp; Articles </w:t>
                      </w:r>
                    </w:p>
                  </w:txbxContent>
                </v:textbox>
                <w10:wrap type="square"/>
              </v:shape>
            </w:pict>
          </mc:Fallback>
        </mc:AlternateContent>
      </w: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9F525C" w:rsidRPr="00A82948" w:rsidRDefault="009F525C"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p>
    <w:p w:rsidR="00A82948" w:rsidRDefault="00A82948"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7420C5" w:rsidRDefault="009F525C"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r>
        <w:rPr>
          <w:rFonts w:ascii="Maven Pro" w:hAnsi="Maven Pro"/>
          <w:noProof/>
          <w:color w:val="000000"/>
        </w:rPr>
        <w:drawing>
          <wp:inline distT="0" distB="0" distL="0" distR="0" wp14:anchorId="36138581" wp14:editId="54B76D55">
            <wp:extent cx="5943600" cy="609600"/>
            <wp:effectExtent l="0" t="0" r="0" b="0"/>
            <wp:docPr id="4" name="Picture 4" descr="https://lh6.googleusercontent.com/mSAe_WOFKDFhNxQdsZe89SQqcTCeHxvYfisak1bis7k95aALisz92Iy0xtcZsTyKYmUF-dP_vJjNQRQHaa9l_wcp4yxkHrte4BMaSfe7TE5S97yCRAgLDR2vpbFvNgHSmnU-OI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SAe_WOFKDFhNxQdsZe89SQqcTCeHxvYfisak1bis7k95aALisz92Iy0xtcZsTyKYmUF-dP_vJjNQRQHaa9l_wcp4yxkHrte4BMaSfe7TE5S97yCRAgLDR2vpbFvNgHSmnU-OIc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4C645A" w:rsidRPr="00170B75" w:rsidRDefault="004C645A"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r w:rsidRPr="00170B75">
        <w:rPr>
          <w:rFonts w:ascii="Helvetica" w:hAnsi="Helvetica" w:cs="Helvetica"/>
          <w:b/>
          <w:color w:val="141823"/>
          <w:sz w:val="21"/>
          <w:szCs w:val="21"/>
          <w:u w:val="single"/>
        </w:rPr>
        <w:lastRenderedPageBreak/>
        <w:t>Our Story</w:t>
      </w:r>
    </w:p>
    <w:p w:rsidR="004C645A" w:rsidRDefault="004C645A"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4C645A" w:rsidRDefault="004C645A"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Community Mission Financial Corp. (“CMF”) is a relationship management company focused on the banking and financial-service needs of businesses and neighbors.     The initial co-founders have thirty-six years of combined banking experience, though each invested those formative years in different roles and service areas.  Regardless, each came to banking for the same desire: to provide for our families through financial</w:t>
      </w:r>
      <w:r w:rsidR="00863DD8">
        <w:rPr>
          <w:rFonts w:ascii="Helvetica" w:hAnsi="Helvetica" w:cs="Helvetica"/>
          <w:color w:val="141823"/>
          <w:sz w:val="21"/>
          <w:szCs w:val="21"/>
        </w:rPr>
        <w:t>ly</w:t>
      </w:r>
      <w:r>
        <w:rPr>
          <w:rFonts w:ascii="Helvetica" w:hAnsi="Helvetica" w:cs="Helvetica"/>
          <w:color w:val="141823"/>
          <w:sz w:val="21"/>
          <w:szCs w:val="21"/>
        </w:rPr>
        <w:t>-minded community service. In doing so, we achieved success and built names you might recognize: Ashley Carter, John Gobble, and Laurel Cartwright. But over the last decade, each co-founder became increasingly convinced that, in this economic time, true service</w:t>
      </w:r>
      <w:r>
        <w:rPr>
          <w:rStyle w:val="apple-converted-space"/>
          <w:rFonts w:ascii="Helvetica" w:hAnsi="Helvetica" w:cs="Helvetica"/>
          <w:color w:val="141823"/>
          <w:sz w:val="21"/>
          <w:szCs w:val="21"/>
        </w:rPr>
        <w:t> </w:t>
      </w:r>
      <w:r>
        <w:rPr>
          <w:rStyle w:val="textexposedshow"/>
          <w:rFonts w:ascii="Helvetica" w:hAnsi="Helvetica" w:cs="Helvetica"/>
          <w:color w:val="141823"/>
          <w:sz w:val="21"/>
          <w:szCs w:val="21"/>
        </w:rPr>
        <w:t>is difficult to achieve within a traditional banking model.</w:t>
      </w:r>
    </w:p>
    <w:p w:rsidR="004C645A" w:rsidRDefault="004C645A"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In 2015, a moment came when this perception became too large to ignore, so we launched an innovative model that can directly serve the </w:t>
      </w:r>
      <w:r w:rsidR="00863DD8">
        <w:rPr>
          <w:rFonts w:ascii="Helvetica" w:hAnsi="Helvetica" w:cs="Helvetica"/>
          <w:color w:val="141823"/>
          <w:sz w:val="21"/>
          <w:szCs w:val="21"/>
        </w:rPr>
        <w:t xml:space="preserve">financial needs of the </w:t>
      </w:r>
      <w:r>
        <w:rPr>
          <w:rFonts w:ascii="Helvetica" w:hAnsi="Helvetica" w:cs="Helvetica"/>
          <w:color w:val="141823"/>
          <w:sz w:val="21"/>
          <w:szCs w:val="21"/>
        </w:rPr>
        <w:t xml:space="preserve">communities we love. CMF can provide almost any banking &amp; financial service while enabling founders to enjoy the deep consultative relationships we have worked hard to build over the years. At the same time, </w:t>
      </w:r>
      <w:r w:rsidR="002C30FF">
        <w:rPr>
          <w:rFonts w:ascii="Helvetica" w:hAnsi="Helvetica" w:cs="Helvetica"/>
          <w:color w:val="141823"/>
          <w:sz w:val="21"/>
          <w:szCs w:val="21"/>
        </w:rPr>
        <w:t xml:space="preserve">the company is able to engineer around inefficiencies in the financial-service sector to provide an unsurpassed depth of services managed by the organizing founders.  </w:t>
      </w:r>
      <w:r>
        <w:rPr>
          <w:rFonts w:ascii="Helvetica" w:hAnsi="Helvetica" w:cs="Helvetica"/>
          <w:color w:val="141823"/>
          <w:sz w:val="21"/>
          <w:szCs w:val="21"/>
        </w:rPr>
        <w:t xml:space="preserve">This streamlined company, this new kind of bank, has agility that a </w:t>
      </w:r>
      <w:r w:rsidR="002C30FF">
        <w:rPr>
          <w:rFonts w:ascii="Helvetica" w:hAnsi="Helvetica" w:cs="Helvetica"/>
          <w:color w:val="141823"/>
          <w:sz w:val="21"/>
          <w:szCs w:val="21"/>
        </w:rPr>
        <w:t>traditional bank sometimes covets</w:t>
      </w:r>
      <w:r>
        <w:rPr>
          <w:rFonts w:ascii="Helvetica" w:hAnsi="Helvetica" w:cs="Helvetica"/>
          <w:color w:val="141823"/>
          <w:sz w:val="21"/>
          <w:szCs w:val="21"/>
        </w:rPr>
        <w:t>. And with this agility comes one question. How can CMF work for you?</w:t>
      </w:r>
    </w:p>
    <w:p w:rsidR="004820FB" w:rsidRDefault="004820FB"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7420C5" w:rsidRDefault="007420C5"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4820FB" w:rsidRPr="00170B75" w:rsidRDefault="00170B75" w:rsidP="004C645A">
      <w:pPr>
        <w:pStyle w:val="NormalWeb"/>
        <w:shd w:val="clear" w:color="auto" w:fill="FFFFFF"/>
        <w:spacing w:before="0" w:beforeAutospacing="0" w:after="90" w:afterAutospacing="0" w:line="290" w:lineRule="atLeast"/>
        <w:rPr>
          <w:rFonts w:ascii="Helvetica" w:hAnsi="Helvetica" w:cs="Helvetica"/>
          <w:b/>
          <w:color w:val="141823"/>
          <w:sz w:val="21"/>
          <w:szCs w:val="21"/>
          <w:u w:val="single"/>
        </w:rPr>
      </w:pPr>
      <w:r>
        <w:rPr>
          <w:rFonts w:ascii="Helvetica" w:hAnsi="Helvetica" w:cs="Helvetica"/>
          <w:b/>
          <w:color w:val="141823"/>
          <w:sz w:val="21"/>
          <w:szCs w:val="21"/>
          <w:u w:val="single"/>
        </w:rPr>
        <w:t xml:space="preserve">CMF </w:t>
      </w:r>
      <w:r w:rsidR="004820FB" w:rsidRPr="00170B75">
        <w:rPr>
          <w:rFonts w:ascii="Helvetica" w:hAnsi="Helvetica" w:cs="Helvetica"/>
          <w:b/>
          <w:color w:val="141823"/>
          <w:sz w:val="21"/>
          <w:szCs w:val="21"/>
          <w:u w:val="single"/>
        </w:rPr>
        <w:t>Services</w:t>
      </w:r>
    </w:p>
    <w:p w:rsidR="004820FB" w:rsidRDefault="004820FB"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 xml:space="preserve">Commercial Loan Origination &amp; Advisory </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Property &amp; Casualty Insurance</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Merchant Services</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Purchasing / Commercial Credit Card</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Payroll</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Asset Management</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Group Employee Benefit Plans</w:t>
      </w:r>
    </w:p>
    <w:p w:rsidR="00170B75" w:rsidRDefault="00170B75" w:rsidP="00170B75">
      <w:pPr>
        <w:pStyle w:val="NormalWeb"/>
        <w:shd w:val="clear" w:color="auto" w:fill="FFFFFF"/>
        <w:tabs>
          <w:tab w:val="left" w:pos="3300"/>
        </w:tabs>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Life &amp; Health Insurance</w:t>
      </w:r>
      <w:r>
        <w:rPr>
          <w:rFonts w:ascii="Helvetica" w:hAnsi="Helvetica" w:cs="Helvetica"/>
          <w:i/>
          <w:color w:val="141823"/>
          <w:sz w:val="21"/>
          <w:szCs w:val="21"/>
        </w:rPr>
        <w:tab/>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Brokerage &amp; Retirement Plans</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Residential Mortgage</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Executive Recruiting</w:t>
      </w:r>
    </w:p>
    <w:p w:rsidR="00170B75" w:rsidRPr="00170B75" w:rsidRDefault="00170B75" w:rsidP="004C645A">
      <w:pPr>
        <w:pStyle w:val="NormalWeb"/>
        <w:shd w:val="clear" w:color="auto" w:fill="FFFFFF"/>
        <w:spacing w:before="0" w:beforeAutospacing="0" w:after="90" w:afterAutospacing="0" w:line="290" w:lineRule="atLeast"/>
        <w:rPr>
          <w:rFonts w:ascii="Helvetica" w:hAnsi="Helvetica" w:cs="Helvetica"/>
          <w:i/>
          <w:color w:val="141823"/>
          <w:sz w:val="21"/>
          <w:szCs w:val="21"/>
        </w:rPr>
      </w:pPr>
      <w:r>
        <w:rPr>
          <w:rFonts w:ascii="Helvetica" w:hAnsi="Helvetica" w:cs="Helvetica"/>
          <w:i/>
          <w:color w:val="141823"/>
          <w:sz w:val="21"/>
          <w:szCs w:val="21"/>
        </w:rPr>
        <w:t>Depository &amp; Treasury Management</w:t>
      </w: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170B75" w:rsidRDefault="00170B75" w:rsidP="004C645A">
      <w:pPr>
        <w:pStyle w:val="NormalWeb"/>
        <w:shd w:val="clear" w:color="auto" w:fill="FFFFFF"/>
        <w:spacing w:before="0" w:beforeAutospacing="0" w:after="90" w:afterAutospacing="0" w:line="290" w:lineRule="atLeast"/>
        <w:rPr>
          <w:rFonts w:ascii="Helvetica" w:hAnsi="Helvetica" w:cs="Helvetica"/>
          <w:color w:val="141823"/>
          <w:sz w:val="21"/>
          <w:szCs w:val="21"/>
          <w:u w:val="single"/>
        </w:rPr>
      </w:pPr>
    </w:p>
    <w:p w:rsidR="00550F9C" w:rsidRPr="00550F9C" w:rsidRDefault="004820FB" w:rsidP="004C645A">
      <w:pPr>
        <w:pStyle w:val="NormalWeb"/>
        <w:shd w:val="clear" w:color="auto" w:fill="FFFFFF"/>
        <w:spacing w:before="0" w:beforeAutospacing="0" w:after="90" w:afterAutospacing="0" w:line="290" w:lineRule="atLeast"/>
        <w:rPr>
          <w:rFonts w:ascii="Helvetica" w:hAnsi="Helvetica" w:cs="Helvetica"/>
          <w:b/>
          <w:i/>
          <w:color w:val="141823"/>
          <w:sz w:val="21"/>
          <w:szCs w:val="21"/>
        </w:rPr>
      </w:pPr>
      <w:r w:rsidRPr="00550F9C">
        <w:rPr>
          <w:rFonts w:ascii="Helvetica" w:hAnsi="Helvetica" w:cs="Helvetica"/>
          <w:b/>
          <w:i/>
          <w:color w:val="141823"/>
          <w:sz w:val="21"/>
          <w:szCs w:val="21"/>
        </w:rPr>
        <w:lastRenderedPageBreak/>
        <w:t xml:space="preserve">Commercial </w:t>
      </w:r>
      <w:r w:rsidR="00170B75">
        <w:rPr>
          <w:rFonts w:ascii="Helvetica" w:hAnsi="Helvetica" w:cs="Helvetica"/>
          <w:b/>
          <w:i/>
          <w:color w:val="141823"/>
          <w:sz w:val="21"/>
          <w:szCs w:val="21"/>
        </w:rPr>
        <w:t>Origination &amp; Advisory</w:t>
      </w:r>
    </w:p>
    <w:p w:rsidR="00550F9C" w:rsidRDefault="00550F9C"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EC5607" w:rsidRDefault="00550F9C"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w:t>
      </w:r>
      <w:r w:rsidR="004820FB">
        <w:rPr>
          <w:rFonts w:ascii="Helvetica" w:hAnsi="Helvetica" w:cs="Helvetica"/>
          <w:color w:val="141823"/>
          <w:sz w:val="21"/>
          <w:szCs w:val="21"/>
        </w:rPr>
        <w:t xml:space="preserve">ohn Gobble has run commercial-banking operations for both United Bank and SunTrust in the local marketplace as well as for SunTrust in Fort Lauderdale / West Palm Beach.  Given this experience and expertise, CMF is able to work for directly for the borrower, who is looking for the most effective structure at an effective cost, or the financial institution, which is interested in growing its balance sheet with </w:t>
      </w:r>
      <w:r w:rsidR="00EC5607">
        <w:rPr>
          <w:rFonts w:ascii="Helvetica" w:hAnsi="Helvetica" w:cs="Helvetica"/>
          <w:color w:val="141823"/>
          <w:sz w:val="21"/>
          <w:szCs w:val="21"/>
        </w:rPr>
        <w:t>new borrowing relationships.</w:t>
      </w: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John can be reached directly at 434-964-6555 and jgobble@communitymissionfinancial.com. </w:t>
      </w:r>
    </w:p>
    <w:p w:rsidR="00EC5607" w:rsidRDefault="00EC5607"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550F9C" w:rsidRPr="00170B75" w:rsidRDefault="00EC5607" w:rsidP="004C645A">
      <w:pPr>
        <w:pStyle w:val="NormalWeb"/>
        <w:shd w:val="clear" w:color="auto" w:fill="FFFFFF"/>
        <w:spacing w:before="0" w:beforeAutospacing="0" w:after="90" w:afterAutospacing="0" w:line="290" w:lineRule="atLeast"/>
        <w:rPr>
          <w:rFonts w:ascii="Helvetica" w:hAnsi="Helvetica" w:cs="Helvetica"/>
          <w:b/>
          <w:i/>
          <w:color w:val="141823"/>
          <w:sz w:val="21"/>
          <w:szCs w:val="21"/>
        </w:rPr>
      </w:pPr>
      <w:r w:rsidRPr="00170B75">
        <w:rPr>
          <w:rFonts w:ascii="Helvetica" w:hAnsi="Helvetica" w:cs="Helvetica"/>
          <w:b/>
          <w:i/>
          <w:color w:val="141823"/>
          <w:sz w:val="21"/>
          <w:szCs w:val="21"/>
        </w:rPr>
        <w:t>Property &amp; Casualty Insurance</w:t>
      </w:r>
    </w:p>
    <w:p w:rsidR="00550F9C" w:rsidRPr="00550F9C" w:rsidRDefault="00EC5607" w:rsidP="004C645A">
      <w:pPr>
        <w:pStyle w:val="NormalWeb"/>
        <w:shd w:val="clear" w:color="auto" w:fill="FFFFFF"/>
        <w:spacing w:before="0" w:beforeAutospacing="0" w:after="90" w:afterAutospacing="0" w:line="290" w:lineRule="atLeast"/>
        <w:rPr>
          <w:rFonts w:ascii="Helvetica" w:hAnsi="Helvetica" w:cs="Helvetica"/>
          <w:b/>
          <w:color w:val="141823"/>
          <w:sz w:val="21"/>
          <w:szCs w:val="21"/>
        </w:rPr>
      </w:pPr>
      <w:r w:rsidRPr="00550F9C">
        <w:rPr>
          <w:rFonts w:ascii="Helvetica" w:hAnsi="Helvetica" w:cs="Helvetica"/>
          <w:b/>
          <w:color w:val="141823"/>
          <w:sz w:val="21"/>
          <w:szCs w:val="21"/>
        </w:rPr>
        <w:t xml:space="preserve"> </w:t>
      </w:r>
    </w:p>
    <w:p w:rsidR="00BB5770" w:rsidRDefault="00EC5607"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John Gobble is a licensed property &amp; casualty insurance agent and is locally affiliated with an independent insurance agency, </w:t>
      </w:r>
      <w:proofErr w:type="spellStart"/>
      <w:r>
        <w:rPr>
          <w:rFonts w:ascii="Helvetica" w:hAnsi="Helvetica" w:cs="Helvetica"/>
          <w:color w:val="141823"/>
          <w:sz w:val="21"/>
          <w:szCs w:val="21"/>
        </w:rPr>
        <w:t>Hanckel</w:t>
      </w:r>
      <w:proofErr w:type="spellEnd"/>
      <w:r>
        <w:rPr>
          <w:rFonts w:ascii="Helvetica" w:hAnsi="Helvetica" w:cs="Helvetica"/>
          <w:color w:val="141823"/>
          <w:sz w:val="21"/>
          <w:szCs w:val="21"/>
        </w:rPr>
        <w:t xml:space="preserve"> Citizens.  Given John’s decades of experience servicing the needs of commercial businesses, this is a natural extension of addressing the entire needs of local businesses.  </w:t>
      </w: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John can be reached directly at 434-964-6555 and jgobble@communitymissionfinancial.com.</w:t>
      </w: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BB5770" w:rsidRDefault="00BB5770"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4820FB" w:rsidRDefault="00EC5607"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 </w:t>
      </w:r>
    </w:p>
    <w:p w:rsidR="00EC5607" w:rsidRDefault="00EC5607"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EC5607" w:rsidRPr="004820FB" w:rsidRDefault="00EC5607" w:rsidP="004C645A">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34231E" w:rsidRDefault="0034231E"/>
    <w:sectPr w:rsidR="0034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ven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5A"/>
    <w:rsid w:val="00170B75"/>
    <w:rsid w:val="002C30FF"/>
    <w:rsid w:val="0034231E"/>
    <w:rsid w:val="004820FB"/>
    <w:rsid w:val="004C645A"/>
    <w:rsid w:val="00550F9C"/>
    <w:rsid w:val="007420C5"/>
    <w:rsid w:val="00863DD8"/>
    <w:rsid w:val="009F525C"/>
    <w:rsid w:val="00A82948"/>
    <w:rsid w:val="00BB5770"/>
    <w:rsid w:val="00EC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E1953-8940-49BB-BAC6-D9769A31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4C645A"/>
  </w:style>
  <w:style w:type="character" w:customStyle="1" w:styleId="apple-converted-space">
    <w:name w:val="apple-converted-space"/>
    <w:basedOn w:val="DefaultParagraphFont"/>
    <w:rsid w:val="004C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033">
      <w:bodyDiv w:val="1"/>
      <w:marLeft w:val="0"/>
      <w:marRight w:val="0"/>
      <w:marTop w:val="0"/>
      <w:marBottom w:val="0"/>
      <w:divBdr>
        <w:top w:val="none" w:sz="0" w:space="0" w:color="auto"/>
        <w:left w:val="none" w:sz="0" w:space="0" w:color="auto"/>
        <w:bottom w:val="none" w:sz="0" w:space="0" w:color="auto"/>
        <w:right w:val="none" w:sz="0" w:space="0" w:color="auto"/>
      </w:divBdr>
      <w:divsChild>
        <w:div w:id="193300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2016-04-22T18:04:00Z</dcterms:created>
  <dcterms:modified xsi:type="dcterms:W3CDTF">2016-04-22T18:04:00Z</dcterms:modified>
</cp:coreProperties>
</file>