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атрибутами файлов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Установленные права и разрешённые действия</w:t>
      </w:r>
      <w:r>
        <w:t xml:space="preserve">”</w:t>
      </w:r>
      <w:r>
        <w:t xml:space="preserve"> </w:t>
      </w:r>
      <w:r>
        <w:t xml:space="preserve">(см. табл. 2.1)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 [1]</w:t>
      </w:r>
    </w:p>
    <w:p>
      <w:pPr>
        <w:pStyle w:val="BodyText"/>
      </w:pPr>
      <w:r>
        <w:rPr>
          <w:bCs/>
          <w:b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bookmarkEnd w:id="22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5" w:name="атрибуты-файл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Атрибуты файлов</w:t>
      </w:r>
    </w:p>
    <w:p>
      <w:pPr>
        <w:numPr>
          <w:ilvl w:val="0"/>
          <w:numId w:val="1002"/>
        </w:numPr>
        <w:pStyle w:val="Compact"/>
      </w:pPr>
      <w:r>
        <w:t xml:space="preserve">В операционной системе Rocky создаю нового пользователя guest через учетную запись администратора (рис. 1).</w:t>
      </w:r>
    </w:p>
    <w:p>
      <w:pPr>
        <w:pStyle w:val="CaptionedFigure"/>
      </w:pPr>
      <w:r>
        <w:drawing>
          <wp:inline>
            <wp:extent cx="3733800" cy="420709"/>
            <wp:effectExtent b="0" l="0" r="0" t="0"/>
            <wp:docPr descr="Добавле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пользователя</w:t>
      </w:r>
    </w:p>
    <w:p>
      <w:pPr>
        <w:numPr>
          <w:ilvl w:val="0"/>
          <w:numId w:val="1003"/>
        </w:numPr>
        <w:pStyle w:val="Compact"/>
      </w:pPr>
      <w:r>
        <w:t xml:space="preserve">Далее задаю пароль для созданной учетной записи (рис. 2).</w:t>
      </w:r>
    </w:p>
    <w:p>
      <w:pPr>
        <w:pStyle w:val="CaptionedFigure"/>
      </w:pPr>
      <w:r>
        <w:drawing>
          <wp:inline>
            <wp:extent cx="3733800" cy="829733"/>
            <wp:effectExtent b="0" l="0" r="0" t="0"/>
            <wp:docPr descr="Добавление пароля для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пользователя</w:t>
      </w:r>
    </w:p>
    <w:p>
      <w:pPr>
        <w:numPr>
          <w:ilvl w:val="0"/>
          <w:numId w:val="1004"/>
        </w:numPr>
        <w:pStyle w:val="Compact"/>
      </w:pPr>
      <w:r>
        <w:t xml:space="preserve">Сменяю пользователя в системе на только что созданного пользователя guest (рис. 3).</w:t>
      </w:r>
    </w:p>
    <w:p>
      <w:pPr>
        <w:pStyle w:val="CaptionedFigure"/>
      </w:pPr>
      <w:r>
        <w:drawing>
          <wp:inline>
            <wp:extent cx="3733800" cy="4382266"/>
            <wp:effectExtent b="0" l="0" r="0" t="0"/>
            <wp:docPr descr="Вход через аккаунт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через аккаунт пользователя</w:t>
      </w:r>
    </w:p>
    <w:p>
      <w:pPr>
        <w:numPr>
          <w:ilvl w:val="0"/>
          <w:numId w:val="1005"/>
        </w:numPr>
        <w:pStyle w:val="Compact"/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4).</w:t>
      </w:r>
    </w:p>
    <w:p>
      <w:pPr>
        <w:pStyle w:val="CaptionedFigure"/>
      </w:pPr>
      <w:r>
        <w:drawing>
          <wp:inline>
            <wp:extent cx="3733800" cy="712816"/>
            <wp:effectExtent b="0" l="0" r="0" t="0"/>
            <wp:docPr descr="Текущая директор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numPr>
          <w:ilvl w:val="0"/>
          <w:numId w:val="1006"/>
        </w:numPr>
        <w:pStyle w:val="Compact"/>
      </w:pPr>
      <w:r>
        <w:t xml:space="preserve">Уточняю имя пользователя (рис. 5)</w:t>
      </w:r>
    </w:p>
    <w:p>
      <w:pPr>
        <w:pStyle w:val="CaptionedFigure"/>
      </w:pPr>
      <w:r>
        <w:drawing>
          <wp:inline>
            <wp:extent cx="3733800" cy="402721"/>
            <wp:effectExtent b="0" l="0" r="0" t="0"/>
            <wp:docPr descr="Информация об имени пользовател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об имени пользователе</w:t>
      </w:r>
    </w:p>
    <w:p>
      <w:pPr>
        <w:numPr>
          <w:ilvl w:val="0"/>
          <w:numId w:val="1007"/>
        </w:numPr>
        <w:pStyle w:val="Compact"/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 (рис. 6)</w:t>
      </w:r>
    </w:p>
    <w:p>
      <w:pPr>
        <w:pStyle w:val="CaptionedFigure"/>
      </w:pPr>
      <w:r>
        <w:drawing>
          <wp:inline>
            <wp:extent cx="3733800" cy="630903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</w:t>
      </w:r>
    </w:p>
    <w:p>
      <w:pPr>
        <w:numPr>
          <w:ilvl w:val="0"/>
          <w:numId w:val="1008"/>
        </w:numPr>
        <w:pStyle w:val="Compact"/>
      </w:pPr>
      <w:r>
        <w:t xml:space="preserve">Имя пользователя в приглашении командной строкой совпадает с именем пользователя, которое выводит команда whoami (рис. 7)</w:t>
      </w:r>
    </w:p>
    <w:p>
      <w:pPr>
        <w:pStyle w:val="CaptionedFigure"/>
      </w:pPr>
      <w:r>
        <w:drawing>
          <wp:inline>
            <wp:extent cx="3733800" cy="442993"/>
            <wp:effectExtent b="0" l="0" r="0" t="0"/>
            <wp:docPr descr="Сравнение информации об имени пользователя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Сравнение информации об имени пользователя</w:t>
      </w:r>
    </w:p>
    <w:p>
      <w:pPr>
        <w:numPr>
          <w:ilvl w:val="0"/>
          <w:numId w:val="1009"/>
        </w:numPr>
        <w:pStyle w:val="Compact"/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 (рис. 8).</w:t>
      </w:r>
    </w:p>
    <w:p>
      <w:pPr>
        <w:pStyle w:val="CaptionedFigure"/>
      </w:pPr>
      <w:r>
        <w:drawing>
          <wp:inline>
            <wp:extent cx="3733800" cy="371060"/>
            <wp:effectExtent b="0" l="0" r="0" t="0"/>
            <wp:docPr descr="Просмотр файла passwd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файла passwd</w:t>
      </w:r>
    </w:p>
    <w:p>
      <w:pPr>
        <w:numPr>
          <w:ilvl w:val="0"/>
          <w:numId w:val="1010"/>
        </w:numPr>
        <w:pStyle w:val="Compact"/>
      </w:pP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</w:p>
    <w:p>
      <w:pPr>
        <w:pStyle w:val="FirstParagraph"/>
      </w:pPr>
      <w:r>
        <w:t xml:space="preserve">root: drwxr-xr-x,</w:t>
      </w:r>
    </w:p>
    <w:p>
      <w:pPr>
        <w:pStyle w:val="BodyText"/>
      </w:pPr>
      <w:r>
        <w:t xml:space="preserve">evdvorkina и guest: drwx—— (рис. 9).</w:t>
      </w:r>
    </w:p>
    <w:p>
      <w:pPr>
        <w:pStyle w:val="CaptionedFigure"/>
      </w:pPr>
      <w:r>
        <w:drawing>
          <wp:inline>
            <wp:extent cx="3733800" cy="1030623"/>
            <wp:effectExtent b="0" l="0" r="0" t="0"/>
            <wp:docPr descr="Просмотр содержимого директории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содержимого директории</w:t>
      </w:r>
    </w:p>
    <w:p>
      <w:pPr>
        <w:numPr>
          <w:ilvl w:val="0"/>
          <w:numId w:val="1011"/>
        </w:numPr>
        <w:pStyle w:val="Compact"/>
      </w:pPr>
      <w:r>
        <w:t xml:space="preserve">Пыталась проверить расширенные атрибуты директорий. Нет, их увидеть не удалось (рис. 10). Увидеть расширенные атрибуты других пользователей, тоже не удалось, для них даже вывода списка директорий не было.</w:t>
      </w:r>
    </w:p>
    <w:p>
      <w:pPr>
        <w:pStyle w:val="CaptionedFigure"/>
      </w:pPr>
      <w:r>
        <w:drawing>
          <wp:inline>
            <wp:extent cx="3733800" cy="1398747"/>
            <wp:effectExtent b="0" l="0" r="0" t="0"/>
            <wp:docPr descr="Проверка расширенных атрибутов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расширенных атрибутов</w:t>
      </w:r>
    </w:p>
    <w:p>
      <w:pPr>
        <w:numPr>
          <w:ilvl w:val="0"/>
          <w:numId w:val="1012"/>
        </w:numPr>
        <w:pStyle w:val="Compac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 (рис. 11).</w:t>
      </w:r>
    </w:p>
    <w:p>
      <w:pPr>
        <w:pStyle w:val="CaptionedFigure"/>
      </w:pPr>
      <w:r>
        <w:drawing>
          <wp:inline>
            <wp:extent cx="3733800" cy="2305166"/>
            <wp:effectExtent b="0" l="0" r="0" t="0"/>
            <wp:docPr descr="Создание поддиректори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поддиректории</w:t>
      </w:r>
    </w:p>
    <w:p>
      <w:pPr>
        <w:numPr>
          <w:ilvl w:val="0"/>
          <w:numId w:val="1013"/>
        </w:numPr>
        <w:pStyle w:val="Compact"/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12).</w:t>
      </w:r>
    </w:p>
    <w:p>
      <w:pPr>
        <w:pStyle w:val="CaptionedFigure"/>
      </w:pPr>
      <w:r>
        <w:drawing>
          <wp:inline>
            <wp:extent cx="3733800" cy="1514100"/>
            <wp:effectExtent b="0" l="0" r="0" t="0"/>
            <wp:docPr descr="Снятие атрибутов с директории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Снятие атрибутов с директории</w:t>
      </w:r>
    </w:p>
    <w:p>
      <w:pPr>
        <w:numPr>
          <w:ilvl w:val="0"/>
          <w:numId w:val="1014"/>
        </w:numPr>
        <w:pStyle w:val="Compact"/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296877"/>
            <wp:effectExtent b="0" l="0" r="0" t="0"/>
            <wp:docPr descr="Попытка создания файл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Попытка создания файла</w:t>
      </w:r>
    </w:p>
    <w:p>
      <w:pPr>
        <w:pStyle w:val="BodyText"/>
      </w:pPr>
      <w:r>
        <w:t xml:space="preserve">Вернув права директории и использовав снова командy ls -l можно убедиться, что файл не был создан (рис. 14).</w:t>
      </w:r>
    </w:p>
    <w:p>
      <w:pPr>
        <w:pStyle w:val="CaptionedFigure"/>
      </w:pPr>
      <w:r>
        <w:drawing>
          <wp:inline>
            <wp:extent cx="3733800" cy="655860"/>
            <wp:effectExtent b="0" l="0" r="0" t="0"/>
            <wp:docPr descr="Проверка содержимого директори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содержимого директории</w:t>
      </w:r>
    </w:p>
    <w:bookmarkEnd w:id="65"/>
    <w:bookmarkStart w:id="69" w:name="заполнение-таблицы-2.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2.1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p>
      <w:pPr>
        <w:pStyle w:val="BodyText"/>
      </w:pPr>
      <w:r>
        <w:t xml:space="preserve">Пример заполнения таблицы 2.1 (рис. 15).</w:t>
      </w:r>
    </w:p>
    <w:p>
      <w:pPr>
        <w:pStyle w:val="CaptionedFigure"/>
      </w:pPr>
      <w:r>
        <w:drawing>
          <wp:inline>
            <wp:extent cx="3733800" cy="2182918"/>
            <wp:effectExtent b="0" l="0" r="0" t="0"/>
            <wp:docPr descr="Изменение прав директории и файла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прав директории и файла</w:t>
      </w:r>
    </w:p>
    <w:bookmarkEnd w:id="69"/>
    <w:bookmarkStart w:id="73" w:name="заполнение-таблицы-2.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p>
      <w:pPr>
        <w:pStyle w:val="BodyText"/>
      </w:pPr>
      <w:r>
        <w:t xml:space="preserve">Пример заполнения таблицы 2.2 (рис. 16)</w:t>
      </w:r>
    </w:p>
    <w:p>
      <w:pPr>
        <w:pStyle w:val="CaptionedFigure"/>
      </w:pPr>
      <w:r>
        <w:drawing>
          <wp:inline>
            <wp:extent cx="3733800" cy="1076487"/>
            <wp:effectExtent b="0" l="0" r="0" t="0"/>
            <wp:docPr descr="Проверка возможности создать поддиректорию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возможности создать поддиректорию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75"/>
    <w:bookmarkStart w:id="76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p>
      <w:pPr>
        <w:pStyle w:val="BodyText"/>
      </w:pPr>
      <w:r>
        <w:t xml:space="preserve">[2] Права доступа: https://codechick.io/tutorials/unix-linux/unix-linux-permissions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Бызова Мария Олеговна, НПИбд-01-23</dc:creator>
  <dc:language>ru-RU</dc:language>
  <cp:keywords/>
  <dcterms:created xsi:type="dcterms:W3CDTF">2025-03-02T08:23:15Z</dcterms:created>
  <dcterms:modified xsi:type="dcterms:W3CDTF">2025-03-02T08:23:15Z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